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1C" w:rsidRDefault="000A221C" w:rsidP="000A221C">
      <w:pPr>
        <w:autoSpaceDE w:val="0"/>
        <w:autoSpaceDN w:val="0"/>
        <w:adjustRightInd w:val="0"/>
        <w:ind w:left="0"/>
        <w:rPr>
          <w:b/>
          <w:szCs w:val="24"/>
        </w:rPr>
      </w:pPr>
      <w:bookmarkStart w:id="0" w:name="_GoBack"/>
      <w:bookmarkEnd w:id="0"/>
      <w:proofErr w:type="spellStart"/>
      <w:proofErr w:type="gramStart"/>
      <w:r w:rsidRPr="000A221C">
        <w:rPr>
          <w:b/>
          <w:szCs w:val="24"/>
        </w:rPr>
        <w:t>Ajimsha</w:t>
      </w:r>
      <w:proofErr w:type="spellEnd"/>
      <w:r w:rsidRPr="000A221C">
        <w:rPr>
          <w:b/>
          <w:szCs w:val="24"/>
        </w:rPr>
        <w:t xml:space="preserve"> MS, </w:t>
      </w:r>
      <w:proofErr w:type="spellStart"/>
      <w:r w:rsidRPr="000A221C">
        <w:rPr>
          <w:b/>
          <w:szCs w:val="24"/>
        </w:rPr>
        <w:t>Chithra</w:t>
      </w:r>
      <w:proofErr w:type="spellEnd"/>
      <w:r w:rsidRPr="000A221C">
        <w:rPr>
          <w:b/>
          <w:szCs w:val="24"/>
        </w:rPr>
        <w:t xml:space="preserve"> S, </w:t>
      </w:r>
      <w:proofErr w:type="spellStart"/>
      <w:r w:rsidRPr="000A221C">
        <w:rPr>
          <w:b/>
          <w:szCs w:val="24"/>
        </w:rPr>
        <w:t>Thulasyammal</w:t>
      </w:r>
      <w:proofErr w:type="spellEnd"/>
      <w:r w:rsidRPr="000A221C">
        <w:rPr>
          <w:b/>
          <w:szCs w:val="24"/>
        </w:rPr>
        <w:t xml:space="preserve"> RP.</w:t>
      </w:r>
      <w:proofErr w:type="gramEnd"/>
      <w:r>
        <w:rPr>
          <w:b/>
          <w:szCs w:val="24"/>
        </w:rPr>
        <w:t xml:space="preserve"> </w:t>
      </w:r>
      <w:proofErr w:type="gramStart"/>
      <w:r w:rsidRPr="000A221C">
        <w:rPr>
          <w:b/>
          <w:szCs w:val="24"/>
        </w:rPr>
        <w:t>Effectiveness of myofascial release in the management of</w:t>
      </w:r>
      <w:r>
        <w:rPr>
          <w:b/>
          <w:szCs w:val="24"/>
        </w:rPr>
        <w:t xml:space="preserve"> </w:t>
      </w:r>
      <w:r w:rsidRPr="000A221C">
        <w:rPr>
          <w:b/>
          <w:szCs w:val="24"/>
        </w:rPr>
        <w:t>lateral epicondylitis in computer professionals.</w:t>
      </w:r>
      <w:proofErr w:type="gramEnd"/>
      <w:r w:rsidRPr="000A221C">
        <w:rPr>
          <w:b/>
          <w:szCs w:val="24"/>
        </w:rPr>
        <w:t xml:space="preserve"> Arch Phys Med</w:t>
      </w:r>
      <w:r>
        <w:rPr>
          <w:b/>
          <w:szCs w:val="24"/>
        </w:rPr>
        <w:t xml:space="preserve"> </w:t>
      </w:r>
      <w:proofErr w:type="spellStart"/>
      <w:r w:rsidRPr="000A221C">
        <w:rPr>
          <w:b/>
          <w:szCs w:val="24"/>
        </w:rPr>
        <w:t>Rehabil</w:t>
      </w:r>
      <w:proofErr w:type="spellEnd"/>
      <w:r w:rsidRPr="000A221C">
        <w:rPr>
          <w:b/>
          <w:szCs w:val="24"/>
        </w:rPr>
        <w:t xml:space="preserve"> 2012;</w:t>
      </w:r>
      <w:r>
        <w:rPr>
          <w:b/>
          <w:szCs w:val="24"/>
        </w:rPr>
        <w:t xml:space="preserve"> </w:t>
      </w:r>
      <w:r w:rsidRPr="000A221C">
        <w:rPr>
          <w:b/>
          <w:szCs w:val="24"/>
        </w:rPr>
        <w:t>93:604-9.</w:t>
      </w:r>
    </w:p>
    <w:p w:rsidR="000A221C" w:rsidRDefault="000A221C" w:rsidP="000A221C">
      <w:pPr>
        <w:autoSpaceDE w:val="0"/>
        <w:autoSpaceDN w:val="0"/>
        <w:adjustRightInd w:val="0"/>
        <w:ind w:left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PMID: </w:t>
      </w:r>
      <w:r w:rsidR="0002491F" w:rsidRPr="0002491F">
        <w:rPr>
          <w:b/>
          <w:color w:val="auto"/>
          <w:szCs w:val="24"/>
        </w:rPr>
        <w:t>22236639</w:t>
      </w:r>
    </w:p>
    <w:p w:rsidR="000A221C" w:rsidRPr="00673CDB" w:rsidRDefault="000A221C" w:rsidP="000A221C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FB5DBF" w:rsidRDefault="00AA32EF" w:rsidP="008A3029">
      <w:pPr>
        <w:ind w:left="0"/>
        <w:rPr>
          <w:szCs w:val="24"/>
        </w:rPr>
      </w:pPr>
      <w:r w:rsidRPr="00673CDB">
        <w:rPr>
          <w:b/>
          <w:szCs w:val="24"/>
        </w:rPr>
        <w:t xml:space="preserve">Critique author: </w:t>
      </w:r>
      <w:r w:rsidRPr="00673CDB">
        <w:rPr>
          <w:szCs w:val="24"/>
        </w:rPr>
        <w:t>Linda Metzger</w:t>
      </w:r>
      <w:r w:rsidR="00C5280C">
        <w:rPr>
          <w:szCs w:val="24"/>
        </w:rPr>
        <w:t xml:space="preserve"> </w:t>
      </w:r>
    </w:p>
    <w:p w:rsidR="00D32346" w:rsidRPr="00673CDB" w:rsidRDefault="00FB5DBF" w:rsidP="000E294B">
      <w:pPr>
        <w:ind w:left="0"/>
        <w:rPr>
          <w:szCs w:val="24"/>
        </w:rPr>
      </w:pPr>
      <w:r w:rsidRPr="00FB5DBF">
        <w:rPr>
          <w:b/>
          <w:szCs w:val="24"/>
        </w:rPr>
        <w:t>Date:</w:t>
      </w:r>
      <w:r>
        <w:rPr>
          <w:szCs w:val="24"/>
        </w:rPr>
        <w:t xml:space="preserve"> </w:t>
      </w:r>
      <w:r w:rsidR="008A2877">
        <w:rPr>
          <w:szCs w:val="24"/>
        </w:rPr>
        <w:t>3-17</w:t>
      </w:r>
      <w:r w:rsidR="00507EB9">
        <w:rPr>
          <w:szCs w:val="24"/>
        </w:rPr>
        <w:t>-</w:t>
      </w:r>
      <w:r w:rsidR="00C01B1E">
        <w:rPr>
          <w:szCs w:val="24"/>
        </w:rPr>
        <w:t>16</w:t>
      </w:r>
    </w:p>
    <w:p w:rsidR="00A44500" w:rsidRDefault="00E22BE4" w:rsidP="008A3029">
      <w:pPr>
        <w:ind w:left="0"/>
        <w:rPr>
          <w:szCs w:val="24"/>
        </w:rPr>
      </w:pPr>
      <w:r w:rsidRPr="00673CDB">
        <w:rPr>
          <w:b/>
          <w:szCs w:val="24"/>
        </w:rPr>
        <w:t>Design:</w:t>
      </w:r>
      <w:r w:rsidR="00883422">
        <w:rPr>
          <w:szCs w:val="24"/>
        </w:rPr>
        <w:t xml:space="preserve"> Randomized </w:t>
      </w:r>
      <w:r w:rsidR="00C01B1E" w:rsidRPr="00C01B1E">
        <w:rPr>
          <w:szCs w:val="24"/>
        </w:rPr>
        <w:t xml:space="preserve">controlled, </w:t>
      </w:r>
      <w:r w:rsidR="00883422">
        <w:rPr>
          <w:szCs w:val="24"/>
        </w:rPr>
        <w:t>single</w:t>
      </w:r>
      <w:r w:rsidR="00C01B1E" w:rsidRPr="00C01B1E">
        <w:rPr>
          <w:szCs w:val="24"/>
        </w:rPr>
        <w:t xml:space="preserve">-blinded </w:t>
      </w:r>
      <w:r w:rsidR="00C624BF">
        <w:rPr>
          <w:szCs w:val="24"/>
        </w:rPr>
        <w:t xml:space="preserve">clinical </w:t>
      </w:r>
      <w:r w:rsidR="00C01B1E" w:rsidRPr="00C01B1E">
        <w:rPr>
          <w:szCs w:val="24"/>
        </w:rPr>
        <w:t>trial</w:t>
      </w:r>
    </w:p>
    <w:p w:rsidR="00D32346" w:rsidRPr="00673CDB" w:rsidRDefault="00D32346" w:rsidP="00BF684B">
      <w:pPr>
        <w:rPr>
          <w:szCs w:val="24"/>
        </w:rPr>
      </w:pPr>
    </w:p>
    <w:p w:rsidR="00240351" w:rsidRDefault="002362F1" w:rsidP="00240351">
      <w:pPr>
        <w:autoSpaceDE w:val="0"/>
        <w:autoSpaceDN w:val="0"/>
        <w:adjustRightInd w:val="0"/>
        <w:ind w:left="0"/>
        <w:rPr>
          <w:szCs w:val="24"/>
        </w:rPr>
      </w:pPr>
      <w:r w:rsidRPr="00673CDB">
        <w:rPr>
          <w:b/>
          <w:szCs w:val="24"/>
        </w:rPr>
        <w:t xml:space="preserve">Objective: </w:t>
      </w:r>
      <w:r w:rsidR="00240351" w:rsidRPr="00240351">
        <w:rPr>
          <w:szCs w:val="24"/>
        </w:rPr>
        <w:t xml:space="preserve">To investigate </w:t>
      </w:r>
      <w:r w:rsidR="00DD17DB">
        <w:rPr>
          <w:szCs w:val="24"/>
        </w:rPr>
        <w:t>the effectiveness</w:t>
      </w:r>
      <w:r w:rsidR="00DD17DB" w:rsidRPr="00B964C7">
        <w:rPr>
          <w:szCs w:val="24"/>
        </w:rPr>
        <w:t xml:space="preserve"> </w:t>
      </w:r>
      <w:r w:rsidR="00C624BF">
        <w:rPr>
          <w:szCs w:val="24"/>
        </w:rPr>
        <w:t>of</w:t>
      </w:r>
      <w:r w:rsidR="00C624BF" w:rsidRPr="00C624BF">
        <w:rPr>
          <w:szCs w:val="24"/>
        </w:rPr>
        <w:t xml:space="preserve"> </w:t>
      </w:r>
      <w:r w:rsidR="00240351" w:rsidRPr="00240351">
        <w:rPr>
          <w:szCs w:val="24"/>
        </w:rPr>
        <w:t>myofascial release (MFR)</w:t>
      </w:r>
      <w:r w:rsidR="00240351">
        <w:rPr>
          <w:szCs w:val="24"/>
        </w:rPr>
        <w:t xml:space="preserve"> in reducing </w:t>
      </w:r>
      <w:r w:rsidR="00240351" w:rsidRPr="00240351">
        <w:rPr>
          <w:szCs w:val="24"/>
        </w:rPr>
        <w:t xml:space="preserve">pain and </w:t>
      </w:r>
      <w:r w:rsidR="00240351">
        <w:rPr>
          <w:szCs w:val="24"/>
        </w:rPr>
        <w:t xml:space="preserve">improving </w:t>
      </w:r>
      <w:r w:rsidR="00240351" w:rsidRPr="00240351">
        <w:rPr>
          <w:szCs w:val="24"/>
        </w:rPr>
        <w:t xml:space="preserve">functional disability </w:t>
      </w:r>
      <w:r w:rsidR="00240351">
        <w:rPr>
          <w:szCs w:val="24"/>
        </w:rPr>
        <w:t>in</w:t>
      </w:r>
      <w:r w:rsidR="00240351" w:rsidRPr="00240351">
        <w:rPr>
          <w:szCs w:val="24"/>
        </w:rPr>
        <w:t xml:space="preserve"> computer professionals</w:t>
      </w:r>
      <w:r w:rsidR="00240351" w:rsidRPr="0051665A">
        <w:rPr>
          <w:szCs w:val="24"/>
        </w:rPr>
        <w:t xml:space="preserve"> with</w:t>
      </w:r>
      <w:r w:rsidR="00240351">
        <w:rPr>
          <w:szCs w:val="24"/>
        </w:rPr>
        <w:t xml:space="preserve"> </w:t>
      </w:r>
      <w:r w:rsidR="00240351" w:rsidRPr="00240351">
        <w:rPr>
          <w:szCs w:val="24"/>
        </w:rPr>
        <w:t>lateral epicondylitis</w:t>
      </w:r>
      <w:r w:rsidR="00240351">
        <w:rPr>
          <w:szCs w:val="24"/>
        </w:rPr>
        <w:t xml:space="preserve"> </w:t>
      </w:r>
      <w:r w:rsidR="00240351" w:rsidRPr="00240351">
        <w:rPr>
          <w:szCs w:val="24"/>
        </w:rPr>
        <w:t xml:space="preserve">(LE) </w:t>
      </w:r>
      <w:r w:rsidR="00240351">
        <w:rPr>
          <w:szCs w:val="24"/>
        </w:rPr>
        <w:t xml:space="preserve">compared to </w:t>
      </w:r>
      <w:r w:rsidR="00240351" w:rsidRPr="00240351">
        <w:rPr>
          <w:szCs w:val="24"/>
        </w:rPr>
        <w:t>a control group receiving sham</w:t>
      </w:r>
      <w:r w:rsidR="00240351">
        <w:rPr>
          <w:szCs w:val="24"/>
        </w:rPr>
        <w:t xml:space="preserve"> </w:t>
      </w:r>
      <w:r w:rsidR="00240351" w:rsidRPr="00240351">
        <w:rPr>
          <w:szCs w:val="24"/>
        </w:rPr>
        <w:t>ultrasound therapy</w:t>
      </w:r>
      <w:r w:rsidR="00240351">
        <w:rPr>
          <w:szCs w:val="24"/>
        </w:rPr>
        <w:t>.</w:t>
      </w:r>
    </w:p>
    <w:p w:rsidR="00240351" w:rsidRDefault="00240351" w:rsidP="008A3029">
      <w:pPr>
        <w:autoSpaceDE w:val="0"/>
        <w:autoSpaceDN w:val="0"/>
        <w:adjustRightInd w:val="0"/>
        <w:ind w:left="0"/>
        <w:rPr>
          <w:szCs w:val="24"/>
        </w:rPr>
      </w:pPr>
    </w:p>
    <w:p w:rsidR="008D264D" w:rsidRPr="00240351" w:rsidRDefault="00053CA3" w:rsidP="008A3029">
      <w:pPr>
        <w:autoSpaceDE w:val="0"/>
        <w:autoSpaceDN w:val="0"/>
        <w:adjustRightInd w:val="0"/>
        <w:ind w:left="0"/>
        <w:rPr>
          <w:szCs w:val="24"/>
        </w:rPr>
      </w:pPr>
      <w:r>
        <w:rPr>
          <w:b/>
          <w:szCs w:val="24"/>
        </w:rPr>
        <w:t>Population /sample size/setting:</w:t>
      </w:r>
    </w:p>
    <w:p w:rsidR="00053CA3" w:rsidRPr="008934D9" w:rsidRDefault="00053CA3" w:rsidP="008A3029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9772F6" w:rsidRPr="0093743D" w:rsidRDefault="009423EE" w:rsidP="0093743D">
      <w:pPr>
        <w:pStyle w:val="ListParagraph"/>
        <w:numPr>
          <w:ilvl w:val="0"/>
          <w:numId w:val="7"/>
        </w:numPr>
        <w:rPr>
          <w:szCs w:val="24"/>
        </w:rPr>
      </w:pPr>
      <w:r w:rsidRPr="0093743D">
        <w:rPr>
          <w:szCs w:val="24"/>
        </w:rPr>
        <w:t xml:space="preserve">A total of </w:t>
      </w:r>
      <w:r w:rsidR="0093743D" w:rsidRPr="0093743D">
        <w:rPr>
          <w:szCs w:val="24"/>
        </w:rPr>
        <w:t>65</w:t>
      </w:r>
      <w:r w:rsidR="00305931" w:rsidRPr="0093743D">
        <w:rPr>
          <w:szCs w:val="24"/>
        </w:rPr>
        <w:t xml:space="preserve"> </w:t>
      </w:r>
      <w:r w:rsidR="0093743D" w:rsidRPr="0093743D">
        <w:rPr>
          <w:szCs w:val="24"/>
        </w:rPr>
        <w:t>participants including 38 females and 27</w:t>
      </w:r>
      <w:r w:rsidR="004226C3" w:rsidRPr="0093743D">
        <w:rPr>
          <w:szCs w:val="24"/>
        </w:rPr>
        <w:t xml:space="preserve"> males</w:t>
      </w:r>
      <w:r w:rsidR="0002604B">
        <w:rPr>
          <w:szCs w:val="24"/>
        </w:rPr>
        <w:t>,</w:t>
      </w:r>
      <w:r w:rsidR="004226C3" w:rsidRPr="0093743D">
        <w:rPr>
          <w:szCs w:val="24"/>
        </w:rPr>
        <w:t xml:space="preserve"> </w:t>
      </w:r>
      <w:r w:rsidR="0002604B" w:rsidRPr="0002604B">
        <w:rPr>
          <w:szCs w:val="24"/>
        </w:rPr>
        <w:t xml:space="preserve">aged 20 to 40 years </w:t>
      </w:r>
      <w:r w:rsidR="00305931" w:rsidRPr="0093743D">
        <w:rPr>
          <w:szCs w:val="24"/>
        </w:rPr>
        <w:t>(</w:t>
      </w:r>
      <w:r w:rsidRPr="0093743D">
        <w:rPr>
          <w:bCs/>
        </w:rPr>
        <w:t xml:space="preserve">mean age </w:t>
      </w:r>
      <w:r w:rsidR="0093743D" w:rsidRPr="0093743D">
        <w:rPr>
          <w:bCs/>
        </w:rPr>
        <w:t xml:space="preserve">29.9 </w:t>
      </w:r>
      <w:r w:rsidR="00305931" w:rsidRPr="0093743D">
        <w:rPr>
          <w:bCs/>
        </w:rPr>
        <w:t>years)</w:t>
      </w:r>
      <w:r w:rsidR="00305931" w:rsidRPr="0093743D">
        <w:rPr>
          <w:szCs w:val="24"/>
        </w:rPr>
        <w:t xml:space="preserve"> with clinical </w:t>
      </w:r>
      <w:r w:rsidR="0093743D" w:rsidRPr="0093743D">
        <w:rPr>
          <w:szCs w:val="24"/>
        </w:rPr>
        <w:t xml:space="preserve">evidence and provocative signs </w:t>
      </w:r>
      <w:r w:rsidR="00305931" w:rsidRPr="0093743D">
        <w:rPr>
          <w:szCs w:val="24"/>
        </w:rPr>
        <w:t xml:space="preserve">of </w:t>
      </w:r>
      <w:r w:rsidR="0093743D" w:rsidRPr="0093743D">
        <w:rPr>
          <w:szCs w:val="24"/>
        </w:rPr>
        <w:t xml:space="preserve">lateral epicondylitis </w:t>
      </w:r>
      <w:r w:rsidR="00305931" w:rsidRPr="0093743D">
        <w:rPr>
          <w:szCs w:val="24"/>
        </w:rPr>
        <w:t xml:space="preserve">were recruited </w:t>
      </w:r>
      <w:r w:rsidR="0093743D" w:rsidRPr="0093743D">
        <w:rPr>
          <w:szCs w:val="24"/>
        </w:rPr>
        <w:t xml:space="preserve">at </w:t>
      </w:r>
      <w:r w:rsidRPr="0093743D">
        <w:rPr>
          <w:szCs w:val="24"/>
        </w:rPr>
        <w:t>the</w:t>
      </w:r>
      <w:r w:rsidR="0093743D" w:rsidRPr="0093743D">
        <w:rPr>
          <w:szCs w:val="24"/>
        </w:rPr>
        <w:t xml:space="preserve"> clinic of the Myofascial Therapy and Research Foundation, Kottayam, Kerala, India</w:t>
      </w:r>
      <w:r w:rsidR="00396D1A">
        <w:rPr>
          <w:szCs w:val="24"/>
        </w:rPr>
        <w:t xml:space="preserve"> b</w:t>
      </w:r>
      <w:r w:rsidR="00396D1A" w:rsidRPr="00396D1A">
        <w:rPr>
          <w:szCs w:val="24"/>
        </w:rPr>
        <w:t>etween December 2008 and June 2009</w:t>
      </w:r>
      <w:r w:rsidR="00305931" w:rsidRPr="0093743D">
        <w:rPr>
          <w:szCs w:val="24"/>
        </w:rPr>
        <w:t>.</w:t>
      </w:r>
    </w:p>
    <w:p w:rsidR="00305931" w:rsidRPr="0002604B" w:rsidRDefault="0086052B" w:rsidP="00730FDE">
      <w:pPr>
        <w:pStyle w:val="ListParagraph"/>
        <w:numPr>
          <w:ilvl w:val="0"/>
          <w:numId w:val="7"/>
        </w:numPr>
        <w:rPr>
          <w:szCs w:val="24"/>
        </w:rPr>
      </w:pPr>
      <w:r w:rsidRPr="0002604B">
        <w:rPr>
          <w:szCs w:val="24"/>
        </w:rPr>
        <w:t xml:space="preserve">The </w:t>
      </w:r>
      <w:r w:rsidR="0093743D" w:rsidRPr="0002604B">
        <w:rPr>
          <w:szCs w:val="24"/>
        </w:rPr>
        <w:t>65</w:t>
      </w:r>
      <w:r w:rsidR="00053CA3" w:rsidRPr="0002604B">
        <w:rPr>
          <w:szCs w:val="24"/>
        </w:rPr>
        <w:t xml:space="preserve"> </w:t>
      </w:r>
      <w:r w:rsidR="00305931" w:rsidRPr="0002604B">
        <w:rPr>
          <w:szCs w:val="24"/>
        </w:rPr>
        <w:t>patients were randomly assigned to one of</w:t>
      </w:r>
      <w:r w:rsidR="0093743D" w:rsidRPr="0002604B">
        <w:rPr>
          <w:szCs w:val="24"/>
        </w:rPr>
        <w:t xml:space="preserve"> the 2</w:t>
      </w:r>
      <w:r w:rsidRPr="0002604B">
        <w:rPr>
          <w:szCs w:val="24"/>
        </w:rPr>
        <w:t xml:space="preserve"> </w:t>
      </w:r>
      <w:r w:rsidR="00792B7B" w:rsidRPr="0002604B">
        <w:rPr>
          <w:szCs w:val="24"/>
        </w:rPr>
        <w:t xml:space="preserve">treatment </w:t>
      </w:r>
      <w:r w:rsidR="00730FDE" w:rsidRPr="0002604B">
        <w:rPr>
          <w:szCs w:val="24"/>
        </w:rPr>
        <w:t xml:space="preserve">groups: </w:t>
      </w:r>
      <w:r w:rsidR="0002604B">
        <w:rPr>
          <w:szCs w:val="24"/>
        </w:rPr>
        <w:t xml:space="preserve">the MFR group </w:t>
      </w:r>
      <w:r w:rsidR="0093743D" w:rsidRPr="0002604B">
        <w:rPr>
          <w:szCs w:val="24"/>
        </w:rPr>
        <w:t>(n = 33</w:t>
      </w:r>
      <w:r w:rsidR="00730FDE" w:rsidRPr="0002604B">
        <w:rPr>
          <w:szCs w:val="24"/>
        </w:rPr>
        <w:t>),</w:t>
      </w:r>
      <w:r w:rsidR="0002604B" w:rsidRPr="0002604B">
        <w:rPr>
          <w:szCs w:val="24"/>
        </w:rPr>
        <w:t xml:space="preserve"> or the control group receiving sham ultrasound therapy (n=32)</w:t>
      </w:r>
      <w:r w:rsidR="00305931" w:rsidRPr="0002604B">
        <w:rPr>
          <w:szCs w:val="24"/>
        </w:rPr>
        <w:t>.</w:t>
      </w:r>
    </w:p>
    <w:p w:rsidR="006B7F3F" w:rsidRPr="00FD40C4" w:rsidRDefault="002D31E6" w:rsidP="0002604B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02604B">
        <w:rPr>
          <w:szCs w:val="24"/>
        </w:rPr>
        <w:t xml:space="preserve">Inclusion criteria included </w:t>
      </w:r>
      <w:r w:rsidR="0002604B" w:rsidRPr="0002604B">
        <w:rPr>
          <w:szCs w:val="24"/>
        </w:rPr>
        <w:t>computer professionals with a diagnosis of LE on the mouse-operating arm based on the Southampton examination criteria for LE</w:t>
      </w:r>
      <w:r w:rsidR="0002604B">
        <w:rPr>
          <w:szCs w:val="24"/>
        </w:rPr>
        <w:t xml:space="preserve">, </w:t>
      </w:r>
      <w:r w:rsidR="0002604B" w:rsidRPr="0002604B">
        <w:rPr>
          <w:szCs w:val="24"/>
        </w:rPr>
        <w:t xml:space="preserve">pain lasting </w:t>
      </w:r>
      <w:r w:rsidR="0002604B">
        <w:rPr>
          <w:szCs w:val="24"/>
          <w:u w:val="single"/>
        </w:rPr>
        <w:t>&gt;</w:t>
      </w:r>
      <w:r w:rsidR="0002604B">
        <w:rPr>
          <w:szCs w:val="24"/>
        </w:rPr>
        <w:t xml:space="preserve"> </w:t>
      </w:r>
      <w:r w:rsidR="0002604B" w:rsidRPr="0002604B">
        <w:rPr>
          <w:szCs w:val="24"/>
        </w:rPr>
        <w:t>1 day in the last 7 days in the lateral elbow region,</w:t>
      </w:r>
      <w:r w:rsidR="0002604B">
        <w:rPr>
          <w:szCs w:val="24"/>
        </w:rPr>
        <w:t xml:space="preserve"> </w:t>
      </w:r>
      <w:r w:rsidR="0002604B" w:rsidRPr="0002604B">
        <w:rPr>
          <w:szCs w:val="24"/>
        </w:rPr>
        <w:t>tenderness over the lateral elbow region, pain occurring over</w:t>
      </w:r>
      <w:r w:rsidR="0002604B">
        <w:rPr>
          <w:szCs w:val="24"/>
        </w:rPr>
        <w:t xml:space="preserve"> </w:t>
      </w:r>
      <w:r w:rsidR="0002604B" w:rsidRPr="0002604B">
        <w:rPr>
          <w:szCs w:val="24"/>
        </w:rPr>
        <w:t>the lateral elbow region during resisted active extension of the</w:t>
      </w:r>
      <w:r w:rsidR="0002604B">
        <w:rPr>
          <w:szCs w:val="24"/>
        </w:rPr>
        <w:t xml:space="preserve"> wrist, pain lasting at least 3 months,</w:t>
      </w:r>
      <w:r w:rsidR="0002604B" w:rsidRPr="0002604B">
        <w:rPr>
          <w:szCs w:val="24"/>
        </w:rPr>
        <w:t xml:space="preserve"> those working with a personal</w:t>
      </w:r>
      <w:r w:rsidR="0002604B">
        <w:rPr>
          <w:szCs w:val="24"/>
        </w:rPr>
        <w:t xml:space="preserve"> </w:t>
      </w:r>
      <w:r w:rsidR="0002604B" w:rsidRPr="0002604B">
        <w:rPr>
          <w:szCs w:val="24"/>
        </w:rPr>
        <w:t>computer, computer terminal, or equivalent device with a computer</w:t>
      </w:r>
      <w:r w:rsidR="0002604B">
        <w:rPr>
          <w:szCs w:val="24"/>
        </w:rPr>
        <w:t xml:space="preserve"> mouse,</w:t>
      </w:r>
      <w:r w:rsidR="0002604B" w:rsidRPr="0002604B">
        <w:rPr>
          <w:szCs w:val="24"/>
        </w:rPr>
        <w:t xml:space="preserve"> those using a computer for 50% or more of the work</w:t>
      </w:r>
      <w:r w:rsidR="0002604B">
        <w:rPr>
          <w:szCs w:val="24"/>
        </w:rPr>
        <w:t xml:space="preserve"> day,</w:t>
      </w:r>
      <w:r w:rsidR="0002604B" w:rsidRPr="0002604B">
        <w:rPr>
          <w:szCs w:val="24"/>
        </w:rPr>
        <w:t xml:space="preserve"> and those who had completed a baseline Patient-Rated Tennis</w:t>
      </w:r>
      <w:r w:rsidR="0002604B">
        <w:rPr>
          <w:szCs w:val="24"/>
        </w:rPr>
        <w:t xml:space="preserve"> </w:t>
      </w:r>
      <w:r w:rsidR="0002604B" w:rsidRPr="00FD40C4">
        <w:rPr>
          <w:szCs w:val="24"/>
        </w:rPr>
        <w:t>Elbow Evaluation (PRTEE) scale.</w:t>
      </w:r>
    </w:p>
    <w:p w:rsidR="00792B7B" w:rsidRPr="00881F8C" w:rsidRDefault="00F60CAF" w:rsidP="00881F8C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FD40C4">
        <w:rPr>
          <w:szCs w:val="24"/>
        </w:rPr>
        <w:t>Exclusion criteria included</w:t>
      </w:r>
      <w:r w:rsidR="00FD40C4">
        <w:rPr>
          <w:szCs w:val="24"/>
        </w:rPr>
        <w:t xml:space="preserve"> </w:t>
      </w:r>
      <w:r w:rsidR="00881F8C">
        <w:rPr>
          <w:szCs w:val="24"/>
        </w:rPr>
        <w:t>t</w:t>
      </w:r>
      <w:r w:rsidR="00FD40C4" w:rsidRPr="00FD40C4">
        <w:rPr>
          <w:szCs w:val="24"/>
        </w:rPr>
        <w:t>hose with a history of</w:t>
      </w:r>
      <w:r w:rsidR="00881F8C">
        <w:rPr>
          <w:szCs w:val="24"/>
        </w:rPr>
        <w:t xml:space="preserve"> </w:t>
      </w:r>
      <w:r w:rsidR="00FD40C4" w:rsidRPr="00881F8C">
        <w:rPr>
          <w:szCs w:val="24"/>
        </w:rPr>
        <w:t>trauma to the affected elbow in the preceding 6 weeks, history of</w:t>
      </w:r>
      <w:r w:rsidR="00881F8C">
        <w:rPr>
          <w:szCs w:val="24"/>
        </w:rPr>
        <w:t xml:space="preserve"> </w:t>
      </w:r>
      <w:r w:rsidR="00FD40C4" w:rsidRPr="00881F8C">
        <w:rPr>
          <w:szCs w:val="24"/>
        </w:rPr>
        <w:t>elbow instability, previous elbow surgery, any other pathology</w:t>
      </w:r>
      <w:r w:rsidR="00881F8C">
        <w:rPr>
          <w:szCs w:val="24"/>
        </w:rPr>
        <w:t xml:space="preserve"> </w:t>
      </w:r>
      <w:r w:rsidR="00FD40C4" w:rsidRPr="00881F8C">
        <w:rPr>
          <w:szCs w:val="24"/>
        </w:rPr>
        <w:t>involving the affected upper limb or cervical spine, use of oral/systemic steroids, use of analgesics on more than 10 days a month,</w:t>
      </w:r>
      <w:r w:rsidR="00881F8C" w:rsidRPr="00881F8C">
        <w:rPr>
          <w:szCs w:val="24"/>
        </w:rPr>
        <w:t xml:space="preserve"> </w:t>
      </w:r>
      <w:r w:rsidR="00FD40C4" w:rsidRPr="00881F8C">
        <w:rPr>
          <w:szCs w:val="24"/>
        </w:rPr>
        <w:t>and any other treatment for LE during the previous 6 months</w:t>
      </w:r>
      <w:r w:rsidR="00447312" w:rsidRPr="00881F8C">
        <w:rPr>
          <w:szCs w:val="24"/>
        </w:rPr>
        <w:t>.</w:t>
      </w:r>
    </w:p>
    <w:p w:rsidR="00447312" w:rsidRPr="00447312" w:rsidRDefault="00447312" w:rsidP="00447312">
      <w:pPr>
        <w:pStyle w:val="ListParagraph"/>
        <w:spacing w:after="200"/>
        <w:ind w:left="720"/>
        <w:rPr>
          <w:szCs w:val="24"/>
        </w:rPr>
      </w:pPr>
    </w:p>
    <w:p w:rsidR="00756C4C" w:rsidRDefault="00FB5DBF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  <w:r w:rsidRPr="001D7B91">
        <w:rPr>
          <w:rFonts w:cs="Times New Roman"/>
          <w:b/>
          <w:szCs w:val="24"/>
        </w:rPr>
        <w:t>Methods</w:t>
      </w:r>
      <w:r>
        <w:rPr>
          <w:rFonts w:cs="Times New Roman"/>
          <w:b/>
          <w:szCs w:val="24"/>
        </w:rPr>
        <w:t>/</w:t>
      </w:r>
      <w:r w:rsidR="002A0E04" w:rsidRPr="001D7B91">
        <w:rPr>
          <w:rFonts w:cs="Times New Roman"/>
          <w:b/>
          <w:szCs w:val="24"/>
        </w:rPr>
        <w:t>Interventions</w:t>
      </w:r>
      <w:r w:rsidR="000B76E6" w:rsidRPr="001D7B91">
        <w:rPr>
          <w:rFonts w:cs="Times New Roman"/>
          <w:b/>
          <w:szCs w:val="24"/>
        </w:rPr>
        <w:t>/</w:t>
      </w:r>
      <w:r>
        <w:rPr>
          <w:rFonts w:cs="Times New Roman"/>
          <w:b/>
          <w:szCs w:val="24"/>
        </w:rPr>
        <w:t>Outcome Measures</w:t>
      </w:r>
      <w:r w:rsidR="002A0E04" w:rsidRPr="001D7B91">
        <w:rPr>
          <w:rFonts w:cs="Times New Roman"/>
          <w:b/>
          <w:szCs w:val="24"/>
        </w:rPr>
        <w:t>:</w:t>
      </w:r>
    </w:p>
    <w:p w:rsidR="00DD1E46" w:rsidRDefault="00DD1E46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</w:p>
    <w:p w:rsidR="00AD6585" w:rsidRDefault="00DD1E46" w:rsidP="00315686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E7052D">
        <w:rPr>
          <w:rFonts w:cs="Times New Roman"/>
          <w:szCs w:val="24"/>
        </w:rPr>
        <w:t xml:space="preserve">Study design was a randomized, </w:t>
      </w:r>
      <w:r w:rsidR="00E7052D" w:rsidRPr="00E7052D">
        <w:rPr>
          <w:rFonts w:cs="Times New Roman"/>
          <w:szCs w:val="24"/>
        </w:rPr>
        <w:t>single</w:t>
      </w:r>
      <w:r w:rsidRPr="00E7052D">
        <w:rPr>
          <w:rFonts w:cs="Times New Roman"/>
          <w:szCs w:val="24"/>
        </w:rPr>
        <w:t>-blind study</w:t>
      </w:r>
      <w:r w:rsidR="00E7052D" w:rsidRPr="00E7052D">
        <w:rPr>
          <w:rFonts w:cs="Times New Roman"/>
          <w:szCs w:val="24"/>
        </w:rPr>
        <w:t xml:space="preserve"> with 12</w:t>
      </w:r>
      <w:r w:rsidR="008D3D58" w:rsidRPr="00E7052D">
        <w:rPr>
          <w:rFonts w:cs="Times New Roman"/>
          <w:szCs w:val="24"/>
        </w:rPr>
        <w:t xml:space="preserve"> weeks of follow-up</w:t>
      </w:r>
      <w:r w:rsidRPr="00E7052D">
        <w:rPr>
          <w:rFonts w:cs="Times New Roman"/>
          <w:szCs w:val="24"/>
        </w:rPr>
        <w:t xml:space="preserve">. </w:t>
      </w:r>
    </w:p>
    <w:p w:rsidR="00E7052D" w:rsidRDefault="00E7052D" w:rsidP="00E7052D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E7052D">
        <w:rPr>
          <w:rFonts w:cs="Times New Roman"/>
          <w:szCs w:val="24"/>
        </w:rPr>
        <w:t xml:space="preserve">The 2 interventions were </w:t>
      </w:r>
      <w:r>
        <w:rPr>
          <w:rFonts w:cs="Times New Roman"/>
          <w:szCs w:val="24"/>
        </w:rPr>
        <w:t xml:space="preserve">administered by </w:t>
      </w:r>
      <w:r w:rsidRPr="00E7052D">
        <w:rPr>
          <w:rFonts w:cs="Times New Roman"/>
          <w:szCs w:val="24"/>
        </w:rPr>
        <w:t>certified</w:t>
      </w:r>
      <w:r w:rsidR="00A93620">
        <w:rPr>
          <w:rFonts w:cs="Times New Roman"/>
          <w:szCs w:val="24"/>
        </w:rPr>
        <w:t>, experienced</w:t>
      </w:r>
      <w:r w:rsidRPr="00E7052D">
        <w:rPr>
          <w:rFonts w:cs="Times New Roman"/>
          <w:szCs w:val="24"/>
        </w:rPr>
        <w:t xml:space="preserve"> MFR </w:t>
      </w:r>
      <w:r w:rsidR="00A93620">
        <w:rPr>
          <w:rFonts w:cs="Times New Roman"/>
          <w:szCs w:val="24"/>
        </w:rPr>
        <w:t xml:space="preserve">therapists </w:t>
      </w:r>
      <w:r w:rsidRPr="00E7052D">
        <w:rPr>
          <w:rFonts w:cs="Times New Roman"/>
          <w:szCs w:val="24"/>
        </w:rPr>
        <w:t xml:space="preserve">3 times </w:t>
      </w:r>
      <w:r>
        <w:rPr>
          <w:rFonts w:cs="Times New Roman"/>
          <w:szCs w:val="24"/>
        </w:rPr>
        <w:t>a week</w:t>
      </w:r>
      <w:r w:rsidRPr="00E7052D">
        <w:rPr>
          <w:rFonts w:cs="Times New Roman"/>
          <w:szCs w:val="24"/>
        </w:rPr>
        <w:t xml:space="preserve"> for </w:t>
      </w:r>
      <w:r>
        <w:rPr>
          <w:rFonts w:cs="Times New Roman"/>
          <w:szCs w:val="24"/>
        </w:rPr>
        <w:t xml:space="preserve">the first </w:t>
      </w:r>
      <w:r w:rsidRPr="00E7052D">
        <w:rPr>
          <w:rFonts w:cs="Times New Roman"/>
          <w:szCs w:val="24"/>
        </w:rPr>
        <w:t>4 weeks</w:t>
      </w:r>
      <w:r>
        <w:rPr>
          <w:rFonts w:cs="Times New Roman"/>
          <w:szCs w:val="24"/>
        </w:rPr>
        <w:t xml:space="preserve"> (12 total</w:t>
      </w:r>
      <w:r w:rsidR="003B4887">
        <w:rPr>
          <w:rFonts w:cs="Times New Roman"/>
          <w:szCs w:val="24"/>
        </w:rPr>
        <w:t xml:space="preserve"> treatments</w:t>
      </w:r>
      <w:r>
        <w:rPr>
          <w:rFonts w:cs="Times New Roman"/>
          <w:szCs w:val="24"/>
        </w:rPr>
        <w:t xml:space="preserve">) </w:t>
      </w:r>
      <w:r w:rsidRPr="00E7052D">
        <w:rPr>
          <w:rFonts w:cs="Times New Roman"/>
          <w:szCs w:val="24"/>
        </w:rPr>
        <w:t>with a mini</w:t>
      </w:r>
      <w:r>
        <w:rPr>
          <w:rFonts w:cs="Times New Roman"/>
          <w:szCs w:val="24"/>
        </w:rPr>
        <w:t>mum of a 1 day gap between any 2 sessions.  T</w:t>
      </w:r>
      <w:r w:rsidRPr="00E7052D">
        <w:rPr>
          <w:rFonts w:cs="Times New Roman"/>
          <w:szCs w:val="24"/>
        </w:rPr>
        <w:t>he duration of each treatment session was 30 minutes.</w:t>
      </w:r>
      <w:r>
        <w:rPr>
          <w:rFonts w:cs="Times New Roman"/>
          <w:szCs w:val="24"/>
        </w:rPr>
        <w:t xml:space="preserve"> </w:t>
      </w:r>
      <w:r w:rsidR="00820EB3" w:rsidRPr="00820EB3">
        <w:rPr>
          <w:rFonts w:cs="Times New Roman"/>
          <w:szCs w:val="24"/>
        </w:rPr>
        <w:t xml:space="preserve">All </w:t>
      </w:r>
      <w:r w:rsidR="00820EB3">
        <w:rPr>
          <w:rFonts w:cs="Times New Roman"/>
          <w:szCs w:val="24"/>
        </w:rPr>
        <w:t xml:space="preserve">therapists </w:t>
      </w:r>
      <w:r w:rsidR="00820EB3" w:rsidRPr="00820EB3">
        <w:rPr>
          <w:rFonts w:cs="Times New Roman"/>
          <w:szCs w:val="24"/>
        </w:rPr>
        <w:t>who delivered treatments</w:t>
      </w:r>
      <w:r w:rsidR="00820EB3">
        <w:rPr>
          <w:rFonts w:cs="Times New Roman"/>
          <w:szCs w:val="24"/>
        </w:rPr>
        <w:t xml:space="preserve"> were </w:t>
      </w:r>
      <w:r w:rsidR="00820EB3" w:rsidRPr="00820EB3">
        <w:rPr>
          <w:rFonts w:cs="Times New Roman"/>
          <w:szCs w:val="24"/>
        </w:rPr>
        <w:t xml:space="preserve">aware of the </w:t>
      </w:r>
      <w:r w:rsidR="00820EB3">
        <w:rPr>
          <w:rFonts w:cs="Times New Roman"/>
          <w:szCs w:val="24"/>
        </w:rPr>
        <w:t xml:space="preserve">patients’ </w:t>
      </w:r>
      <w:r w:rsidR="00820EB3" w:rsidRPr="00820EB3">
        <w:rPr>
          <w:rFonts w:cs="Times New Roman"/>
          <w:szCs w:val="24"/>
        </w:rPr>
        <w:t xml:space="preserve">treatment allocation. </w:t>
      </w:r>
    </w:p>
    <w:p w:rsidR="003B4887" w:rsidRDefault="003B4887" w:rsidP="00457D2A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>The M</w:t>
      </w:r>
      <w:r w:rsidR="00457D2A">
        <w:rPr>
          <w:rFonts w:cs="Times New Roman"/>
          <w:szCs w:val="24"/>
        </w:rPr>
        <w:t xml:space="preserve">FR treatment protocol consisted of 3 techniques. The first technique </w:t>
      </w:r>
      <w:r w:rsidR="00457D2A" w:rsidRPr="00457D2A">
        <w:rPr>
          <w:rFonts w:cs="Times New Roman"/>
          <w:szCs w:val="24"/>
        </w:rPr>
        <w:t>began</w:t>
      </w:r>
      <w:r w:rsidR="00457D2A">
        <w:rPr>
          <w:rFonts w:cs="Times New Roman"/>
          <w:szCs w:val="24"/>
        </w:rPr>
        <w:t xml:space="preserve"> </w:t>
      </w:r>
      <w:r w:rsidR="00457D2A" w:rsidRPr="00457D2A">
        <w:rPr>
          <w:rFonts w:cs="Times New Roman"/>
          <w:szCs w:val="24"/>
        </w:rPr>
        <w:t>on the humerus,</w:t>
      </w:r>
      <w:r w:rsidR="00457D2A">
        <w:rPr>
          <w:rFonts w:cs="Times New Roman"/>
          <w:szCs w:val="24"/>
        </w:rPr>
        <w:t xml:space="preserve"> t</w:t>
      </w:r>
      <w:r w:rsidR="00457D2A" w:rsidRPr="00457D2A">
        <w:rPr>
          <w:rFonts w:cs="Times New Roman"/>
          <w:szCs w:val="24"/>
        </w:rPr>
        <w:t>reating from the common extensor tendon to</w:t>
      </w:r>
      <w:r w:rsidR="00457D2A">
        <w:rPr>
          <w:rFonts w:cs="Times New Roman"/>
          <w:szCs w:val="24"/>
        </w:rPr>
        <w:t xml:space="preserve"> </w:t>
      </w:r>
      <w:r w:rsidR="00457D2A" w:rsidRPr="00457D2A">
        <w:rPr>
          <w:rFonts w:cs="Times New Roman"/>
          <w:szCs w:val="24"/>
        </w:rPr>
        <w:t>the extensor retinaculum of the wrist.</w:t>
      </w:r>
      <w:r w:rsidR="00457D2A">
        <w:rPr>
          <w:rFonts w:cs="Times New Roman"/>
          <w:szCs w:val="24"/>
        </w:rPr>
        <w:t xml:space="preserve"> The second</w:t>
      </w:r>
      <w:r w:rsidR="00457D2A" w:rsidRPr="00457D2A">
        <w:rPr>
          <w:rFonts w:cs="Times New Roman"/>
          <w:szCs w:val="24"/>
        </w:rPr>
        <w:t xml:space="preserve"> technique</w:t>
      </w:r>
      <w:r w:rsidR="00457D2A">
        <w:rPr>
          <w:rFonts w:cs="Times New Roman"/>
          <w:szCs w:val="24"/>
        </w:rPr>
        <w:t xml:space="preserve"> involved using</w:t>
      </w:r>
      <w:r w:rsidR="00457D2A" w:rsidRPr="00457D2A">
        <w:rPr>
          <w:rFonts w:cs="Times New Roman"/>
          <w:szCs w:val="24"/>
        </w:rPr>
        <w:t xml:space="preserve"> the knuckles of the hand to work over </w:t>
      </w:r>
      <w:r w:rsidR="00457D2A">
        <w:rPr>
          <w:rFonts w:cs="Times New Roman"/>
          <w:szCs w:val="24"/>
        </w:rPr>
        <w:t xml:space="preserve">and </w:t>
      </w:r>
      <w:r w:rsidR="00457D2A" w:rsidRPr="00457D2A">
        <w:rPr>
          <w:rFonts w:cs="Times New Roman"/>
          <w:szCs w:val="24"/>
        </w:rPr>
        <w:lastRenderedPageBreak/>
        <w:t>through</w:t>
      </w:r>
      <w:r w:rsidR="00457D2A">
        <w:rPr>
          <w:rFonts w:cs="Times New Roman"/>
          <w:szCs w:val="24"/>
        </w:rPr>
        <w:t xml:space="preserve"> </w:t>
      </w:r>
      <w:r w:rsidR="00457D2A" w:rsidRPr="00457D2A">
        <w:rPr>
          <w:rFonts w:cs="Times New Roman"/>
          <w:szCs w:val="24"/>
        </w:rPr>
        <w:t>the periosteum of the ulna.</w:t>
      </w:r>
      <w:r w:rsidR="00457D2A">
        <w:rPr>
          <w:rFonts w:cs="Times New Roman"/>
          <w:szCs w:val="24"/>
        </w:rPr>
        <w:t xml:space="preserve"> The third</w:t>
      </w:r>
      <w:r w:rsidR="00457D2A" w:rsidRPr="00457D2A">
        <w:rPr>
          <w:rFonts w:cs="Times New Roman"/>
          <w:szCs w:val="24"/>
        </w:rPr>
        <w:t xml:space="preserve"> technique</w:t>
      </w:r>
      <w:r w:rsidR="00457D2A">
        <w:rPr>
          <w:rFonts w:cs="Times New Roman"/>
          <w:szCs w:val="24"/>
        </w:rPr>
        <w:t xml:space="preserve"> involved s</w:t>
      </w:r>
      <w:r w:rsidR="00457D2A" w:rsidRPr="00457D2A">
        <w:rPr>
          <w:rFonts w:cs="Times New Roman"/>
          <w:szCs w:val="24"/>
        </w:rPr>
        <w:t xml:space="preserve">preading the </w:t>
      </w:r>
      <w:r w:rsidR="00E71216">
        <w:rPr>
          <w:rFonts w:cs="Times New Roman"/>
          <w:szCs w:val="24"/>
        </w:rPr>
        <w:t xml:space="preserve">bones apart, that is the </w:t>
      </w:r>
      <w:r w:rsidR="00457D2A" w:rsidRPr="00457D2A">
        <w:rPr>
          <w:rFonts w:cs="Times New Roman"/>
          <w:szCs w:val="24"/>
        </w:rPr>
        <w:t>radius from the ulna</w:t>
      </w:r>
      <w:r w:rsidR="00457D2A">
        <w:rPr>
          <w:rFonts w:cs="Times New Roman"/>
          <w:szCs w:val="24"/>
        </w:rPr>
        <w:t>.</w:t>
      </w:r>
    </w:p>
    <w:p w:rsidR="00E71216" w:rsidRDefault="00E71216" w:rsidP="00E71216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E71216">
        <w:rPr>
          <w:rFonts w:cs="Times New Roman"/>
          <w:szCs w:val="24"/>
        </w:rPr>
        <w:t>Patients in the control group received</w:t>
      </w:r>
      <w:r>
        <w:rPr>
          <w:rFonts w:cs="Times New Roman"/>
          <w:szCs w:val="24"/>
        </w:rPr>
        <w:t xml:space="preserve"> </w:t>
      </w:r>
      <w:r w:rsidRPr="00E71216">
        <w:rPr>
          <w:rFonts w:cs="Times New Roman"/>
          <w:szCs w:val="24"/>
        </w:rPr>
        <w:t>sham ultrasound therapy over the extensor aspect of the</w:t>
      </w:r>
      <w:r>
        <w:rPr>
          <w:rFonts w:cs="Times New Roman"/>
          <w:szCs w:val="24"/>
        </w:rPr>
        <w:t xml:space="preserve"> </w:t>
      </w:r>
      <w:r w:rsidRPr="00E71216">
        <w:rPr>
          <w:rFonts w:cs="Times New Roman"/>
          <w:szCs w:val="24"/>
        </w:rPr>
        <w:t xml:space="preserve">forearm in the same 3 areas as the MFR </w:t>
      </w:r>
      <w:r>
        <w:rPr>
          <w:rFonts w:cs="Times New Roman"/>
          <w:szCs w:val="24"/>
        </w:rPr>
        <w:t xml:space="preserve">treatment </w:t>
      </w:r>
      <w:r w:rsidRPr="00E71216">
        <w:rPr>
          <w:rFonts w:cs="Times New Roman"/>
          <w:szCs w:val="24"/>
        </w:rPr>
        <w:t>for 30 minutes per treatment session</w:t>
      </w:r>
      <w:r>
        <w:rPr>
          <w:rFonts w:cs="Times New Roman"/>
          <w:szCs w:val="24"/>
        </w:rPr>
        <w:t xml:space="preserve">. </w:t>
      </w:r>
      <w:r w:rsidRPr="00E71216">
        <w:rPr>
          <w:rFonts w:cs="Times New Roman"/>
          <w:szCs w:val="24"/>
        </w:rPr>
        <w:t>The ultrasound</w:t>
      </w:r>
      <w:r>
        <w:rPr>
          <w:rFonts w:cs="Times New Roman"/>
          <w:szCs w:val="24"/>
        </w:rPr>
        <w:t xml:space="preserve"> </w:t>
      </w:r>
      <w:r w:rsidRPr="00E71216">
        <w:rPr>
          <w:rFonts w:cs="Times New Roman"/>
          <w:szCs w:val="24"/>
        </w:rPr>
        <w:t>producing quartz crystal was removed from the transducer</w:t>
      </w:r>
      <w:r>
        <w:rPr>
          <w:rFonts w:cs="Times New Roman"/>
          <w:szCs w:val="24"/>
        </w:rPr>
        <w:t xml:space="preserve"> </w:t>
      </w:r>
      <w:r w:rsidRPr="00E71216">
        <w:rPr>
          <w:rFonts w:cs="Times New Roman"/>
          <w:szCs w:val="24"/>
        </w:rPr>
        <w:t>head</w:t>
      </w:r>
      <w:r>
        <w:rPr>
          <w:rFonts w:cs="Times New Roman"/>
          <w:szCs w:val="24"/>
        </w:rPr>
        <w:t xml:space="preserve"> of the ultrasound therapy unit</w:t>
      </w:r>
      <w:r w:rsidRPr="00E71216">
        <w:rPr>
          <w:rFonts w:cs="Times New Roman"/>
          <w:szCs w:val="24"/>
        </w:rPr>
        <w:t xml:space="preserve"> to produce sham ultrasound.</w:t>
      </w:r>
    </w:p>
    <w:p w:rsidR="00820EB3" w:rsidRPr="00A93620" w:rsidRDefault="00820EB3" w:rsidP="00820EB3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A93620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r w:rsidRPr="00A93620">
        <w:rPr>
          <w:rFonts w:cs="Times New Roman"/>
          <w:szCs w:val="24"/>
        </w:rPr>
        <w:t xml:space="preserve">primary outcome measure was the </w:t>
      </w:r>
      <w:r w:rsidR="008744B7">
        <w:rPr>
          <w:rFonts w:cs="Times New Roman"/>
          <w:szCs w:val="24"/>
        </w:rPr>
        <w:t xml:space="preserve">mean </w:t>
      </w:r>
      <w:r w:rsidRPr="00A93620">
        <w:rPr>
          <w:rFonts w:cs="Times New Roman"/>
          <w:szCs w:val="24"/>
        </w:rPr>
        <w:t>difference in PRTEE scale</w:t>
      </w:r>
      <w:r>
        <w:rPr>
          <w:rFonts w:cs="Times New Roman"/>
          <w:szCs w:val="24"/>
        </w:rPr>
        <w:t xml:space="preserve"> </w:t>
      </w:r>
      <w:r w:rsidRPr="00A93620">
        <w:rPr>
          <w:rFonts w:cs="Times New Roman"/>
          <w:szCs w:val="24"/>
        </w:rPr>
        <w:t>scores between baseline, week 4, and follow-up at week 12.</w:t>
      </w:r>
      <w:r>
        <w:rPr>
          <w:rFonts w:cs="Times New Roman"/>
          <w:szCs w:val="24"/>
        </w:rPr>
        <w:t xml:space="preserve"> </w:t>
      </w:r>
      <w:r w:rsidR="00CD17E4">
        <w:rPr>
          <w:rFonts w:cs="Times New Roman"/>
          <w:szCs w:val="24"/>
        </w:rPr>
        <w:t>T</w:t>
      </w:r>
      <w:r w:rsidR="00CD17E4" w:rsidRPr="00A93620">
        <w:rPr>
          <w:rFonts w:cs="Times New Roman"/>
          <w:szCs w:val="24"/>
        </w:rPr>
        <w:t>he PRTEE scale consists of 2 subscales</w:t>
      </w:r>
      <w:r w:rsidR="00CD17E4">
        <w:rPr>
          <w:rFonts w:cs="Times New Roman"/>
          <w:szCs w:val="24"/>
        </w:rPr>
        <w:t xml:space="preserve"> </w:t>
      </w:r>
      <w:r w:rsidR="00CD17E4" w:rsidRPr="00A93620">
        <w:rPr>
          <w:rFonts w:cs="Times New Roman"/>
          <w:szCs w:val="24"/>
        </w:rPr>
        <w:t>including</w:t>
      </w:r>
      <w:r w:rsidR="00CD17E4">
        <w:rPr>
          <w:rFonts w:cs="Times New Roman"/>
          <w:szCs w:val="24"/>
        </w:rPr>
        <w:t xml:space="preserve"> pain severity and functional disability.</w:t>
      </w:r>
      <w:r w:rsidR="00CD17E4">
        <w:rPr>
          <w:rFonts w:cs="Times New Roman"/>
          <w:szCs w:val="24"/>
        </w:rPr>
        <w:t xml:space="preserve"> </w:t>
      </w:r>
      <w:r w:rsidRPr="00B849FE">
        <w:rPr>
          <w:rFonts w:cs="Times New Roman"/>
          <w:szCs w:val="24"/>
        </w:rPr>
        <w:t xml:space="preserve">A </w:t>
      </w:r>
      <w:r>
        <w:rPr>
          <w:rFonts w:cs="Times New Roman"/>
          <w:i/>
          <w:iCs/>
          <w:szCs w:val="24"/>
        </w:rPr>
        <w:t xml:space="preserve">p </w:t>
      </w:r>
      <w:r>
        <w:rPr>
          <w:rFonts w:cs="Times New Roman"/>
          <w:iCs/>
          <w:szCs w:val="24"/>
        </w:rPr>
        <w:t>value of less than 0</w:t>
      </w:r>
      <w:r w:rsidRPr="00B849FE">
        <w:rPr>
          <w:rFonts w:cs="Times New Roman"/>
          <w:szCs w:val="24"/>
        </w:rPr>
        <w:t>.05 was accepted as statistically significant.</w:t>
      </w:r>
    </w:p>
    <w:p w:rsidR="00A93620" w:rsidRDefault="00BF194E" w:rsidP="00A93620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Assessments were conducted </w:t>
      </w:r>
      <w:r w:rsidR="00A93620" w:rsidRPr="00A93620">
        <w:rPr>
          <w:rFonts w:cs="Times New Roman"/>
          <w:szCs w:val="24"/>
        </w:rPr>
        <w:t>before treatment (baseline),</w:t>
      </w:r>
      <w:r w:rsidR="00A93620">
        <w:rPr>
          <w:rFonts w:cs="Times New Roman"/>
          <w:szCs w:val="24"/>
        </w:rPr>
        <w:t xml:space="preserve"> </w:t>
      </w:r>
      <w:r w:rsidR="00A93620" w:rsidRPr="00A93620">
        <w:rPr>
          <w:rFonts w:cs="Times New Roman"/>
          <w:szCs w:val="24"/>
        </w:rPr>
        <w:t>after treatment (week 4), and after 12 weeks (follow-up)</w:t>
      </w:r>
      <w:r w:rsidR="00A93620">
        <w:rPr>
          <w:rFonts w:cs="Times New Roman"/>
          <w:szCs w:val="24"/>
        </w:rPr>
        <w:t xml:space="preserve"> using the </w:t>
      </w:r>
      <w:r w:rsidR="00A93620" w:rsidRPr="00A93620">
        <w:rPr>
          <w:rFonts w:cs="Times New Roman"/>
          <w:szCs w:val="24"/>
        </w:rPr>
        <w:t xml:space="preserve">PRTEE scale </w:t>
      </w:r>
      <w:r w:rsidR="00A93620">
        <w:rPr>
          <w:rFonts w:cs="Times New Roman"/>
          <w:szCs w:val="24"/>
        </w:rPr>
        <w:t xml:space="preserve">where patients </w:t>
      </w:r>
      <w:r w:rsidR="00A93620" w:rsidRPr="00A93620">
        <w:rPr>
          <w:rFonts w:cs="Times New Roman"/>
          <w:szCs w:val="24"/>
        </w:rPr>
        <w:t>rate</w:t>
      </w:r>
      <w:r w:rsidR="00A93620">
        <w:rPr>
          <w:rFonts w:cs="Times New Roman"/>
          <w:szCs w:val="24"/>
        </w:rPr>
        <w:t>d</w:t>
      </w:r>
      <w:r w:rsidR="00A93620" w:rsidRPr="00A93620">
        <w:rPr>
          <w:rFonts w:cs="Times New Roman"/>
          <w:szCs w:val="24"/>
        </w:rPr>
        <w:t xml:space="preserve"> their pain severity and functional</w:t>
      </w:r>
      <w:r w:rsidR="00A93620">
        <w:rPr>
          <w:rFonts w:cs="Times New Roman"/>
          <w:szCs w:val="24"/>
        </w:rPr>
        <w:t xml:space="preserve"> </w:t>
      </w:r>
      <w:r w:rsidR="00A93620" w:rsidRPr="00A93620">
        <w:rPr>
          <w:rFonts w:cs="Times New Roman"/>
          <w:szCs w:val="24"/>
        </w:rPr>
        <w:t>disability</w:t>
      </w:r>
      <w:r w:rsidR="00A93620">
        <w:rPr>
          <w:rFonts w:cs="Times New Roman"/>
          <w:szCs w:val="24"/>
        </w:rPr>
        <w:t>.</w:t>
      </w:r>
      <w:r w:rsidR="00A93620" w:rsidRPr="00A93620">
        <w:rPr>
          <w:rFonts w:cs="Times New Roman"/>
          <w:szCs w:val="24"/>
        </w:rPr>
        <w:t xml:space="preserve"> </w:t>
      </w:r>
    </w:p>
    <w:p w:rsidR="00820EB3" w:rsidRDefault="00820EB3" w:rsidP="00820EB3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E7052D">
        <w:rPr>
          <w:rFonts w:cs="Times New Roman"/>
          <w:szCs w:val="24"/>
        </w:rPr>
        <w:t xml:space="preserve">Two </w:t>
      </w:r>
      <w:r>
        <w:rPr>
          <w:rFonts w:cs="Times New Roman"/>
          <w:szCs w:val="24"/>
        </w:rPr>
        <w:t xml:space="preserve">outcome assessors </w:t>
      </w:r>
      <w:r w:rsidRPr="00E7052D">
        <w:rPr>
          <w:rFonts w:cs="Times New Roman"/>
          <w:szCs w:val="24"/>
        </w:rPr>
        <w:t xml:space="preserve">blinded to the </w:t>
      </w:r>
      <w:r>
        <w:rPr>
          <w:rFonts w:cs="Times New Roman"/>
          <w:szCs w:val="24"/>
        </w:rPr>
        <w:t>participant’s allocation</w:t>
      </w:r>
      <w:r w:rsidRPr="00E7052D">
        <w:rPr>
          <w:rFonts w:cs="Times New Roman"/>
          <w:szCs w:val="24"/>
        </w:rPr>
        <w:t xml:space="preserve"> group</w:t>
      </w:r>
      <w:r>
        <w:rPr>
          <w:rFonts w:cs="Times New Roman"/>
          <w:szCs w:val="24"/>
        </w:rPr>
        <w:t xml:space="preserve"> </w:t>
      </w:r>
      <w:r w:rsidRPr="00E7052D">
        <w:rPr>
          <w:rFonts w:cs="Times New Roman"/>
          <w:szCs w:val="24"/>
        </w:rPr>
        <w:t>analyzed scores from the</w:t>
      </w:r>
      <w:r>
        <w:rPr>
          <w:rFonts w:cs="Times New Roman"/>
          <w:szCs w:val="24"/>
        </w:rPr>
        <w:t xml:space="preserve"> </w:t>
      </w:r>
      <w:r w:rsidRPr="00E7052D">
        <w:rPr>
          <w:rFonts w:cs="Times New Roman"/>
          <w:szCs w:val="24"/>
        </w:rPr>
        <w:t>PRTEE scale.</w:t>
      </w:r>
      <w:r>
        <w:rPr>
          <w:rFonts w:cs="Times New Roman"/>
          <w:szCs w:val="24"/>
        </w:rPr>
        <w:t xml:space="preserve"> Patients were not blinded to their treatment intervention.</w:t>
      </w:r>
    </w:p>
    <w:p w:rsidR="00820EB3" w:rsidRPr="00A93620" w:rsidRDefault="00820EB3" w:rsidP="00820EB3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A93620">
        <w:rPr>
          <w:rFonts w:cs="Times New Roman"/>
          <w:szCs w:val="24"/>
        </w:rPr>
        <w:t>All study participants were advised</w:t>
      </w:r>
      <w:r>
        <w:rPr>
          <w:rFonts w:cs="Times New Roman"/>
          <w:szCs w:val="24"/>
        </w:rPr>
        <w:t xml:space="preserve"> </w:t>
      </w:r>
      <w:r w:rsidRPr="00A93620">
        <w:rPr>
          <w:rFonts w:cs="Times New Roman"/>
          <w:szCs w:val="24"/>
        </w:rPr>
        <w:t xml:space="preserve">to take medications only when </w:t>
      </w:r>
      <w:r>
        <w:rPr>
          <w:rFonts w:cs="Times New Roman"/>
          <w:szCs w:val="24"/>
        </w:rPr>
        <w:t xml:space="preserve">they had </w:t>
      </w:r>
      <w:r w:rsidRPr="00A93620">
        <w:rPr>
          <w:rFonts w:cs="Times New Roman"/>
          <w:szCs w:val="24"/>
        </w:rPr>
        <w:t>exacerbations</w:t>
      </w:r>
      <w:r>
        <w:rPr>
          <w:rFonts w:cs="Times New Roman"/>
          <w:szCs w:val="24"/>
        </w:rPr>
        <w:t xml:space="preserve">. </w:t>
      </w:r>
      <w:r w:rsidRPr="00A93620">
        <w:rPr>
          <w:rFonts w:cs="Times New Roman"/>
          <w:szCs w:val="24"/>
        </w:rPr>
        <w:t xml:space="preserve">Participants were asked to maintain a pain and medication diary </w:t>
      </w:r>
      <w:r>
        <w:rPr>
          <w:rFonts w:cs="Times New Roman"/>
          <w:szCs w:val="24"/>
        </w:rPr>
        <w:t xml:space="preserve">to monitor and record </w:t>
      </w:r>
      <w:r w:rsidRPr="00A93620">
        <w:rPr>
          <w:rFonts w:cs="Times New Roman"/>
          <w:szCs w:val="24"/>
        </w:rPr>
        <w:t xml:space="preserve">any medication or change in pain pattern during the 4 week treatment period. </w:t>
      </w:r>
    </w:p>
    <w:p w:rsidR="00315686" w:rsidRPr="00753994" w:rsidRDefault="000A6DB0" w:rsidP="00315686">
      <w:pPr>
        <w:spacing w:after="200"/>
        <w:ind w:left="0"/>
        <w:rPr>
          <w:rFonts w:cs="Times New Roman"/>
          <w:b/>
          <w:color w:val="auto"/>
          <w:szCs w:val="24"/>
        </w:rPr>
      </w:pPr>
      <w:r w:rsidRPr="00753994">
        <w:rPr>
          <w:rFonts w:cs="Times New Roman"/>
          <w:b/>
          <w:szCs w:val="24"/>
        </w:rPr>
        <w:t>Results</w:t>
      </w:r>
      <w:r w:rsidR="00C57626" w:rsidRPr="00753994">
        <w:rPr>
          <w:rFonts w:cs="Times New Roman"/>
          <w:b/>
          <w:szCs w:val="24"/>
        </w:rPr>
        <w:t>:</w:t>
      </w:r>
    </w:p>
    <w:p w:rsidR="00753994" w:rsidRPr="000368AE" w:rsidRDefault="00315686" w:rsidP="00315686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0368AE">
        <w:rPr>
          <w:rFonts w:cs="Times New Roman"/>
          <w:color w:val="auto"/>
          <w:szCs w:val="24"/>
        </w:rPr>
        <w:t xml:space="preserve">No significant differences were observed between the groups for the demographic characteristics. Average duration of symptoms </w:t>
      </w:r>
      <w:r w:rsidR="000368AE" w:rsidRPr="000368AE">
        <w:rPr>
          <w:rFonts w:cs="Times New Roman"/>
          <w:color w:val="auto"/>
          <w:szCs w:val="24"/>
        </w:rPr>
        <w:t>in the 2</w:t>
      </w:r>
      <w:r w:rsidR="00201E4A" w:rsidRPr="000368AE">
        <w:rPr>
          <w:rFonts w:cs="Times New Roman"/>
          <w:color w:val="auto"/>
          <w:szCs w:val="24"/>
        </w:rPr>
        <w:t xml:space="preserve"> groups was </w:t>
      </w:r>
      <w:r w:rsidR="000368AE" w:rsidRPr="000368AE">
        <w:rPr>
          <w:rFonts w:cs="Times New Roman"/>
          <w:color w:val="auto"/>
          <w:szCs w:val="24"/>
        </w:rPr>
        <w:t xml:space="preserve">8 </w:t>
      </w:r>
      <w:r w:rsidRPr="000368AE">
        <w:rPr>
          <w:rFonts w:cs="Times New Roman"/>
          <w:color w:val="auto"/>
          <w:szCs w:val="24"/>
        </w:rPr>
        <w:t>months.</w:t>
      </w:r>
      <w:r w:rsidR="00201E4A" w:rsidRPr="000368AE">
        <w:rPr>
          <w:color w:val="auto"/>
          <w:szCs w:val="24"/>
        </w:rPr>
        <w:t xml:space="preserve"> </w:t>
      </w:r>
      <w:r w:rsidR="000368AE" w:rsidRPr="000368AE">
        <w:rPr>
          <w:color w:val="auto"/>
          <w:szCs w:val="24"/>
        </w:rPr>
        <w:t xml:space="preserve">There were no </w:t>
      </w:r>
      <w:r w:rsidR="008667E6">
        <w:rPr>
          <w:color w:val="auto"/>
          <w:szCs w:val="24"/>
        </w:rPr>
        <w:t xml:space="preserve">significant </w:t>
      </w:r>
      <w:r w:rsidR="000368AE" w:rsidRPr="000368AE">
        <w:rPr>
          <w:color w:val="auto"/>
          <w:szCs w:val="24"/>
        </w:rPr>
        <w:t xml:space="preserve">baseline differences in the PRTEE score between the 2 groups. </w:t>
      </w:r>
    </w:p>
    <w:p w:rsidR="000368AE" w:rsidRDefault="000368AE" w:rsidP="000368AE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0368AE">
        <w:rPr>
          <w:rFonts w:cs="Times New Roman"/>
          <w:color w:val="auto"/>
          <w:szCs w:val="24"/>
        </w:rPr>
        <w:t>One participant from the MFR group and 2</w:t>
      </w:r>
      <w:r>
        <w:rPr>
          <w:rFonts w:cs="Times New Roman"/>
          <w:color w:val="auto"/>
          <w:szCs w:val="24"/>
        </w:rPr>
        <w:t xml:space="preserve"> </w:t>
      </w:r>
      <w:r w:rsidRPr="000368AE">
        <w:rPr>
          <w:rFonts w:cs="Times New Roman"/>
          <w:color w:val="auto"/>
          <w:szCs w:val="24"/>
        </w:rPr>
        <w:t>from the control group dropped out of the study</w:t>
      </w:r>
      <w:r>
        <w:rPr>
          <w:rFonts w:cs="Times New Roman"/>
          <w:color w:val="auto"/>
          <w:szCs w:val="24"/>
        </w:rPr>
        <w:t>. No reasons were given.</w:t>
      </w:r>
    </w:p>
    <w:p w:rsidR="000368AE" w:rsidRPr="008744B7" w:rsidRDefault="000368AE" w:rsidP="000368AE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N</w:t>
      </w:r>
      <w:r w:rsidRPr="000368AE">
        <w:rPr>
          <w:rFonts w:cs="Times New Roman"/>
          <w:color w:val="auto"/>
          <w:szCs w:val="24"/>
        </w:rPr>
        <w:t>o serious</w:t>
      </w:r>
      <w:r>
        <w:rPr>
          <w:rFonts w:cs="Times New Roman"/>
          <w:color w:val="auto"/>
          <w:szCs w:val="24"/>
        </w:rPr>
        <w:t xml:space="preserve"> </w:t>
      </w:r>
      <w:r w:rsidRPr="000368AE">
        <w:rPr>
          <w:rFonts w:cs="Times New Roman"/>
          <w:color w:val="auto"/>
          <w:szCs w:val="24"/>
        </w:rPr>
        <w:t xml:space="preserve">adverse events occurred in either of the groups </w:t>
      </w:r>
      <w:r>
        <w:rPr>
          <w:rFonts w:cs="Times New Roman"/>
          <w:color w:val="auto"/>
          <w:szCs w:val="24"/>
        </w:rPr>
        <w:t xml:space="preserve">except that 5 </w:t>
      </w:r>
      <w:r w:rsidRPr="000368AE">
        <w:rPr>
          <w:rFonts w:cs="Times New Roman"/>
          <w:color w:val="auto"/>
          <w:szCs w:val="24"/>
        </w:rPr>
        <w:t>patients from the MFR group reported an</w:t>
      </w:r>
      <w:r>
        <w:rPr>
          <w:rFonts w:cs="Times New Roman"/>
          <w:color w:val="auto"/>
          <w:szCs w:val="24"/>
        </w:rPr>
        <w:t xml:space="preserve"> </w:t>
      </w:r>
      <w:r w:rsidRPr="000368AE">
        <w:rPr>
          <w:rFonts w:cs="Times New Roman"/>
          <w:color w:val="auto"/>
          <w:szCs w:val="24"/>
        </w:rPr>
        <w:t>increase of pain in the first week after initiation of treatment,</w:t>
      </w:r>
      <w:r>
        <w:rPr>
          <w:rFonts w:cs="Times New Roman"/>
          <w:color w:val="auto"/>
          <w:szCs w:val="24"/>
        </w:rPr>
        <w:t xml:space="preserve"> but </w:t>
      </w:r>
      <w:r w:rsidRPr="008744B7">
        <w:rPr>
          <w:rFonts w:cs="Times New Roman"/>
          <w:color w:val="auto"/>
          <w:szCs w:val="24"/>
        </w:rPr>
        <w:t>this went away within a week.</w:t>
      </w:r>
    </w:p>
    <w:p w:rsidR="008744B7" w:rsidRPr="000D044F" w:rsidRDefault="008744B7" w:rsidP="0075399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8744B7">
        <w:rPr>
          <w:rFonts w:cs="Times New Roman"/>
          <w:color w:val="auto"/>
          <w:szCs w:val="24"/>
        </w:rPr>
        <w:t>The MFR group showed statistically significant improvements in the PRTEE score at both the 4 week and 12 week follow-ups</w:t>
      </w:r>
      <w:r w:rsidR="000D044F">
        <w:rPr>
          <w:rFonts w:cs="Times New Roman"/>
          <w:color w:val="auto"/>
          <w:szCs w:val="24"/>
        </w:rPr>
        <w:t xml:space="preserve"> compared to the baseline measurement</w:t>
      </w:r>
      <w:r w:rsidRPr="008744B7">
        <w:rPr>
          <w:rFonts w:cs="Times New Roman"/>
          <w:color w:val="auto"/>
          <w:szCs w:val="24"/>
        </w:rPr>
        <w:t>. They reported a 78.7% reduction in their pain and functional disability as shown in the PRTEE score in week 4, and a 63.1% reduction at the 12 week follow-up. The PRTEE score at baseline was 65.2 and improved to 13.8 at 4 weeks and persisted at 23.9 at 12 weeks.</w:t>
      </w:r>
    </w:p>
    <w:p w:rsidR="00317CF0" w:rsidRPr="00317CF0" w:rsidRDefault="000D044F" w:rsidP="00317CF0">
      <w:pPr>
        <w:pStyle w:val="ListParagraph"/>
        <w:numPr>
          <w:ilvl w:val="0"/>
          <w:numId w:val="3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The control group reported a small, nonsignificant improvement</w:t>
      </w:r>
      <w:r w:rsidRPr="000D044F">
        <w:rPr>
          <w:rFonts w:cs="Times New Roman"/>
          <w:color w:val="auto"/>
          <w:szCs w:val="24"/>
        </w:rPr>
        <w:t xml:space="preserve"> in the PRTEE score at the 4 week follow-up</w:t>
      </w:r>
      <w:r>
        <w:rPr>
          <w:rFonts w:cs="Times New Roman"/>
          <w:color w:val="auto"/>
          <w:szCs w:val="24"/>
        </w:rPr>
        <w:t xml:space="preserve">, </w:t>
      </w:r>
      <w:r w:rsidRPr="000D044F">
        <w:rPr>
          <w:rFonts w:cs="Times New Roman"/>
          <w:color w:val="auto"/>
          <w:szCs w:val="24"/>
        </w:rPr>
        <w:t xml:space="preserve">and </w:t>
      </w:r>
      <w:r>
        <w:rPr>
          <w:rFonts w:cs="Times New Roman"/>
          <w:color w:val="auto"/>
          <w:szCs w:val="24"/>
        </w:rPr>
        <w:t>a slightly declined improvement at 12 week</w:t>
      </w:r>
      <w:r w:rsidRPr="000D044F">
        <w:rPr>
          <w:rFonts w:cs="Times New Roman"/>
          <w:color w:val="auto"/>
          <w:szCs w:val="24"/>
        </w:rPr>
        <w:t>s</w:t>
      </w:r>
      <w:r>
        <w:rPr>
          <w:rFonts w:cs="Times New Roman"/>
          <w:color w:val="auto"/>
          <w:szCs w:val="24"/>
        </w:rPr>
        <w:t xml:space="preserve"> </w:t>
      </w:r>
      <w:r w:rsidRPr="000D044F">
        <w:rPr>
          <w:rFonts w:cs="Times New Roman"/>
          <w:color w:val="auto"/>
          <w:szCs w:val="24"/>
        </w:rPr>
        <w:t>compared to the baseline measurement.</w:t>
      </w:r>
      <w:r>
        <w:rPr>
          <w:rFonts w:cs="Times New Roman"/>
          <w:color w:val="auto"/>
          <w:szCs w:val="24"/>
        </w:rPr>
        <w:t xml:space="preserve"> </w:t>
      </w:r>
      <w:r w:rsidRPr="000D044F">
        <w:rPr>
          <w:rFonts w:cs="Times New Roman"/>
          <w:color w:val="auto"/>
          <w:szCs w:val="24"/>
        </w:rPr>
        <w:t xml:space="preserve">They reported </w:t>
      </w:r>
      <w:r w:rsidR="00317CF0">
        <w:rPr>
          <w:rFonts w:cs="Times New Roman"/>
          <w:color w:val="auto"/>
          <w:szCs w:val="24"/>
        </w:rPr>
        <w:t xml:space="preserve">only </w:t>
      </w:r>
      <w:r w:rsidRPr="000D044F">
        <w:rPr>
          <w:rFonts w:cs="Times New Roman"/>
          <w:color w:val="auto"/>
          <w:szCs w:val="24"/>
        </w:rPr>
        <w:t xml:space="preserve">a </w:t>
      </w:r>
      <w:r>
        <w:rPr>
          <w:rFonts w:cs="Times New Roman"/>
          <w:color w:val="auto"/>
          <w:szCs w:val="24"/>
        </w:rPr>
        <w:t>6.8</w:t>
      </w:r>
      <w:r w:rsidRPr="000D044F">
        <w:rPr>
          <w:rFonts w:cs="Times New Roman"/>
          <w:color w:val="auto"/>
          <w:szCs w:val="24"/>
        </w:rPr>
        <w:t xml:space="preserve">% reduction </w:t>
      </w:r>
      <w:r w:rsidR="008744B7" w:rsidRPr="000D044F">
        <w:rPr>
          <w:rFonts w:cs="Times New Roman"/>
          <w:color w:val="auto"/>
          <w:szCs w:val="24"/>
        </w:rPr>
        <w:t>in their pain and functional disability as shown in the PRTEE</w:t>
      </w:r>
      <w:r w:rsidRPr="000D044F">
        <w:rPr>
          <w:rFonts w:cs="Times New Roman"/>
          <w:color w:val="auto"/>
          <w:szCs w:val="24"/>
        </w:rPr>
        <w:t xml:space="preserve"> </w:t>
      </w:r>
      <w:r w:rsidR="008744B7" w:rsidRPr="000D044F">
        <w:rPr>
          <w:rFonts w:cs="Times New Roman"/>
          <w:color w:val="auto"/>
          <w:szCs w:val="24"/>
        </w:rPr>
        <w:t>score in week 4,</w:t>
      </w:r>
      <w:r w:rsidRPr="000D044F">
        <w:rPr>
          <w:rFonts w:cs="Times New Roman"/>
          <w:color w:val="auto"/>
          <w:szCs w:val="24"/>
        </w:rPr>
        <w:t xml:space="preserve"> and a </w:t>
      </w:r>
      <w:r w:rsidR="00317CF0">
        <w:rPr>
          <w:rFonts w:cs="Times New Roman"/>
          <w:color w:val="auto"/>
          <w:szCs w:val="24"/>
        </w:rPr>
        <w:t>2.2</w:t>
      </w:r>
      <w:r w:rsidRPr="000D044F">
        <w:rPr>
          <w:rFonts w:cs="Times New Roman"/>
          <w:color w:val="auto"/>
          <w:szCs w:val="24"/>
        </w:rPr>
        <w:t xml:space="preserve">% </w:t>
      </w:r>
      <w:r w:rsidR="00317CF0" w:rsidRPr="00317CF0">
        <w:rPr>
          <w:rFonts w:cs="Times New Roman"/>
          <w:color w:val="auto"/>
          <w:szCs w:val="24"/>
        </w:rPr>
        <w:t xml:space="preserve">increase in their symptoms during </w:t>
      </w:r>
      <w:r w:rsidR="00317CF0">
        <w:rPr>
          <w:rFonts w:cs="Times New Roman"/>
          <w:color w:val="auto"/>
          <w:szCs w:val="24"/>
        </w:rPr>
        <w:t xml:space="preserve">follow-up week 12. </w:t>
      </w:r>
      <w:r w:rsidR="00317CF0" w:rsidRPr="00317CF0">
        <w:rPr>
          <w:rFonts w:cs="Times New Roman"/>
          <w:color w:val="auto"/>
          <w:szCs w:val="24"/>
        </w:rPr>
        <w:t>The PRTEE score at baseline wa</w:t>
      </w:r>
      <w:r w:rsidR="00317CF0">
        <w:rPr>
          <w:rFonts w:cs="Times New Roman"/>
          <w:color w:val="auto"/>
          <w:szCs w:val="24"/>
        </w:rPr>
        <w:t>s 64.5</w:t>
      </w:r>
      <w:r w:rsidR="00317CF0" w:rsidRPr="00317CF0">
        <w:rPr>
          <w:rFonts w:cs="Times New Roman"/>
          <w:color w:val="auto"/>
          <w:szCs w:val="24"/>
        </w:rPr>
        <w:t xml:space="preserve"> and improved to </w:t>
      </w:r>
      <w:r w:rsidR="00317CF0">
        <w:rPr>
          <w:rFonts w:cs="Times New Roman"/>
          <w:color w:val="auto"/>
          <w:szCs w:val="24"/>
        </w:rPr>
        <w:t xml:space="preserve">only 60.1 </w:t>
      </w:r>
      <w:r w:rsidR="00317CF0" w:rsidRPr="00317CF0">
        <w:rPr>
          <w:rFonts w:cs="Times New Roman"/>
          <w:color w:val="auto"/>
          <w:szCs w:val="24"/>
        </w:rPr>
        <w:t>at 4 weeks</w:t>
      </w:r>
      <w:r w:rsidR="00317CF0">
        <w:rPr>
          <w:rFonts w:cs="Times New Roman"/>
          <w:color w:val="auto"/>
          <w:szCs w:val="24"/>
        </w:rPr>
        <w:t>,</w:t>
      </w:r>
      <w:r w:rsidR="00317CF0" w:rsidRPr="00317CF0">
        <w:rPr>
          <w:rFonts w:cs="Times New Roman"/>
          <w:color w:val="auto"/>
          <w:szCs w:val="24"/>
        </w:rPr>
        <w:t xml:space="preserve"> and </w:t>
      </w:r>
      <w:r w:rsidR="00317CF0">
        <w:rPr>
          <w:rFonts w:cs="Times New Roman"/>
          <w:color w:val="auto"/>
          <w:szCs w:val="24"/>
        </w:rPr>
        <w:t>showed no improvement at 65.9</w:t>
      </w:r>
      <w:r w:rsidR="00317CF0" w:rsidRPr="00317CF0">
        <w:rPr>
          <w:rFonts w:cs="Times New Roman"/>
          <w:color w:val="auto"/>
          <w:szCs w:val="24"/>
        </w:rPr>
        <w:t xml:space="preserve"> at 12 weeks.</w:t>
      </w:r>
    </w:p>
    <w:p w:rsidR="008744B7" w:rsidRDefault="008667E6" w:rsidP="008667E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8667E6">
        <w:rPr>
          <w:rFonts w:cs="Times New Roman"/>
          <w:szCs w:val="24"/>
        </w:rPr>
        <w:t xml:space="preserve">The proportion of </w:t>
      </w:r>
      <w:r>
        <w:rPr>
          <w:rFonts w:cs="Times New Roman"/>
          <w:szCs w:val="24"/>
        </w:rPr>
        <w:t xml:space="preserve">positive </w:t>
      </w:r>
      <w:r w:rsidRPr="008667E6">
        <w:rPr>
          <w:rFonts w:cs="Times New Roman"/>
          <w:szCs w:val="24"/>
        </w:rPr>
        <w:t>responders,</w:t>
      </w:r>
      <w:r>
        <w:rPr>
          <w:rFonts w:cs="Times New Roman"/>
          <w:szCs w:val="24"/>
        </w:rPr>
        <w:t xml:space="preserve"> </w:t>
      </w:r>
      <w:r w:rsidRPr="008667E6">
        <w:rPr>
          <w:rFonts w:cs="Times New Roman"/>
          <w:szCs w:val="24"/>
        </w:rPr>
        <w:t>defined as participants who had at least a 50% reduction in</w:t>
      </w:r>
      <w:r>
        <w:rPr>
          <w:rFonts w:cs="Times New Roman"/>
          <w:szCs w:val="24"/>
        </w:rPr>
        <w:t xml:space="preserve"> </w:t>
      </w:r>
      <w:r w:rsidRPr="008667E6">
        <w:rPr>
          <w:rFonts w:cs="Times New Roman"/>
          <w:szCs w:val="24"/>
        </w:rPr>
        <w:t>pain and functional disability between weeks 1 and 4, was</w:t>
      </w:r>
      <w:r>
        <w:rPr>
          <w:rFonts w:cs="Times New Roman"/>
          <w:szCs w:val="24"/>
        </w:rPr>
        <w:t xml:space="preserve"> </w:t>
      </w:r>
      <w:r w:rsidRPr="008667E6">
        <w:rPr>
          <w:rFonts w:cs="Times New Roman"/>
          <w:szCs w:val="24"/>
        </w:rPr>
        <w:t>100% in the MFR group and 0% in the control group.</w:t>
      </w:r>
    </w:p>
    <w:p w:rsidR="003F22A7" w:rsidRPr="003F22A7" w:rsidRDefault="008667E6" w:rsidP="003F22A7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For between group differences,</w:t>
      </w:r>
      <w:r w:rsidRPr="008667E6">
        <w:rPr>
          <w:rFonts w:cs="Times New Roman"/>
          <w:szCs w:val="24"/>
        </w:rPr>
        <w:t xml:space="preserve"> the MFR group significantly </w:t>
      </w:r>
      <w:r w:rsidR="00324ABC">
        <w:rPr>
          <w:rFonts w:cs="Times New Roman"/>
          <w:szCs w:val="24"/>
        </w:rPr>
        <w:t xml:space="preserve">improved </w:t>
      </w:r>
      <w:r w:rsidR="00CD17E4">
        <w:rPr>
          <w:rFonts w:cs="Times New Roman"/>
          <w:szCs w:val="24"/>
        </w:rPr>
        <w:t xml:space="preserve">more </w:t>
      </w:r>
      <w:r w:rsidRPr="00324ABC">
        <w:rPr>
          <w:rFonts w:cs="Times New Roman"/>
          <w:szCs w:val="24"/>
        </w:rPr>
        <w:t>than the control group in both weeks 4 and 12 (</w:t>
      </w:r>
      <w:r w:rsidRPr="00324ABC">
        <w:rPr>
          <w:rFonts w:cs="Times New Roman"/>
          <w:i/>
          <w:szCs w:val="24"/>
        </w:rPr>
        <w:t>p</w:t>
      </w:r>
      <w:r w:rsidR="00324ABC">
        <w:rPr>
          <w:rFonts w:cs="Times New Roman"/>
          <w:i/>
          <w:szCs w:val="24"/>
        </w:rPr>
        <w:t xml:space="preserve"> </w:t>
      </w:r>
      <w:r w:rsidRPr="00324ABC">
        <w:rPr>
          <w:rFonts w:cs="Times New Roman"/>
          <w:szCs w:val="24"/>
        </w:rPr>
        <w:t>&lt;</w:t>
      </w:r>
      <w:r w:rsidR="00324ABC">
        <w:rPr>
          <w:rFonts w:cs="Times New Roman"/>
          <w:szCs w:val="24"/>
        </w:rPr>
        <w:t xml:space="preserve"> </w:t>
      </w:r>
      <w:r w:rsidRPr="00324ABC">
        <w:rPr>
          <w:rFonts w:cs="Times New Roman"/>
          <w:szCs w:val="24"/>
        </w:rPr>
        <w:t>0.001).</w:t>
      </w:r>
      <w:r w:rsidR="00324ABC">
        <w:rPr>
          <w:rFonts w:cs="Times New Roman"/>
          <w:szCs w:val="24"/>
        </w:rPr>
        <w:t xml:space="preserve"> </w:t>
      </w:r>
      <w:r w:rsidR="001179A7" w:rsidRPr="001179A7">
        <w:rPr>
          <w:rFonts w:cs="Times New Roman"/>
          <w:szCs w:val="24"/>
        </w:rPr>
        <w:t>S</w:t>
      </w:r>
      <w:r w:rsidR="00324ABC" w:rsidRPr="001179A7">
        <w:rPr>
          <w:rFonts w:cs="Times New Roman"/>
          <w:szCs w:val="24"/>
        </w:rPr>
        <w:t xml:space="preserve">tatistically significant </w:t>
      </w:r>
      <w:r w:rsidR="00324ABC">
        <w:rPr>
          <w:rFonts w:cs="Times New Roman"/>
          <w:szCs w:val="24"/>
        </w:rPr>
        <w:t xml:space="preserve">mean </w:t>
      </w:r>
      <w:r w:rsidR="00324ABC">
        <w:rPr>
          <w:rFonts w:cs="Times New Roman"/>
          <w:szCs w:val="24"/>
        </w:rPr>
        <w:lastRenderedPageBreak/>
        <w:t>difference</w:t>
      </w:r>
      <w:r w:rsidR="001179A7">
        <w:rPr>
          <w:rFonts w:cs="Times New Roman"/>
          <w:szCs w:val="24"/>
        </w:rPr>
        <w:t>s</w:t>
      </w:r>
      <w:r w:rsidR="00324ABC">
        <w:rPr>
          <w:rFonts w:cs="Times New Roman"/>
          <w:szCs w:val="24"/>
        </w:rPr>
        <w:t xml:space="preserve"> in the PRTEE score </w:t>
      </w:r>
      <w:r w:rsidR="001179A7">
        <w:rPr>
          <w:rFonts w:cs="Times New Roman"/>
          <w:szCs w:val="24"/>
        </w:rPr>
        <w:t xml:space="preserve">were observed </w:t>
      </w:r>
      <w:r w:rsidR="00324ABC">
        <w:rPr>
          <w:rFonts w:cs="Times New Roman"/>
          <w:szCs w:val="24"/>
        </w:rPr>
        <w:t xml:space="preserve">at week 4 </w:t>
      </w:r>
      <w:r w:rsidR="001179A7">
        <w:rPr>
          <w:rFonts w:cs="Times New Roman"/>
          <w:szCs w:val="24"/>
        </w:rPr>
        <w:t>(</w:t>
      </w:r>
      <w:r w:rsidR="00324ABC">
        <w:rPr>
          <w:rFonts w:cs="Times New Roman"/>
          <w:szCs w:val="24"/>
        </w:rPr>
        <w:t>47.0</w:t>
      </w:r>
      <w:r w:rsidR="001179A7">
        <w:rPr>
          <w:rFonts w:cs="Times New Roman"/>
          <w:szCs w:val="24"/>
        </w:rPr>
        <w:t>)</w:t>
      </w:r>
      <w:r w:rsidR="00324ABC">
        <w:rPr>
          <w:rFonts w:cs="Times New Roman"/>
          <w:szCs w:val="24"/>
        </w:rPr>
        <w:t xml:space="preserve"> and at week 12 </w:t>
      </w:r>
      <w:r w:rsidR="001179A7">
        <w:rPr>
          <w:rFonts w:cs="Times New Roman"/>
          <w:szCs w:val="24"/>
        </w:rPr>
        <w:t xml:space="preserve">(42.7) </w:t>
      </w:r>
      <w:r w:rsidR="00324ABC">
        <w:rPr>
          <w:rFonts w:cs="Times New Roman"/>
          <w:szCs w:val="24"/>
        </w:rPr>
        <w:t>in favor of the MFR group.</w:t>
      </w:r>
    </w:p>
    <w:p w:rsidR="00666CF8" w:rsidRPr="009E39DF" w:rsidRDefault="00666CF8" w:rsidP="00666CF8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5F4A8C" w:rsidRDefault="00113473" w:rsidP="00535BE1">
      <w:pPr>
        <w:ind w:left="0"/>
        <w:rPr>
          <w:rFonts w:cs="Times New Roman"/>
          <w:b/>
          <w:szCs w:val="24"/>
        </w:rPr>
      </w:pPr>
      <w:r w:rsidRPr="00203DEC">
        <w:rPr>
          <w:rFonts w:cs="Times New Roman"/>
          <w:b/>
          <w:szCs w:val="24"/>
        </w:rPr>
        <w:t>Authors’ conclusions:</w:t>
      </w:r>
    </w:p>
    <w:p w:rsidR="003F22A7" w:rsidRPr="003F22A7" w:rsidRDefault="003F22A7" w:rsidP="002B5EAE">
      <w:pPr>
        <w:ind w:left="0"/>
        <w:rPr>
          <w:rFonts w:cs="Times New Roman"/>
          <w:szCs w:val="24"/>
          <w:highlight w:val="yellow"/>
        </w:rPr>
      </w:pPr>
    </w:p>
    <w:p w:rsidR="003F22A7" w:rsidRDefault="003F22A7" w:rsidP="003F22A7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 w:rsidRPr="003F22A7">
        <w:rPr>
          <w:rFonts w:cs="Times New Roman"/>
          <w:szCs w:val="24"/>
        </w:rPr>
        <w:t xml:space="preserve">This study reported that the MFR intervention was significantly more effective than </w:t>
      </w:r>
      <w:r w:rsidR="00654456">
        <w:rPr>
          <w:rFonts w:cs="Times New Roman"/>
          <w:szCs w:val="24"/>
        </w:rPr>
        <w:t xml:space="preserve">a control intervention </w:t>
      </w:r>
      <w:r w:rsidR="00097921">
        <w:rPr>
          <w:rFonts w:cs="Times New Roman"/>
          <w:szCs w:val="24"/>
        </w:rPr>
        <w:t xml:space="preserve">of </w:t>
      </w:r>
      <w:r w:rsidRPr="003F22A7">
        <w:rPr>
          <w:rFonts w:cs="Times New Roman"/>
          <w:szCs w:val="24"/>
        </w:rPr>
        <w:t>sham ultrasound therapy for decreasing the pa</w:t>
      </w:r>
      <w:r w:rsidR="00654456">
        <w:rPr>
          <w:rFonts w:cs="Times New Roman"/>
          <w:szCs w:val="24"/>
        </w:rPr>
        <w:t xml:space="preserve">in and functional disability of </w:t>
      </w:r>
      <w:r w:rsidRPr="003F22A7">
        <w:rPr>
          <w:rFonts w:cs="Times New Roman"/>
          <w:szCs w:val="24"/>
        </w:rPr>
        <w:t>LE</w:t>
      </w:r>
      <w:r w:rsidR="00CD17E4">
        <w:rPr>
          <w:rFonts w:cs="Times New Roman"/>
          <w:szCs w:val="24"/>
        </w:rPr>
        <w:t xml:space="preserve"> in computer professionals</w:t>
      </w:r>
      <w:r w:rsidRPr="003F22A7">
        <w:rPr>
          <w:rFonts w:cs="Times New Roman"/>
          <w:szCs w:val="24"/>
        </w:rPr>
        <w:t>.</w:t>
      </w:r>
    </w:p>
    <w:p w:rsidR="00654456" w:rsidRDefault="00654456" w:rsidP="00654456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654456">
        <w:rPr>
          <w:rFonts w:cs="Times New Roman"/>
          <w:szCs w:val="24"/>
        </w:rPr>
        <w:t>he follow-up at week 12 has shown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that the treatment effects were less evident compared with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 xml:space="preserve">week 4 </w:t>
      </w:r>
      <w:r>
        <w:rPr>
          <w:rFonts w:cs="Times New Roman"/>
          <w:szCs w:val="24"/>
        </w:rPr>
        <w:t xml:space="preserve">immediately </w:t>
      </w:r>
      <w:r w:rsidRPr="00654456">
        <w:rPr>
          <w:rFonts w:cs="Times New Roman"/>
          <w:szCs w:val="24"/>
        </w:rPr>
        <w:t>after the treatment. This may be explained because, at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the 12-week follow-up, the treatment effect obtained may be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disguised by the continuous use of the computer and mouse or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by the natural course of the disease.</w:t>
      </w:r>
    </w:p>
    <w:p w:rsidR="00097921" w:rsidRDefault="00097921" w:rsidP="0009792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authors hypothesize that </w:t>
      </w:r>
      <w:r w:rsidRPr="00654456">
        <w:rPr>
          <w:rFonts w:cs="Times New Roman"/>
          <w:szCs w:val="24"/>
        </w:rPr>
        <w:t>injuries resulting from physical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trauma, repetitive strain injury, and inflammation are thought to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decrease fascial tissue length and elasticity, resulting in fascial</w:t>
      </w:r>
      <w:r>
        <w:rPr>
          <w:rFonts w:cs="Times New Roman"/>
          <w:szCs w:val="24"/>
        </w:rPr>
        <w:t xml:space="preserve"> restriction, and that </w:t>
      </w:r>
      <w:r w:rsidRPr="00654456">
        <w:rPr>
          <w:rFonts w:cs="Times New Roman"/>
          <w:szCs w:val="24"/>
        </w:rPr>
        <w:t>pain relief due to MFR is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secondary to returning the fascial tissue to its normative length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>by collagen reorganization</w:t>
      </w:r>
      <w:r>
        <w:rPr>
          <w:rFonts w:cs="Times New Roman"/>
          <w:szCs w:val="24"/>
        </w:rPr>
        <w:t>.</w:t>
      </w:r>
    </w:p>
    <w:p w:rsidR="00654456" w:rsidRDefault="00654456" w:rsidP="00654456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r w:rsidRPr="00654456">
        <w:rPr>
          <w:rFonts w:cs="Times New Roman"/>
          <w:szCs w:val="24"/>
        </w:rPr>
        <w:t>A significant proportion of computer professionals</w:t>
      </w:r>
      <w:r>
        <w:rPr>
          <w:rFonts w:cs="Times New Roman"/>
          <w:szCs w:val="24"/>
        </w:rPr>
        <w:t xml:space="preserve"> </w:t>
      </w:r>
      <w:r w:rsidRPr="00654456">
        <w:rPr>
          <w:rFonts w:cs="Times New Roman"/>
          <w:szCs w:val="24"/>
        </w:rPr>
        <w:t xml:space="preserve">with LE might benefit from the </w:t>
      </w:r>
      <w:r>
        <w:rPr>
          <w:rFonts w:cs="Times New Roman"/>
          <w:szCs w:val="24"/>
        </w:rPr>
        <w:t xml:space="preserve">treatment </w:t>
      </w:r>
      <w:r w:rsidRPr="00654456">
        <w:rPr>
          <w:rFonts w:cs="Times New Roman"/>
          <w:szCs w:val="24"/>
        </w:rPr>
        <w:t>of MFR.</w:t>
      </w:r>
    </w:p>
    <w:p w:rsidR="007E6C07" w:rsidRPr="00654456" w:rsidRDefault="007E6C07" w:rsidP="008B7304">
      <w:pPr>
        <w:pStyle w:val="ListParagraph"/>
        <w:ind w:left="720"/>
        <w:rPr>
          <w:rFonts w:cs="Times New Roman"/>
          <w:szCs w:val="24"/>
        </w:rPr>
      </w:pPr>
    </w:p>
    <w:p w:rsidR="00991F49" w:rsidRDefault="00991F49" w:rsidP="008A3029">
      <w:p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Comments:</w:t>
      </w:r>
    </w:p>
    <w:p w:rsidR="00654456" w:rsidRDefault="00654456" w:rsidP="008A3029">
      <w:pPr>
        <w:ind w:left="0"/>
        <w:rPr>
          <w:rFonts w:cs="Times New Roman"/>
          <w:b/>
          <w:szCs w:val="24"/>
        </w:rPr>
      </w:pPr>
    </w:p>
    <w:p w:rsidR="00C370F8" w:rsidRPr="008B7304" w:rsidRDefault="00C370F8" w:rsidP="00C370F8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8B7304">
        <w:rPr>
          <w:rFonts w:cs="Times New Roman"/>
          <w:szCs w:val="24"/>
        </w:rPr>
        <w:t xml:space="preserve">This study supports the conclusion that MFR was more effective in decreasing pain and improving function than a control intervention of sham ultrasound </w:t>
      </w:r>
      <w:r>
        <w:rPr>
          <w:rFonts w:cs="Times New Roman"/>
          <w:szCs w:val="24"/>
        </w:rPr>
        <w:t xml:space="preserve">at the end of the 4 week treatment </w:t>
      </w:r>
      <w:r w:rsidRPr="008B7304">
        <w:rPr>
          <w:rFonts w:cs="Times New Roman"/>
          <w:szCs w:val="24"/>
        </w:rPr>
        <w:t>and at follow-up at 12 weeks in computer professionals with LE.</w:t>
      </w:r>
    </w:p>
    <w:p w:rsidR="00C370F8" w:rsidRPr="008B7304" w:rsidRDefault="00C370F8" w:rsidP="00C370F8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8B7304">
        <w:rPr>
          <w:rFonts w:cs="Times New Roman"/>
          <w:szCs w:val="24"/>
        </w:rPr>
        <w:t>This study supports the conclusion that statistically significant differences between these 2 groups were observed for the PRTEE outcome measure at the end of the 4 week treatment and at 12 weeks</w:t>
      </w:r>
      <w:r>
        <w:rPr>
          <w:rFonts w:cs="Times New Roman"/>
          <w:szCs w:val="24"/>
        </w:rPr>
        <w:t xml:space="preserve"> follow-up</w:t>
      </w:r>
      <w:r w:rsidRPr="008B7304">
        <w:rPr>
          <w:rFonts w:cs="Times New Roman"/>
          <w:szCs w:val="24"/>
        </w:rPr>
        <w:t xml:space="preserve">, and these differences </w:t>
      </w:r>
      <w:r>
        <w:rPr>
          <w:rFonts w:cs="Times New Roman"/>
          <w:szCs w:val="24"/>
        </w:rPr>
        <w:t xml:space="preserve">demonstrate </w:t>
      </w:r>
      <w:r w:rsidRPr="008B7304">
        <w:rPr>
          <w:rFonts w:cs="Times New Roman"/>
          <w:szCs w:val="24"/>
        </w:rPr>
        <w:t xml:space="preserve">clinically important improvements in the MFR group. </w:t>
      </w:r>
    </w:p>
    <w:p w:rsidR="00C370F8" w:rsidRPr="008B7304" w:rsidRDefault="00C370F8" w:rsidP="00C370F8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7E6C07">
        <w:rPr>
          <w:rFonts w:cs="Times New Roman"/>
          <w:szCs w:val="24"/>
        </w:rPr>
        <w:t>Strengths</w:t>
      </w:r>
      <w:r>
        <w:rPr>
          <w:rFonts w:cs="Times New Roman"/>
          <w:szCs w:val="24"/>
        </w:rPr>
        <w:t xml:space="preserve"> of this study included outcome</w:t>
      </w:r>
      <w:r w:rsidRPr="007E6C07">
        <w:rPr>
          <w:rFonts w:cs="Times New Roman"/>
          <w:szCs w:val="24"/>
        </w:rPr>
        <w:t xml:space="preserve"> assessor blinding, the inclusion of a </w:t>
      </w:r>
      <w:r>
        <w:rPr>
          <w:rFonts w:cs="Times New Roman"/>
          <w:szCs w:val="24"/>
        </w:rPr>
        <w:t xml:space="preserve">sham </w:t>
      </w:r>
      <w:r w:rsidRPr="007E6C07">
        <w:rPr>
          <w:rFonts w:cs="Times New Roman"/>
          <w:szCs w:val="24"/>
        </w:rPr>
        <w:t xml:space="preserve">control </w:t>
      </w:r>
      <w:r w:rsidRPr="008B7304">
        <w:rPr>
          <w:rFonts w:cs="Times New Roman"/>
          <w:szCs w:val="24"/>
        </w:rPr>
        <w:t>group, a mid-term follow-up time,</w:t>
      </w:r>
      <w:r>
        <w:rPr>
          <w:rFonts w:cs="Times New Roman"/>
          <w:szCs w:val="24"/>
        </w:rPr>
        <w:t xml:space="preserve"> </w:t>
      </w:r>
      <w:r w:rsidRPr="008B7304">
        <w:rPr>
          <w:rFonts w:cs="Times New Roman"/>
          <w:szCs w:val="24"/>
        </w:rPr>
        <w:t>and a clearly designated primary outcome.</w:t>
      </w:r>
    </w:p>
    <w:p w:rsidR="005410FB" w:rsidRDefault="00654456" w:rsidP="00654456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654456">
        <w:rPr>
          <w:rFonts w:cs="Times New Roman"/>
          <w:szCs w:val="24"/>
        </w:rPr>
        <w:t>One limitation of this trial was that the therapists administering the interventions could not be blinded.</w:t>
      </w:r>
    </w:p>
    <w:p w:rsidR="00D0358C" w:rsidRPr="00654456" w:rsidRDefault="00D0358C" w:rsidP="00654456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randomization method was not well-defined which disqualifies this study as a high quality RCT. </w:t>
      </w:r>
    </w:p>
    <w:p w:rsidR="0029329D" w:rsidRPr="007E6C07" w:rsidRDefault="0029329D" w:rsidP="0029329D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7E6C07">
        <w:rPr>
          <w:rFonts w:cs="Times New Roman"/>
          <w:szCs w:val="24"/>
        </w:rPr>
        <w:t xml:space="preserve">The authors failed to perform sample size power calculations for the study. </w:t>
      </w:r>
      <w:r w:rsidR="007E6C07" w:rsidRPr="007E6C07">
        <w:rPr>
          <w:rFonts w:cs="Times New Roman"/>
          <w:szCs w:val="24"/>
        </w:rPr>
        <w:t>T</w:t>
      </w:r>
      <w:r w:rsidRPr="007E6C07">
        <w:rPr>
          <w:rFonts w:cs="Times New Roman"/>
          <w:szCs w:val="24"/>
        </w:rPr>
        <w:t xml:space="preserve">he sample size was </w:t>
      </w:r>
      <w:r w:rsidR="007E6C07" w:rsidRPr="007E6C07">
        <w:rPr>
          <w:rFonts w:cs="Times New Roman"/>
          <w:szCs w:val="24"/>
        </w:rPr>
        <w:t>probably adequate, s</w:t>
      </w:r>
      <w:r w:rsidRPr="007E6C07">
        <w:rPr>
          <w:rFonts w:cs="Times New Roman"/>
          <w:szCs w:val="24"/>
        </w:rPr>
        <w:t xml:space="preserve">ince the results </w:t>
      </w:r>
      <w:r w:rsidR="00B45FEB" w:rsidRPr="007E6C07">
        <w:rPr>
          <w:rFonts w:cs="Times New Roman"/>
          <w:szCs w:val="24"/>
        </w:rPr>
        <w:t xml:space="preserve">did detect a </w:t>
      </w:r>
      <w:r w:rsidR="007E6C07" w:rsidRPr="007E6C07">
        <w:rPr>
          <w:rFonts w:cs="Times New Roman"/>
          <w:szCs w:val="24"/>
        </w:rPr>
        <w:t>significant difference in the outcome. I</w:t>
      </w:r>
      <w:r w:rsidRPr="007E6C07">
        <w:rPr>
          <w:rFonts w:cs="Times New Roman"/>
          <w:szCs w:val="24"/>
        </w:rPr>
        <w:t xml:space="preserve">t is unlikely that a larger sample size would </w:t>
      </w:r>
      <w:r w:rsidR="00E12D16" w:rsidRPr="007E6C07">
        <w:rPr>
          <w:rFonts w:cs="Times New Roman"/>
          <w:szCs w:val="24"/>
        </w:rPr>
        <w:t xml:space="preserve">have </w:t>
      </w:r>
      <w:r w:rsidR="007E6C07" w:rsidRPr="007E6C07">
        <w:rPr>
          <w:rFonts w:cs="Times New Roman"/>
          <w:szCs w:val="24"/>
        </w:rPr>
        <w:t>changed the results.</w:t>
      </w:r>
    </w:p>
    <w:p w:rsidR="00FA5060" w:rsidRPr="00C370F8" w:rsidRDefault="00FA5060" w:rsidP="00FA5060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C370F8">
        <w:rPr>
          <w:rFonts w:cs="Times New Roman"/>
          <w:szCs w:val="24"/>
        </w:rPr>
        <w:t>Well-designed larger, studies with long-term follow-up are warranted to determine the long-term effectiveness of</w:t>
      </w:r>
      <w:r w:rsidR="00C370F8" w:rsidRPr="00C370F8">
        <w:rPr>
          <w:rFonts w:cs="Times New Roman"/>
          <w:szCs w:val="24"/>
        </w:rPr>
        <w:t xml:space="preserve"> MFR</w:t>
      </w:r>
      <w:r w:rsidRPr="00C370F8">
        <w:rPr>
          <w:rFonts w:cs="Times New Roman"/>
          <w:szCs w:val="24"/>
        </w:rPr>
        <w:t>.</w:t>
      </w:r>
    </w:p>
    <w:p w:rsidR="005B46B7" w:rsidRPr="00654456" w:rsidRDefault="008348A5" w:rsidP="00AD5C3F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C705EC" w:rsidRPr="00915B20" w:rsidRDefault="00A21533" w:rsidP="00915B20">
      <w:pPr>
        <w:ind w:left="0"/>
        <w:rPr>
          <w:rFonts w:cs="Times New Roman"/>
          <w:b/>
          <w:i/>
          <w:szCs w:val="24"/>
        </w:rPr>
      </w:pPr>
      <w:r w:rsidRPr="00915B20">
        <w:rPr>
          <w:rFonts w:cs="Times New Roman"/>
          <w:b/>
          <w:szCs w:val="24"/>
        </w:rPr>
        <w:t>Assessment</w:t>
      </w:r>
      <w:r w:rsidRPr="00915B20">
        <w:rPr>
          <w:rFonts w:cs="Times New Roman"/>
          <w:b/>
          <w:i/>
          <w:szCs w:val="24"/>
        </w:rPr>
        <w:t>:</w:t>
      </w:r>
    </w:p>
    <w:p w:rsidR="006C70AC" w:rsidRPr="000E294B" w:rsidRDefault="006C70AC" w:rsidP="00AC55B6">
      <w:pPr>
        <w:pStyle w:val="ListParagraph"/>
        <w:ind w:left="0"/>
        <w:rPr>
          <w:rFonts w:cs="Times New Roman"/>
          <w:b/>
          <w:i/>
          <w:szCs w:val="24"/>
        </w:rPr>
      </w:pPr>
    </w:p>
    <w:p w:rsidR="00E47D45" w:rsidRPr="00E47D45" w:rsidRDefault="00B41B6E" w:rsidP="00E47D45">
      <w:pPr>
        <w:pStyle w:val="Default"/>
        <w:rPr>
          <w:rFonts w:ascii="Times New Roman" w:hAnsi="Times New Roman" w:cs="Times New Roman"/>
          <w:color w:val="auto"/>
        </w:rPr>
      </w:pPr>
      <w:r w:rsidRPr="00E47D45">
        <w:rPr>
          <w:rFonts w:ascii="Times New Roman" w:hAnsi="Times New Roman" w:cs="Times New Roman"/>
          <w:color w:val="auto"/>
        </w:rPr>
        <w:t xml:space="preserve">This adequate study provides some evidence that </w:t>
      </w:r>
      <w:r w:rsidR="00E47D45" w:rsidRPr="00E47D45">
        <w:rPr>
          <w:rFonts w:ascii="Times New Roman" w:hAnsi="Times New Roman" w:cs="Times New Roman"/>
          <w:color w:val="auto"/>
        </w:rPr>
        <w:t xml:space="preserve">myofascial release </w:t>
      </w:r>
      <w:r w:rsidR="005F1E34" w:rsidRPr="00E47D45">
        <w:rPr>
          <w:rFonts w:ascii="Times New Roman" w:hAnsi="Times New Roman" w:cs="Times New Roman"/>
          <w:color w:val="auto"/>
        </w:rPr>
        <w:t xml:space="preserve">is more effective than </w:t>
      </w:r>
      <w:r w:rsidR="00E47D45" w:rsidRPr="00E47D45">
        <w:rPr>
          <w:rFonts w:ascii="Times New Roman" w:hAnsi="Times New Roman" w:cs="Times New Roman"/>
          <w:color w:val="auto"/>
        </w:rPr>
        <w:t xml:space="preserve">a control </w:t>
      </w:r>
      <w:r w:rsidR="00E47D45">
        <w:rPr>
          <w:rFonts w:ascii="Times New Roman" w:hAnsi="Times New Roman" w:cs="Times New Roman"/>
          <w:color w:val="auto"/>
        </w:rPr>
        <w:t xml:space="preserve">intervention of </w:t>
      </w:r>
      <w:r w:rsidR="00E47D45" w:rsidRPr="00E47D45">
        <w:rPr>
          <w:rFonts w:ascii="Times New Roman" w:hAnsi="Times New Roman" w:cs="Times New Roman"/>
          <w:color w:val="auto"/>
        </w:rPr>
        <w:t xml:space="preserve">sham </w:t>
      </w:r>
      <w:r w:rsidR="00B348CF" w:rsidRPr="00E47D45">
        <w:rPr>
          <w:color w:val="auto"/>
        </w:rPr>
        <w:t xml:space="preserve">ultrasound </w:t>
      </w:r>
      <w:r w:rsidR="00E47D45" w:rsidRPr="00E47D45">
        <w:rPr>
          <w:color w:val="auto"/>
        </w:rPr>
        <w:t xml:space="preserve">therapy </w:t>
      </w:r>
      <w:r w:rsidR="005F1E34" w:rsidRPr="00E47D45">
        <w:rPr>
          <w:color w:val="auto"/>
        </w:rPr>
        <w:t xml:space="preserve">in reducing pain and improving </w:t>
      </w:r>
      <w:r w:rsidR="00E47D45" w:rsidRPr="00E47D45">
        <w:rPr>
          <w:color w:val="auto"/>
        </w:rPr>
        <w:t>functional disability</w:t>
      </w:r>
      <w:r w:rsidR="00E47D45" w:rsidRPr="00E47D45">
        <w:rPr>
          <w:rFonts w:ascii="Times New Roman" w:hAnsi="Times New Roman" w:cs="Times New Roman"/>
          <w:color w:val="auto"/>
        </w:rPr>
        <w:t xml:space="preserve"> </w:t>
      </w:r>
      <w:r w:rsidR="00E47D45" w:rsidRPr="00E47D45">
        <w:rPr>
          <w:color w:val="auto"/>
        </w:rPr>
        <w:t>in computer professionals with lateral epicondylitis (LE)</w:t>
      </w:r>
      <w:r w:rsidR="00E47D45">
        <w:rPr>
          <w:color w:val="auto"/>
        </w:rPr>
        <w:t>.</w:t>
      </w:r>
    </w:p>
    <w:sectPr w:rsidR="00E47D45" w:rsidRPr="00E47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77" w:rsidRDefault="00953F77" w:rsidP="00953F77">
      <w:r>
        <w:separator/>
      </w:r>
    </w:p>
  </w:endnote>
  <w:endnote w:type="continuationSeparator" w:id="0">
    <w:p w:rsidR="00953F77" w:rsidRDefault="00953F77" w:rsidP="0095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lerText RomanSC">
    <w:altName w:val="MillerText Roman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llerText Roman">
    <w:altName w:val="MillerText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ntonGothicCond Bold">
    <w:altName w:val="BentonGothicCon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GothicCond Regular">
    <w:altName w:val="BentonGothicCon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77" w:rsidRDefault="00953F77" w:rsidP="00953F77">
      <w:r>
        <w:separator/>
      </w:r>
    </w:p>
  </w:footnote>
  <w:footnote w:type="continuationSeparator" w:id="0">
    <w:p w:rsidR="00953F77" w:rsidRDefault="00953F77" w:rsidP="0095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816"/>
    <w:multiLevelType w:val="hybridMultilevel"/>
    <w:tmpl w:val="BD2A6DC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214DF"/>
    <w:multiLevelType w:val="hybridMultilevel"/>
    <w:tmpl w:val="B2863D0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025BE"/>
    <w:multiLevelType w:val="hybridMultilevel"/>
    <w:tmpl w:val="42B2189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3217F"/>
    <w:multiLevelType w:val="hybridMultilevel"/>
    <w:tmpl w:val="8AA4166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459A9"/>
    <w:multiLevelType w:val="hybridMultilevel"/>
    <w:tmpl w:val="BE56859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12DF"/>
    <w:multiLevelType w:val="hybridMultilevel"/>
    <w:tmpl w:val="7608A07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64BC7"/>
    <w:multiLevelType w:val="hybridMultilevel"/>
    <w:tmpl w:val="9AFC63E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83A97"/>
    <w:multiLevelType w:val="hybridMultilevel"/>
    <w:tmpl w:val="E190115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7953"/>
    <w:multiLevelType w:val="hybridMultilevel"/>
    <w:tmpl w:val="88F8341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E722B"/>
    <w:multiLevelType w:val="hybridMultilevel"/>
    <w:tmpl w:val="467429B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565D0"/>
    <w:multiLevelType w:val="hybridMultilevel"/>
    <w:tmpl w:val="C8B8DD8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F74E2"/>
    <w:multiLevelType w:val="hybridMultilevel"/>
    <w:tmpl w:val="B87AC2F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F023C4"/>
    <w:multiLevelType w:val="hybridMultilevel"/>
    <w:tmpl w:val="9C4C81FA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812E0"/>
    <w:multiLevelType w:val="hybridMultilevel"/>
    <w:tmpl w:val="7B700950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452AA8"/>
    <w:multiLevelType w:val="hybridMultilevel"/>
    <w:tmpl w:val="5EB4B2A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13C50"/>
    <w:multiLevelType w:val="multilevel"/>
    <w:tmpl w:val="30627EF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15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6"/>
  </w:num>
  <w:num w:numId="14">
    <w:abstractNumId w:val="17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4"/>
    <w:rsid w:val="00000E3F"/>
    <w:rsid w:val="00003229"/>
    <w:rsid w:val="0000327D"/>
    <w:rsid w:val="00003409"/>
    <w:rsid w:val="00005670"/>
    <w:rsid w:val="000154D1"/>
    <w:rsid w:val="0001776B"/>
    <w:rsid w:val="00020B0C"/>
    <w:rsid w:val="00021D84"/>
    <w:rsid w:val="000247A8"/>
    <w:rsid w:val="0002491F"/>
    <w:rsid w:val="0002604B"/>
    <w:rsid w:val="00026811"/>
    <w:rsid w:val="00030C5A"/>
    <w:rsid w:val="000368AE"/>
    <w:rsid w:val="00037D4F"/>
    <w:rsid w:val="00053CA3"/>
    <w:rsid w:val="00054D9A"/>
    <w:rsid w:val="000566CC"/>
    <w:rsid w:val="00067CA9"/>
    <w:rsid w:val="00072FF4"/>
    <w:rsid w:val="0007303B"/>
    <w:rsid w:val="00076EBE"/>
    <w:rsid w:val="000865CA"/>
    <w:rsid w:val="000932C2"/>
    <w:rsid w:val="0009600D"/>
    <w:rsid w:val="00097921"/>
    <w:rsid w:val="000A1CD5"/>
    <w:rsid w:val="000A221C"/>
    <w:rsid w:val="000A50B6"/>
    <w:rsid w:val="000A6DB0"/>
    <w:rsid w:val="000A7A76"/>
    <w:rsid w:val="000B15B1"/>
    <w:rsid w:val="000B62E0"/>
    <w:rsid w:val="000B67FB"/>
    <w:rsid w:val="000B76E6"/>
    <w:rsid w:val="000C4FC2"/>
    <w:rsid w:val="000C6334"/>
    <w:rsid w:val="000D0134"/>
    <w:rsid w:val="000D044F"/>
    <w:rsid w:val="000E294B"/>
    <w:rsid w:val="000E4446"/>
    <w:rsid w:val="000F01BF"/>
    <w:rsid w:val="000F1426"/>
    <w:rsid w:val="000F2E6E"/>
    <w:rsid w:val="00105D09"/>
    <w:rsid w:val="00106B4C"/>
    <w:rsid w:val="001075DA"/>
    <w:rsid w:val="00112D23"/>
    <w:rsid w:val="00113473"/>
    <w:rsid w:val="0011358F"/>
    <w:rsid w:val="00114DAF"/>
    <w:rsid w:val="001179A7"/>
    <w:rsid w:val="00117BF6"/>
    <w:rsid w:val="0012019A"/>
    <w:rsid w:val="00123438"/>
    <w:rsid w:val="001239E0"/>
    <w:rsid w:val="00124546"/>
    <w:rsid w:val="00130A9C"/>
    <w:rsid w:val="001322F7"/>
    <w:rsid w:val="00134E24"/>
    <w:rsid w:val="00137167"/>
    <w:rsid w:val="001379BA"/>
    <w:rsid w:val="001402BE"/>
    <w:rsid w:val="00141CC0"/>
    <w:rsid w:val="00146D9E"/>
    <w:rsid w:val="00146F51"/>
    <w:rsid w:val="00156C33"/>
    <w:rsid w:val="001612BF"/>
    <w:rsid w:val="00162CEF"/>
    <w:rsid w:val="001631AC"/>
    <w:rsid w:val="0016622F"/>
    <w:rsid w:val="001671A8"/>
    <w:rsid w:val="0017334C"/>
    <w:rsid w:val="00173C26"/>
    <w:rsid w:val="001755BF"/>
    <w:rsid w:val="00183CB5"/>
    <w:rsid w:val="00185B7D"/>
    <w:rsid w:val="00186557"/>
    <w:rsid w:val="00190A66"/>
    <w:rsid w:val="00192AD1"/>
    <w:rsid w:val="00193BBB"/>
    <w:rsid w:val="001A30CA"/>
    <w:rsid w:val="001A3190"/>
    <w:rsid w:val="001A40A4"/>
    <w:rsid w:val="001B514F"/>
    <w:rsid w:val="001B799D"/>
    <w:rsid w:val="001B799E"/>
    <w:rsid w:val="001C1EE7"/>
    <w:rsid w:val="001C3D47"/>
    <w:rsid w:val="001C5323"/>
    <w:rsid w:val="001C60CE"/>
    <w:rsid w:val="001C71E7"/>
    <w:rsid w:val="001C7F1D"/>
    <w:rsid w:val="001D051B"/>
    <w:rsid w:val="001D7B91"/>
    <w:rsid w:val="001E161E"/>
    <w:rsid w:val="001E245C"/>
    <w:rsid w:val="001E4B6F"/>
    <w:rsid w:val="001E5322"/>
    <w:rsid w:val="001E7100"/>
    <w:rsid w:val="001F29EF"/>
    <w:rsid w:val="001F62DB"/>
    <w:rsid w:val="001F7F9F"/>
    <w:rsid w:val="00201E4A"/>
    <w:rsid w:val="00202041"/>
    <w:rsid w:val="00203DEC"/>
    <w:rsid w:val="00204475"/>
    <w:rsid w:val="00206053"/>
    <w:rsid w:val="00207378"/>
    <w:rsid w:val="002100EF"/>
    <w:rsid w:val="00210AD5"/>
    <w:rsid w:val="00210CAB"/>
    <w:rsid w:val="002210BF"/>
    <w:rsid w:val="0022236C"/>
    <w:rsid w:val="002239B5"/>
    <w:rsid w:val="002252EC"/>
    <w:rsid w:val="002256F4"/>
    <w:rsid w:val="00225707"/>
    <w:rsid w:val="00226B21"/>
    <w:rsid w:val="002310AC"/>
    <w:rsid w:val="00232F12"/>
    <w:rsid w:val="00233AEC"/>
    <w:rsid w:val="002355C4"/>
    <w:rsid w:val="00235C1F"/>
    <w:rsid w:val="002362F1"/>
    <w:rsid w:val="00236665"/>
    <w:rsid w:val="00237E68"/>
    <w:rsid w:val="00240351"/>
    <w:rsid w:val="0024294B"/>
    <w:rsid w:val="00245165"/>
    <w:rsid w:val="002463CD"/>
    <w:rsid w:val="0024640A"/>
    <w:rsid w:val="00247792"/>
    <w:rsid w:val="0025385E"/>
    <w:rsid w:val="00254238"/>
    <w:rsid w:val="00261C1E"/>
    <w:rsid w:val="0026538D"/>
    <w:rsid w:val="00273DE4"/>
    <w:rsid w:val="00277135"/>
    <w:rsid w:val="00280F31"/>
    <w:rsid w:val="002818BA"/>
    <w:rsid w:val="00282963"/>
    <w:rsid w:val="00284637"/>
    <w:rsid w:val="00285FEB"/>
    <w:rsid w:val="0029056E"/>
    <w:rsid w:val="0029329D"/>
    <w:rsid w:val="00295E1C"/>
    <w:rsid w:val="0029623C"/>
    <w:rsid w:val="002977A9"/>
    <w:rsid w:val="002A0E04"/>
    <w:rsid w:val="002A339C"/>
    <w:rsid w:val="002A3661"/>
    <w:rsid w:val="002A44C2"/>
    <w:rsid w:val="002A77B9"/>
    <w:rsid w:val="002B3233"/>
    <w:rsid w:val="002B3483"/>
    <w:rsid w:val="002B5EAE"/>
    <w:rsid w:val="002B751C"/>
    <w:rsid w:val="002C32E8"/>
    <w:rsid w:val="002D0637"/>
    <w:rsid w:val="002D1DB0"/>
    <w:rsid w:val="002D28BF"/>
    <w:rsid w:val="002D31E6"/>
    <w:rsid w:val="002D54E3"/>
    <w:rsid w:val="002D59B1"/>
    <w:rsid w:val="002E0E37"/>
    <w:rsid w:val="002E16DD"/>
    <w:rsid w:val="002E27B0"/>
    <w:rsid w:val="002E3789"/>
    <w:rsid w:val="002E3E5C"/>
    <w:rsid w:val="002E4252"/>
    <w:rsid w:val="002E479B"/>
    <w:rsid w:val="002E7108"/>
    <w:rsid w:val="002F15E1"/>
    <w:rsid w:val="002F4C65"/>
    <w:rsid w:val="002F6BF6"/>
    <w:rsid w:val="00305931"/>
    <w:rsid w:val="00311D2A"/>
    <w:rsid w:val="00312D92"/>
    <w:rsid w:val="003148D1"/>
    <w:rsid w:val="00315686"/>
    <w:rsid w:val="003162CF"/>
    <w:rsid w:val="00316A0E"/>
    <w:rsid w:val="00317CF0"/>
    <w:rsid w:val="00320444"/>
    <w:rsid w:val="00324ABC"/>
    <w:rsid w:val="0032565B"/>
    <w:rsid w:val="00326A12"/>
    <w:rsid w:val="00326ADD"/>
    <w:rsid w:val="0032702E"/>
    <w:rsid w:val="00327FBF"/>
    <w:rsid w:val="00330957"/>
    <w:rsid w:val="0033415D"/>
    <w:rsid w:val="00340EEF"/>
    <w:rsid w:val="00342A70"/>
    <w:rsid w:val="00342DF5"/>
    <w:rsid w:val="00352D9D"/>
    <w:rsid w:val="003562F4"/>
    <w:rsid w:val="00356E1E"/>
    <w:rsid w:val="00357DCB"/>
    <w:rsid w:val="0036020B"/>
    <w:rsid w:val="003617BD"/>
    <w:rsid w:val="00361BA7"/>
    <w:rsid w:val="003620F0"/>
    <w:rsid w:val="0036394B"/>
    <w:rsid w:val="00364255"/>
    <w:rsid w:val="00364C45"/>
    <w:rsid w:val="00365A45"/>
    <w:rsid w:val="003665BE"/>
    <w:rsid w:val="00367227"/>
    <w:rsid w:val="00367C04"/>
    <w:rsid w:val="00374CBC"/>
    <w:rsid w:val="00374DF9"/>
    <w:rsid w:val="003761FE"/>
    <w:rsid w:val="00376536"/>
    <w:rsid w:val="0037742F"/>
    <w:rsid w:val="0038056F"/>
    <w:rsid w:val="003875C2"/>
    <w:rsid w:val="003926D0"/>
    <w:rsid w:val="00393824"/>
    <w:rsid w:val="00393F08"/>
    <w:rsid w:val="00394877"/>
    <w:rsid w:val="003962C6"/>
    <w:rsid w:val="00396D1A"/>
    <w:rsid w:val="003A1337"/>
    <w:rsid w:val="003A1A39"/>
    <w:rsid w:val="003A6E98"/>
    <w:rsid w:val="003A7F1C"/>
    <w:rsid w:val="003B000A"/>
    <w:rsid w:val="003B102B"/>
    <w:rsid w:val="003B43B1"/>
    <w:rsid w:val="003B46E2"/>
    <w:rsid w:val="003B4887"/>
    <w:rsid w:val="003B587A"/>
    <w:rsid w:val="003B59E1"/>
    <w:rsid w:val="003C2D3E"/>
    <w:rsid w:val="003C2DD4"/>
    <w:rsid w:val="003C2F54"/>
    <w:rsid w:val="003C5BC9"/>
    <w:rsid w:val="003C63EA"/>
    <w:rsid w:val="003C6FAD"/>
    <w:rsid w:val="003C752F"/>
    <w:rsid w:val="003C78DC"/>
    <w:rsid w:val="003D0C39"/>
    <w:rsid w:val="003D5C5E"/>
    <w:rsid w:val="003E35D7"/>
    <w:rsid w:val="003E3EE6"/>
    <w:rsid w:val="003E4A0C"/>
    <w:rsid w:val="003E50C1"/>
    <w:rsid w:val="003E7006"/>
    <w:rsid w:val="003F22A7"/>
    <w:rsid w:val="003F676E"/>
    <w:rsid w:val="003F7668"/>
    <w:rsid w:val="004007E9"/>
    <w:rsid w:val="00400A4F"/>
    <w:rsid w:val="004038ED"/>
    <w:rsid w:val="0041033D"/>
    <w:rsid w:val="00411BE8"/>
    <w:rsid w:val="0041508D"/>
    <w:rsid w:val="00417739"/>
    <w:rsid w:val="004226C3"/>
    <w:rsid w:val="00422A5B"/>
    <w:rsid w:val="004240A0"/>
    <w:rsid w:val="0042475D"/>
    <w:rsid w:val="00424C17"/>
    <w:rsid w:val="00425E3A"/>
    <w:rsid w:val="00426C3A"/>
    <w:rsid w:val="0042746D"/>
    <w:rsid w:val="00430CA1"/>
    <w:rsid w:val="004337DF"/>
    <w:rsid w:val="00436D33"/>
    <w:rsid w:val="00442D27"/>
    <w:rsid w:val="00443BB9"/>
    <w:rsid w:val="00446110"/>
    <w:rsid w:val="00447312"/>
    <w:rsid w:val="0044792D"/>
    <w:rsid w:val="00450CAD"/>
    <w:rsid w:val="00452611"/>
    <w:rsid w:val="0045408D"/>
    <w:rsid w:val="00454579"/>
    <w:rsid w:val="00457D2A"/>
    <w:rsid w:val="00462322"/>
    <w:rsid w:val="00464625"/>
    <w:rsid w:val="0046655E"/>
    <w:rsid w:val="00472443"/>
    <w:rsid w:val="00475C8A"/>
    <w:rsid w:val="00484D66"/>
    <w:rsid w:val="00490437"/>
    <w:rsid w:val="004916DF"/>
    <w:rsid w:val="00493432"/>
    <w:rsid w:val="0049584B"/>
    <w:rsid w:val="00497357"/>
    <w:rsid w:val="004A035F"/>
    <w:rsid w:val="004A05BE"/>
    <w:rsid w:val="004A088F"/>
    <w:rsid w:val="004A4E2A"/>
    <w:rsid w:val="004B19DB"/>
    <w:rsid w:val="004B576E"/>
    <w:rsid w:val="004B71F0"/>
    <w:rsid w:val="004B7529"/>
    <w:rsid w:val="004C0125"/>
    <w:rsid w:val="004C3F77"/>
    <w:rsid w:val="004C41B9"/>
    <w:rsid w:val="004C4EED"/>
    <w:rsid w:val="004C4F1B"/>
    <w:rsid w:val="004C6A60"/>
    <w:rsid w:val="004C7A27"/>
    <w:rsid w:val="004D0168"/>
    <w:rsid w:val="004D051A"/>
    <w:rsid w:val="004D3081"/>
    <w:rsid w:val="004D4B69"/>
    <w:rsid w:val="004D5790"/>
    <w:rsid w:val="004D5F0B"/>
    <w:rsid w:val="004D634A"/>
    <w:rsid w:val="004E00A0"/>
    <w:rsid w:val="004E06DC"/>
    <w:rsid w:val="004E19BC"/>
    <w:rsid w:val="004E19E4"/>
    <w:rsid w:val="004E1B1C"/>
    <w:rsid w:val="004E324D"/>
    <w:rsid w:val="004E45A0"/>
    <w:rsid w:val="004E482F"/>
    <w:rsid w:val="004F2CF1"/>
    <w:rsid w:val="004F4BE6"/>
    <w:rsid w:val="0050062A"/>
    <w:rsid w:val="00500A18"/>
    <w:rsid w:val="00502764"/>
    <w:rsid w:val="00504ACA"/>
    <w:rsid w:val="00505D22"/>
    <w:rsid w:val="0050615C"/>
    <w:rsid w:val="00507EB9"/>
    <w:rsid w:val="00510839"/>
    <w:rsid w:val="005116C2"/>
    <w:rsid w:val="005117A0"/>
    <w:rsid w:val="005144BE"/>
    <w:rsid w:val="00515215"/>
    <w:rsid w:val="00515794"/>
    <w:rsid w:val="0051606B"/>
    <w:rsid w:val="0051665A"/>
    <w:rsid w:val="005237BB"/>
    <w:rsid w:val="00523B45"/>
    <w:rsid w:val="00525E6E"/>
    <w:rsid w:val="005271CD"/>
    <w:rsid w:val="005319C1"/>
    <w:rsid w:val="00531B27"/>
    <w:rsid w:val="005356E8"/>
    <w:rsid w:val="00535BE1"/>
    <w:rsid w:val="00540A28"/>
    <w:rsid w:val="005410FB"/>
    <w:rsid w:val="005441DA"/>
    <w:rsid w:val="00544D06"/>
    <w:rsid w:val="00550F6C"/>
    <w:rsid w:val="00551AEF"/>
    <w:rsid w:val="005543FC"/>
    <w:rsid w:val="00555B3C"/>
    <w:rsid w:val="0055780B"/>
    <w:rsid w:val="005621EA"/>
    <w:rsid w:val="005648EF"/>
    <w:rsid w:val="0056633B"/>
    <w:rsid w:val="00581117"/>
    <w:rsid w:val="0058189A"/>
    <w:rsid w:val="0058598F"/>
    <w:rsid w:val="0059193C"/>
    <w:rsid w:val="00597B83"/>
    <w:rsid w:val="005A14AD"/>
    <w:rsid w:val="005A1705"/>
    <w:rsid w:val="005A1844"/>
    <w:rsid w:val="005A2AED"/>
    <w:rsid w:val="005B0A2D"/>
    <w:rsid w:val="005B1BDB"/>
    <w:rsid w:val="005B4A88"/>
    <w:rsid w:val="005B524E"/>
    <w:rsid w:val="005B740E"/>
    <w:rsid w:val="005C0C92"/>
    <w:rsid w:val="005C18C2"/>
    <w:rsid w:val="005C5385"/>
    <w:rsid w:val="005C5CBD"/>
    <w:rsid w:val="005D2104"/>
    <w:rsid w:val="005E51A2"/>
    <w:rsid w:val="005E5584"/>
    <w:rsid w:val="005E767C"/>
    <w:rsid w:val="005F1E34"/>
    <w:rsid w:val="005F4A8C"/>
    <w:rsid w:val="005F6820"/>
    <w:rsid w:val="00601BDE"/>
    <w:rsid w:val="00602DD6"/>
    <w:rsid w:val="00604865"/>
    <w:rsid w:val="006064D3"/>
    <w:rsid w:val="00607475"/>
    <w:rsid w:val="00607B6F"/>
    <w:rsid w:val="00611064"/>
    <w:rsid w:val="0061666B"/>
    <w:rsid w:val="00626417"/>
    <w:rsid w:val="006266D2"/>
    <w:rsid w:val="006271F5"/>
    <w:rsid w:val="00634029"/>
    <w:rsid w:val="00643667"/>
    <w:rsid w:val="006445DD"/>
    <w:rsid w:val="00646C82"/>
    <w:rsid w:val="006510CA"/>
    <w:rsid w:val="00654456"/>
    <w:rsid w:val="0065724D"/>
    <w:rsid w:val="0065746E"/>
    <w:rsid w:val="00661BE3"/>
    <w:rsid w:val="006632E9"/>
    <w:rsid w:val="00663604"/>
    <w:rsid w:val="00664944"/>
    <w:rsid w:val="00666CF8"/>
    <w:rsid w:val="006701D9"/>
    <w:rsid w:val="006708FB"/>
    <w:rsid w:val="00671173"/>
    <w:rsid w:val="00672BAD"/>
    <w:rsid w:val="00673218"/>
    <w:rsid w:val="00673CDB"/>
    <w:rsid w:val="00674593"/>
    <w:rsid w:val="00675998"/>
    <w:rsid w:val="00677EEC"/>
    <w:rsid w:val="0068124B"/>
    <w:rsid w:val="006907ED"/>
    <w:rsid w:val="00692CEE"/>
    <w:rsid w:val="00692F53"/>
    <w:rsid w:val="0069616B"/>
    <w:rsid w:val="006A087B"/>
    <w:rsid w:val="006A0B96"/>
    <w:rsid w:val="006A37CF"/>
    <w:rsid w:val="006A655F"/>
    <w:rsid w:val="006B7F3F"/>
    <w:rsid w:val="006C05FB"/>
    <w:rsid w:val="006C0715"/>
    <w:rsid w:val="006C193B"/>
    <w:rsid w:val="006C4F2A"/>
    <w:rsid w:val="006C5DAF"/>
    <w:rsid w:val="006C70AC"/>
    <w:rsid w:val="006C7930"/>
    <w:rsid w:val="006D10A0"/>
    <w:rsid w:val="006D1EF2"/>
    <w:rsid w:val="006D22D0"/>
    <w:rsid w:val="006D2941"/>
    <w:rsid w:val="006D48B9"/>
    <w:rsid w:val="006D619E"/>
    <w:rsid w:val="006D672B"/>
    <w:rsid w:val="006E129C"/>
    <w:rsid w:val="006E195A"/>
    <w:rsid w:val="006E55B1"/>
    <w:rsid w:val="006E59F7"/>
    <w:rsid w:val="006F29BA"/>
    <w:rsid w:val="006F2F22"/>
    <w:rsid w:val="006F48A5"/>
    <w:rsid w:val="00700C84"/>
    <w:rsid w:val="00702468"/>
    <w:rsid w:val="007024E3"/>
    <w:rsid w:val="00702F27"/>
    <w:rsid w:val="00706FE7"/>
    <w:rsid w:val="00712483"/>
    <w:rsid w:val="00713CAA"/>
    <w:rsid w:val="007141D5"/>
    <w:rsid w:val="00717931"/>
    <w:rsid w:val="007179B8"/>
    <w:rsid w:val="00720495"/>
    <w:rsid w:val="0072247E"/>
    <w:rsid w:val="00724AA0"/>
    <w:rsid w:val="00725DBF"/>
    <w:rsid w:val="00730FDE"/>
    <w:rsid w:val="00732531"/>
    <w:rsid w:val="00734FEA"/>
    <w:rsid w:val="00735652"/>
    <w:rsid w:val="00736042"/>
    <w:rsid w:val="00736E82"/>
    <w:rsid w:val="00740553"/>
    <w:rsid w:val="00740CD1"/>
    <w:rsid w:val="00742AFE"/>
    <w:rsid w:val="007507C3"/>
    <w:rsid w:val="00751E2C"/>
    <w:rsid w:val="00752599"/>
    <w:rsid w:val="00752A63"/>
    <w:rsid w:val="00753994"/>
    <w:rsid w:val="00755A14"/>
    <w:rsid w:val="00756C4C"/>
    <w:rsid w:val="00757153"/>
    <w:rsid w:val="00761F0D"/>
    <w:rsid w:val="00766762"/>
    <w:rsid w:val="00771734"/>
    <w:rsid w:val="007773E8"/>
    <w:rsid w:val="00782DC1"/>
    <w:rsid w:val="00784337"/>
    <w:rsid w:val="00790CD2"/>
    <w:rsid w:val="00790E94"/>
    <w:rsid w:val="00792151"/>
    <w:rsid w:val="00792B7B"/>
    <w:rsid w:val="00794BDB"/>
    <w:rsid w:val="0079579B"/>
    <w:rsid w:val="007A1C62"/>
    <w:rsid w:val="007A28C1"/>
    <w:rsid w:val="007A4CA4"/>
    <w:rsid w:val="007B147A"/>
    <w:rsid w:val="007B4BFC"/>
    <w:rsid w:val="007B5AE8"/>
    <w:rsid w:val="007B71C4"/>
    <w:rsid w:val="007B7CDE"/>
    <w:rsid w:val="007C0213"/>
    <w:rsid w:val="007C11C1"/>
    <w:rsid w:val="007C223C"/>
    <w:rsid w:val="007C4034"/>
    <w:rsid w:val="007C4303"/>
    <w:rsid w:val="007C53FE"/>
    <w:rsid w:val="007C57A3"/>
    <w:rsid w:val="007C5FAF"/>
    <w:rsid w:val="007C6DC1"/>
    <w:rsid w:val="007C71A4"/>
    <w:rsid w:val="007C73EF"/>
    <w:rsid w:val="007D29DB"/>
    <w:rsid w:val="007D2C06"/>
    <w:rsid w:val="007E3FC7"/>
    <w:rsid w:val="007E4E5D"/>
    <w:rsid w:val="007E6C07"/>
    <w:rsid w:val="007E7C44"/>
    <w:rsid w:val="007F066E"/>
    <w:rsid w:val="007F148E"/>
    <w:rsid w:val="007F1F8C"/>
    <w:rsid w:val="007F2FAA"/>
    <w:rsid w:val="007F5A1A"/>
    <w:rsid w:val="007F647F"/>
    <w:rsid w:val="007F7743"/>
    <w:rsid w:val="0080204B"/>
    <w:rsid w:val="00805F2C"/>
    <w:rsid w:val="008079DA"/>
    <w:rsid w:val="00810238"/>
    <w:rsid w:val="00820146"/>
    <w:rsid w:val="00820EB3"/>
    <w:rsid w:val="008217DF"/>
    <w:rsid w:val="008243D6"/>
    <w:rsid w:val="00824F44"/>
    <w:rsid w:val="008335F6"/>
    <w:rsid w:val="008348A5"/>
    <w:rsid w:val="0083525D"/>
    <w:rsid w:val="00837627"/>
    <w:rsid w:val="0084138A"/>
    <w:rsid w:val="008414A9"/>
    <w:rsid w:val="008460F9"/>
    <w:rsid w:val="0084683D"/>
    <w:rsid w:val="00847919"/>
    <w:rsid w:val="008501EF"/>
    <w:rsid w:val="00855AF8"/>
    <w:rsid w:val="008603C7"/>
    <w:rsid w:val="0086052B"/>
    <w:rsid w:val="008637C5"/>
    <w:rsid w:val="00863B28"/>
    <w:rsid w:val="00865DD9"/>
    <w:rsid w:val="008667E6"/>
    <w:rsid w:val="00874367"/>
    <w:rsid w:val="008744B7"/>
    <w:rsid w:val="0087489D"/>
    <w:rsid w:val="0087550D"/>
    <w:rsid w:val="008756DC"/>
    <w:rsid w:val="00875E30"/>
    <w:rsid w:val="0087638E"/>
    <w:rsid w:val="00877FDD"/>
    <w:rsid w:val="00881F8C"/>
    <w:rsid w:val="008829F6"/>
    <w:rsid w:val="00883422"/>
    <w:rsid w:val="008934D9"/>
    <w:rsid w:val="008940C9"/>
    <w:rsid w:val="008A1950"/>
    <w:rsid w:val="008A2877"/>
    <w:rsid w:val="008A3029"/>
    <w:rsid w:val="008A39DA"/>
    <w:rsid w:val="008A6445"/>
    <w:rsid w:val="008B1EE4"/>
    <w:rsid w:val="008B311B"/>
    <w:rsid w:val="008B55C0"/>
    <w:rsid w:val="008B7304"/>
    <w:rsid w:val="008B7DD7"/>
    <w:rsid w:val="008C0AB5"/>
    <w:rsid w:val="008C1CC9"/>
    <w:rsid w:val="008C5B1A"/>
    <w:rsid w:val="008C6804"/>
    <w:rsid w:val="008D0FA9"/>
    <w:rsid w:val="008D11C3"/>
    <w:rsid w:val="008D264D"/>
    <w:rsid w:val="008D3D58"/>
    <w:rsid w:val="008D669D"/>
    <w:rsid w:val="008D7925"/>
    <w:rsid w:val="008E2D48"/>
    <w:rsid w:val="008E3D23"/>
    <w:rsid w:val="008E4290"/>
    <w:rsid w:val="008E790D"/>
    <w:rsid w:val="008F1524"/>
    <w:rsid w:val="008F2422"/>
    <w:rsid w:val="008F39B7"/>
    <w:rsid w:val="008F5526"/>
    <w:rsid w:val="00900F3B"/>
    <w:rsid w:val="009015F1"/>
    <w:rsid w:val="009016D6"/>
    <w:rsid w:val="009070D4"/>
    <w:rsid w:val="0091119B"/>
    <w:rsid w:val="00915B20"/>
    <w:rsid w:val="00916C0E"/>
    <w:rsid w:val="00917123"/>
    <w:rsid w:val="009304B7"/>
    <w:rsid w:val="009361B4"/>
    <w:rsid w:val="0093660C"/>
    <w:rsid w:val="0093743D"/>
    <w:rsid w:val="00937522"/>
    <w:rsid w:val="009423EE"/>
    <w:rsid w:val="00942880"/>
    <w:rsid w:val="0095020D"/>
    <w:rsid w:val="009517A8"/>
    <w:rsid w:val="009529F1"/>
    <w:rsid w:val="00953B7E"/>
    <w:rsid w:val="00953F77"/>
    <w:rsid w:val="00960DA0"/>
    <w:rsid w:val="00960E29"/>
    <w:rsid w:val="00961746"/>
    <w:rsid w:val="00962745"/>
    <w:rsid w:val="00962EA7"/>
    <w:rsid w:val="00964621"/>
    <w:rsid w:val="00971540"/>
    <w:rsid w:val="009720CE"/>
    <w:rsid w:val="00975367"/>
    <w:rsid w:val="00976BAE"/>
    <w:rsid w:val="00976C0D"/>
    <w:rsid w:val="009772F6"/>
    <w:rsid w:val="009823D6"/>
    <w:rsid w:val="009844C7"/>
    <w:rsid w:val="009853DB"/>
    <w:rsid w:val="00986A06"/>
    <w:rsid w:val="00991F49"/>
    <w:rsid w:val="00993F5E"/>
    <w:rsid w:val="0099404B"/>
    <w:rsid w:val="009A331F"/>
    <w:rsid w:val="009A7293"/>
    <w:rsid w:val="009B2A24"/>
    <w:rsid w:val="009B4E35"/>
    <w:rsid w:val="009C276F"/>
    <w:rsid w:val="009C2BA1"/>
    <w:rsid w:val="009D0928"/>
    <w:rsid w:val="009D1814"/>
    <w:rsid w:val="009D2C02"/>
    <w:rsid w:val="009D4E8A"/>
    <w:rsid w:val="009D5517"/>
    <w:rsid w:val="009D67A9"/>
    <w:rsid w:val="009E39DF"/>
    <w:rsid w:val="009E7137"/>
    <w:rsid w:val="009F0FCF"/>
    <w:rsid w:val="009F4A7A"/>
    <w:rsid w:val="009F4FA1"/>
    <w:rsid w:val="00A02798"/>
    <w:rsid w:val="00A02C5C"/>
    <w:rsid w:val="00A036A2"/>
    <w:rsid w:val="00A062D0"/>
    <w:rsid w:val="00A06F45"/>
    <w:rsid w:val="00A07132"/>
    <w:rsid w:val="00A10D41"/>
    <w:rsid w:val="00A125FE"/>
    <w:rsid w:val="00A12801"/>
    <w:rsid w:val="00A17346"/>
    <w:rsid w:val="00A206E6"/>
    <w:rsid w:val="00A21533"/>
    <w:rsid w:val="00A230A3"/>
    <w:rsid w:val="00A23863"/>
    <w:rsid w:val="00A23DA6"/>
    <w:rsid w:val="00A23E36"/>
    <w:rsid w:val="00A305B6"/>
    <w:rsid w:val="00A36337"/>
    <w:rsid w:val="00A44500"/>
    <w:rsid w:val="00A44E78"/>
    <w:rsid w:val="00A44EA0"/>
    <w:rsid w:val="00A46DFE"/>
    <w:rsid w:val="00A569C8"/>
    <w:rsid w:val="00A6654C"/>
    <w:rsid w:val="00A671C3"/>
    <w:rsid w:val="00A71987"/>
    <w:rsid w:val="00A7594D"/>
    <w:rsid w:val="00A81B93"/>
    <w:rsid w:val="00A81C2D"/>
    <w:rsid w:val="00A8295D"/>
    <w:rsid w:val="00A86FFE"/>
    <w:rsid w:val="00A91370"/>
    <w:rsid w:val="00A91D71"/>
    <w:rsid w:val="00A9321A"/>
    <w:rsid w:val="00A93620"/>
    <w:rsid w:val="00A93853"/>
    <w:rsid w:val="00A93D02"/>
    <w:rsid w:val="00A95447"/>
    <w:rsid w:val="00A9612B"/>
    <w:rsid w:val="00AA1AD3"/>
    <w:rsid w:val="00AA1F06"/>
    <w:rsid w:val="00AA32EF"/>
    <w:rsid w:val="00AA7335"/>
    <w:rsid w:val="00AB0B64"/>
    <w:rsid w:val="00AB3D9D"/>
    <w:rsid w:val="00AB43E9"/>
    <w:rsid w:val="00AB6DD6"/>
    <w:rsid w:val="00AB6ED5"/>
    <w:rsid w:val="00AB7E8D"/>
    <w:rsid w:val="00AB7F12"/>
    <w:rsid w:val="00AC0A15"/>
    <w:rsid w:val="00AC168F"/>
    <w:rsid w:val="00AC55B6"/>
    <w:rsid w:val="00AC6B1B"/>
    <w:rsid w:val="00AC6C4E"/>
    <w:rsid w:val="00AC7911"/>
    <w:rsid w:val="00AD5C3F"/>
    <w:rsid w:val="00AD6585"/>
    <w:rsid w:val="00AD665C"/>
    <w:rsid w:val="00AD6D40"/>
    <w:rsid w:val="00AE0F1D"/>
    <w:rsid w:val="00AE3C82"/>
    <w:rsid w:val="00AE45DB"/>
    <w:rsid w:val="00AE576A"/>
    <w:rsid w:val="00AF062E"/>
    <w:rsid w:val="00AF07C4"/>
    <w:rsid w:val="00AF26C9"/>
    <w:rsid w:val="00AF5DA6"/>
    <w:rsid w:val="00B0300F"/>
    <w:rsid w:val="00B068BD"/>
    <w:rsid w:val="00B07414"/>
    <w:rsid w:val="00B11E12"/>
    <w:rsid w:val="00B1421E"/>
    <w:rsid w:val="00B16E0E"/>
    <w:rsid w:val="00B16F74"/>
    <w:rsid w:val="00B33AD8"/>
    <w:rsid w:val="00B348CF"/>
    <w:rsid w:val="00B34B64"/>
    <w:rsid w:val="00B354DF"/>
    <w:rsid w:val="00B36CAF"/>
    <w:rsid w:val="00B37717"/>
    <w:rsid w:val="00B41B6E"/>
    <w:rsid w:val="00B44C6E"/>
    <w:rsid w:val="00B45FEB"/>
    <w:rsid w:val="00B4678C"/>
    <w:rsid w:val="00B51260"/>
    <w:rsid w:val="00B5643A"/>
    <w:rsid w:val="00B61204"/>
    <w:rsid w:val="00B63061"/>
    <w:rsid w:val="00B65679"/>
    <w:rsid w:val="00B6712D"/>
    <w:rsid w:val="00B679E3"/>
    <w:rsid w:val="00B74253"/>
    <w:rsid w:val="00B76A4F"/>
    <w:rsid w:val="00B77339"/>
    <w:rsid w:val="00B775D4"/>
    <w:rsid w:val="00B831EE"/>
    <w:rsid w:val="00B849FE"/>
    <w:rsid w:val="00B851C6"/>
    <w:rsid w:val="00B90951"/>
    <w:rsid w:val="00B94634"/>
    <w:rsid w:val="00B95BD8"/>
    <w:rsid w:val="00B964C7"/>
    <w:rsid w:val="00B974CE"/>
    <w:rsid w:val="00BA0F4A"/>
    <w:rsid w:val="00BA12FD"/>
    <w:rsid w:val="00BB3A5D"/>
    <w:rsid w:val="00BB3B96"/>
    <w:rsid w:val="00BB5EEB"/>
    <w:rsid w:val="00BC196C"/>
    <w:rsid w:val="00BC77CB"/>
    <w:rsid w:val="00BD321C"/>
    <w:rsid w:val="00BD45E5"/>
    <w:rsid w:val="00BE19BE"/>
    <w:rsid w:val="00BE4FF0"/>
    <w:rsid w:val="00BE5BAE"/>
    <w:rsid w:val="00BE6954"/>
    <w:rsid w:val="00BF194E"/>
    <w:rsid w:val="00BF3803"/>
    <w:rsid w:val="00BF423F"/>
    <w:rsid w:val="00BF529C"/>
    <w:rsid w:val="00BF5F75"/>
    <w:rsid w:val="00BF6515"/>
    <w:rsid w:val="00BF684B"/>
    <w:rsid w:val="00BF6BC7"/>
    <w:rsid w:val="00BF6CEE"/>
    <w:rsid w:val="00BF7023"/>
    <w:rsid w:val="00BF7703"/>
    <w:rsid w:val="00C00C14"/>
    <w:rsid w:val="00C01B1E"/>
    <w:rsid w:val="00C0242B"/>
    <w:rsid w:val="00C04F0F"/>
    <w:rsid w:val="00C05CD8"/>
    <w:rsid w:val="00C10EB3"/>
    <w:rsid w:val="00C11C69"/>
    <w:rsid w:val="00C13D5C"/>
    <w:rsid w:val="00C152B8"/>
    <w:rsid w:val="00C15D84"/>
    <w:rsid w:val="00C164FB"/>
    <w:rsid w:val="00C2126A"/>
    <w:rsid w:val="00C25DF3"/>
    <w:rsid w:val="00C26EBB"/>
    <w:rsid w:val="00C278B1"/>
    <w:rsid w:val="00C328D2"/>
    <w:rsid w:val="00C370F8"/>
    <w:rsid w:val="00C40BCF"/>
    <w:rsid w:val="00C4154D"/>
    <w:rsid w:val="00C435EB"/>
    <w:rsid w:val="00C45A18"/>
    <w:rsid w:val="00C5280C"/>
    <w:rsid w:val="00C5665E"/>
    <w:rsid w:val="00C56D65"/>
    <w:rsid w:val="00C57626"/>
    <w:rsid w:val="00C601D3"/>
    <w:rsid w:val="00C610A0"/>
    <w:rsid w:val="00C61819"/>
    <w:rsid w:val="00C624BF"/>
    <w:rsid w:val="00C6592B"/>
    <w:rsid w:val="00C674D5"/>
    <w:rsid w:val="00C705EC"/>
    <w:rsid w:val="00C70C7C"/>
    <w:rsid w:val="00C7472E"/>
    <w:rsid w:val="00C7547C"/>
    <w:rsid w:val="00C7588C"/>
    <w:rsid w:val="00C81470"/>
    <w:rsid w:val="00C876D8"/>
    <w:rsid w:val="00C8789B"/>
    <w:rsid w:val="00C9214F"/>
    <w:rsid w:val="00C92437"/>
    <w:rsid w:val="00C925D5"/>
    <w:rsid w:val="00C94931"/>
    <w:rsid w:val="00C95C80"/>
    <w:rsid w:val="00C96242"/>
    <w:rsid w:val="00CA0824"/>
    <w:rsid w:val="00CA447C"/>
    <w:rsid w:val="00CA6DF1"/>
    <w:rsid w:val="00CB203F"/>
    <w:rsid w:val="00CB3D2B"/>
    <w:rsid w:val="00CB6598"/>
    <w:rsid w:val="00CB673E"/>
    <w:rsid w:val="00CB7DF4"/>
    <w:rsid w:val="00CC02FC"/>
    <w:rsid w:val="00CC1437"/>
    <w:rsid w:val="00CC183E"/>
    <w:rsid w:val="00CC3086"/>
    <w:rsid w:val="00CC68A5"/>
    <w:rsid w:val="00CD151D"/>
    <w:rsid w:val="00CD17E4"/>
    <w:rsid w:val="00CD43C1"/>
    <w:rsid w:val="00CD611D"/>
    <w:rsid w:val="00CD6C9A"/>
    <w:rsid w:val="00CD743E"/>
    <w:rsid w:val="00CE0972"/>
    <w:rsid w:val="00CE7555"/>
    <w:rsid w:val="00CE7D86"/>
    <w:rsid w:val="00CF0995"/>
    <w:rsid w:val="00CF1FBB"/>
    <w:rsid w:val="00CF38EB"/>
    <w:rsid w:val="00CF4517"/>
    <w:rsid w:val="00CF541C"/>
    <w:rsid w:val="00D00D5C"/>
    <w:rsid w:val="00D0358C"/>
    <w:rsid w:val="00D058EB"/>
    <w:rsid w:val="00D07458"/>
    <w:rsid w:val="00D11AB5"/>
    <w:rsid w:val="00D1465B"/>
    <w:rsid w:val="00D20ACD"/>
    <w:rsid w:val="00D22CD4"/>
    <w:rsid w:val="00D236A4"/>
    <w:rsid w:val="00D250DA"/>
    <w:rsid w:val="00D265BD"/>
    <w:rsid w:val="00D27109"/>
    <w:rsid w:val="00D2732E"/>
    <w:rsid w:val="00D27CD7"/>
    <w:rsid w:val="00D27CF9"/>
    <w:rsid w:val="00D27F8E"/>
    <w:rsid w:val="00D32346"/>
    <w:rsid w:val="00D325C3"/>
    <w:rsid w:val="00D35423"/>
    <w:rsid w:val="00D35545"/>
    <w:rsid w:val="00D36136"/>
    <w:rsid w:val="00D4140E"/>
    <w:rsid w:val="00D41BE3"/>
    <w:rsid w:val="00D421A0"/>
    <w:rsid w:val="00D4264D"/>
    <w:rsid w:val="00D42BE7"/>
    <w:rsid w:val="00D44326"/>
    <w:rsid w:val="00D47076"/>
    <w:rsid w:val="00D47253"/>
    <w:rsid w:val="00D50E60"/>
    <w:rsid w:val="00D56257"/>
    <w:rsid w:val="00D57FBE"/>
    <w:rsid w:val="00D649D5"/>
    <w:rsid w:val="00D6542A"/>
    <w:rsid w:val="00D65A96"/>
    <w:rsid w:val="00D7075C"/>
    <w:rsid w:val="00D70C26"/>
    <w:rsid w:val="00D72A1D"/>
    <w:rsid w:val="00D75E71"/>
    <w:rsid w:val="00D80FC0"/>
    <w:rsid w:val="00D81899"/>
    <w:rsid w:val="00D81FA4"/>
    <w:rsid w:val="00D82C55"/>
    <w:rsid w:val="00D8677D"/>
    <w:rsid w:val="00D96858"/>
    <w:rsid w:val="00DA542B"/>
    <w:rsid w:val="00DA5AB9"/>
    <w:rsid w:val="00DB1879"/>
    <w:rsid w:val="00DB2C52"/>
    <w:rsid w:val="00DB56E2"/>
    <w:rsid w:val="00DB5B8C"/>
    <w:rsid w:val="00DB6B6A"/>
    <w:rsid w:val="00DB707D"/>
    <w:rsid w:val="00DC0193"/>
    <w:rsid w:val="00DC10E9"/>
    <w:rsid w:val="00DC1379"/>
    <w:rsid w:val="00DC1787"/>
    <w:rsid w:val="00DC33A1"/>
    <w:rsid w:val="00DC4067"/>
    <w:rsid w:val="00DC540F"/>
    <w:rsid w:val="00DC558D"/>
    <w:rsid w:val="00DD17DB"/>
    <w:rsid w:val="00DD1E46"/>
    <w:rsid w:val="00DD7A32"/>
    <w:rsid w:val="00DF0D14"/>
    <w:rsid w:val="00DF123B"/>
    <w:rsid w:val="00DF3CEF"/>
    <w:rsid w:val="00DF61EB"/>
    <w:rsid w:val="00E0113A"/>
    <w:rsid w:val="00E037D1"/>
    <w:rsid w:val="00E0460F"/>
    <w:rsid w:val="00E058AA"/>
    <w:rsid w:val="00E10C4E"/>
    <w:rsid w:val="00E12D16"/>
    <w:rsid w:val="00E13945"/>
    <w:rsid w:val="00E14162"/>
    <w:rsid w:val="00E1447C"/>
    <w:rsid w:val="00E15D35"/>
    <w:rsid w:val="00E16106"/>
    <w:rsid w:val="00E162B2"/>
    <w:rsid w:val="00E2028C"/>
    <w:rsid w:val="00E211D9"/>
    <w:rsid w:val="00E22BE4"/>
    <w:rsid w:val="00E23BC8"/>
    <w:rsid w:val="00E34C2F"/>
    <w:rsid w:val="00E34C5C"/>
    <w:rsid w:val="00E35FF9"/>
    <w:rsid w:val="00E36583"/>
    <w:rsid w:val="00E40883"/>
    <w:rsid w:val="00E4275F"/>
    <w:rsid w:val="00E45DFC"/>
    <w:rsid w:val="00E4746C"/>
    <w:rsid w:val="00E47D45"/>
    <w:rsid w:val="00E526A9"/>
    <w:rsid w:val="00E5571C"/>
    <w:rsid w:val="00E60B53"/>
    <w:rsid w:val="00E6262E"/>
    <w:rsid w:val="00E636A4"/>
    <w:rsid w:val="00E65191"/>
    <w:rsid w:val="00E656BE"/>
    <w:rsid w:val="00E66492"/>
    <w:rsid w:val="00E7052D"/>
    <w:rsid w:val="00E71216"/>
    <w:rsid w:val="00E71FD1"/>
    <w:rsid w:val="00E73A4F"/>
    <w:rsid w:val="00E73BB2"/>
    <w:rsid w:val="00E745A3"/>
    <w:rsid w:val="00E76AAE"/>
    <w:rsid w:val="00E90B2C"/>
    <w:rsid w:val="00E90BB4"/>
    <w:rsid w:val="00E92A2B"/>
    <w:rsid w:val="00E92C20"/>
    <w:rsid w:val="00E97757"/>
    <w:rsid w:val="00EA0D81"/>
    <w:rsid w:val="00EA4567"/>
    <w:rsid w:val="00EA752F"/>
    <w:rsid w:val="00EB21FB"/>
    <w:rsid w:val="00EB3A4D"/>
    <w:rsid w:val="00EB44BE"/>
    <w:rsid w:val="00EB699E"/>
    <w:rsid w:val="00EC1A58"/>
    <w:rsid w:val="00EC334E"/>
    <w:rsid w:val="00EC4D96"/>
    <w:rsid w:val="00EC5A14"/>
    <w:rsid w:val="00ED15A1"/>
    <w:rsid w:val="00ED5E76"/>
    <w:rsid w:val="00ED6183"/>
    <w:rsid w:val="00EE22D8"/>
    <w:rsid w:val="00EE381F"/>
    <w:rsid w:val="00EE5DA2"/>
    <w:rsid w:val="00EE6CC0"/>
    <w:rsid w:val="00EF2605"/>
    <w:rsid w:val="00EF3C6D"/>
    <w:rsid w:val="00EF3D1A"/>
    <w:rsid w:val="00EF5EAC"/>
    <w:rsid w:val="00F040E6"/>
    <w:rsid w:val="00F12B61"/>
    <w:rsid w:val="00F1319F"/>
    <w:rsid w:val="00F14669"/>
    <w:rsid w:val="00F15A8D"/>
    <w:rsid w:val="00F204A1"/>
    <w:rsid w:val="00F21E4E"/>
    <w:rsid w:val="00F22925"/>
    <w:rsid w:val="00F2530E"/>
    <w:rsid w:val="00F25F89"/>
    <w:rsid w:val="00F26A2E"/>
    <w:rsid w:val="00F310C5"/>
    <w:rsid w:val="00F31659"/>
    <w:rsid w:val="00F331A6"/>
    <w:rsid w:val="00F34551"/>
    <w:rsid w:val="00F35372"/>
    <w:rsid w:val="00F4385D"/>
    <w:rsid w:val="00F4394A"/>
    <w:rsid w:val="00F45C9B"/>
    <w:rsid w:val="00F47BB1"/>
    <w:rsid w:val="00F521FD"/>
    <w:rsid w:val="00F52AF4"/>
    <w:rsid w:val="00F53632"/>
    <w:rsid w:val="00F54B58"/>
    <w:rsid w:val="00F557A8"/>
    <w:rsid w:val="00F56F84"/>
    <w:rsid w:val="00F60CAF"/>
    <w:rsid w:val="00F60F83"/>
    <w:rsid w:val="00F6455B"/>
    <w:rsid w:val="00F65845"/>
    <w:rsid w:val="00F66C42"/>
    <w:rsid w:val="00F67FBD"/>
    <w:rsid w:val="00F706C7"/>
    <w:rsid w:val="00F732B7"/>
    <w:rsid w:val="00F75A71"/>
    <w:rsid w:val="00F76A69"/>
    <w:rsid w:val="00F82D85"/>
    <w:rsid w:val="00F84A9A"/>
    <w:rsid w:val="00F90844"/>
    <w:rsid w:val="00F95D14"/>
    <w:rsid w:val="00FA2A41"/>
    <w:rsid w:val="00FA370C"/>
    <w:rsid w:val="00FA40F1"/>
    <w:rsid w:val="00FA5060"/>
    <w:rsid w:val="00FB38E4"/>
    <w:rsid w:val="00FB5DBF"/>
    <w:rsid w:val="00FB7251"/>
    <w:rsid w:val="00FC2CAA"/>
    <w:rsid w:val="00FC3EF6"/>
    <w:rsid w:val="00FC42D8"/>
    <w:rsid w:val="00FD408F"/>
    <w:rsid w:val="00FD40C4"/>
    <w:rsid w:val="00FD5248"/>
    <w:rsid w:val="00FD6601"/>
    <w:rsid w:val="00FE1477"/>
    <w:rsid w:val="00FE428E"/>
    <w:rsid w:val="00FE45E4"/>
    <w:rsid w:val="00FE4EAC"/>
    <w:rsid w:val="00FE60FB"/>
    <w:rsid w:val="00FF0DA3"/>
    <w:rsid w:val="00FF13DF"/>
    <w:rsid w:val="00FF6C0C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849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924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5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09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5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837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202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66791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126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393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15884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00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204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871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4246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31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7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CDB3-CFDC-45A7-8E86-ADA31A33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22</cp:revision>
  <cp:lastPrinted>2016-03-22T16:46:00Z</cp:lastPrinted>
  <dcterms:created xsi:type="dcterms:W3CDTF">2016-03-15T21:04:00Z</dcterms:created>
  <dcterms:modified xsi:type="dcterms:W3CDTF">2016-03-22T16:47:00Z</dcterms:modified>
</cp:coreProperties>
</file>