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25" w:rsidRPr="00515215" w:rsidRDefault="00507EB9" w:rsidP="00F22925">
      <w:pPr>
        <w:autoSpaceDE w:val="0"/>
        <w:autoSpaceDN w:val="0"/>
        <w:adjustRightInd w:val="0"/>
        <w:ind w:left="0"/>
        <w:rPr>
          <w:b/>
          <w:color w:val="auto"/>
          <w:szCs w:val="24"/>
        </w:rPr>
      </w:pPr>
      <w:proofErr w:type="spellStart"/>
      <w:r w:rsidRPr="00507EB9">
        <w:rPr>
          <w:b/>
          <w:color w:val="auto"/>
          <w:szCs w:val="24"/>
        </w:rPr>
        <w:t>Armagan</w:t>
      </w:r>
      <w:proofErr w:type="spellEnd"/>
      <w:r w:rsidRPr="00507EB9">
        <w:rPr>
          <w:b/>
          <w:color w:val="auto"/>
          <w:szCs w:val="24"/>
        </w:rPr>
        <w:t xml:space="preserve"> O, </w:t>
      </w:r>
      <w:proofErr w:type="spellStart"/>
      <w:r w:rsidRPr="00507EB9">
        <w:rPr>
          <w:b/>
          <w:color w:val="auto"/>
          <w:szCs w:val="24"/>
        </w:rPr>
        <w:t>Bakilan</w:t>
      </w:r>
      <w:proofErr w:type="spellEnd"/>
      <w:r w:rsidRPr="00507EB9">
        <w:rPr>
          <w:b/>
          <w:color w:val="auto"/>
          <w:szCs w:val="24"/>
        </w:rPr>
        <w:t xml:space="preserve"> F, </w:t>
      </w:r>
      <w:proofErr w:type="spellStart"/>
      <w:r w:rsidRPr="00507EB9">
        <w:rPr>
          <w:b/>
          <w:color w:val="auto"/>
          <w:szCs w:val="24"/>
        </w:rPr>
        <w:t>Ozgen</w:t>
      </w:r>
      <w:proofErr w:type="spellEnd"/>
      <w:r w:rsidRPr="00507EB9">
        <w:rPr>
          <w:b/>
          <w:color w:val="auto"/>
          <w:szCs w:val="24"/>
        </w:rPr>
        <w:t xml:space="preserve"> M, </w:t>
      </w:r>
      <w:r>
        <w:rPr>
          <w:b/>
          <w:color w:val="auto"/>
          <w:szCs w:val="24"/>
        </w:rPr>
        <w:t xml:space="preserve">and et al. </w:t>
      </w:r>
      <w:r w:rsidRPr="00507EB9">
        <w:rPr>
          <w:b/>
          <w:color w:val="auto"/>
          <w:szCs w:val="24"/>
        </w:rPr>
        <w:t>Effects of placebo-controlled continuous and pulsed ultrasound treatments on</w:t>
      </w:r>
      <w:r>
        <w:rPr>
          <w:b/>
          <w:color w:val="auto"/>
          <w:szCs w:val="24"/>
        </w:rPr>
        <w:t xml:space="preserve"> </w:t>
      </w:r>
      <w:r w:rsidRPr="00507EB9">
        <w:rPr>
          <w:b/>
          <w:color w:val="auto"/>
          <w:szCs w:val="24"/>
        </w:rPr>
        <w:t xml:space="preserve">carpal tunnel syndrome: a randomized trial. </w:t>
      </w:r>
      <w:proofErr w:type="gramStart"/>
      <w:r w:rsidRPr="00507EB9">
        <w:rPr>
          <w:b/>
          <w:color w:val="auto"/>
          <w:szCs w:val="24"/>
        </w:rPr>
        <w:t>Clinics.</w:t>
      </w:r>
      <w:proofErr w:type="gramEnd"/>
      <w:r w:rsidRPr="00507EB9">
        <w:rPr>
          <w:b/>
          <w:color w:val="auto"/>
          <w:szCs w:val="24"/>
        </w:rPr>
        <w:t xml:space="preserve"> 2014;</w:t>
      </w:r>
      <w:r>
        <w:rPr>
          <w:b/>
          <w:color w:val="auto"/>
          <w:szCs w:val="24"/>
        </w:rPr>
        <w:t xml:space="preserve"> </w:t>
      </w:r>
      <w:r w:rsidRPr="00507EB9">
        <w:rPr>
          <w:b/>
          <w:color w:val="auto"/>
          <w:szCs w:val="24"/>
        </w:rPr>
        <w:t>69(8):524-528.</w:t>
      </w:r>
    </w:p>
    <w:p w:rsidR="00507EB9" w:rsidRDefault="00507EB9" w:rsidP="00507EB9">
      <w:pPr>
        <w:autoSpaceDE w:val="0"/>
        <w:autoSpaceDN w:val="0"/>
        <w:adjustRightInd w:val="0"/>
        <w:ind w:left="0"/>
        <w:rPr>
          <w:b/>
          <w:color w:val="auto"/>
          <w:szCs w:val="24"/>
        </w:rPr>
      </w:pPr>
      <w:r>
        <w:rPr>
          <w:b/>
          <w:color w:val="auto"/>
          <w:szCs w:val="24"/>
        </w:rPr>
        <w:t xml:space="preserve">PMID: </w:t>
      </w:r>
      <w:r w:rsidR="0069616B" w:rsidRPr="0069616B">
        <w:rPr>
          <w:b/>
          <w:color w:val="auto"/>
          <w:szCs w:val="24"/>
        </w:rPr>
        <w:t>25141110</w:t>
      </w:r>
    </w:p>
    <w:p w:rsidR="00507EB9" w:rsidRPr="00673CDB" w:rsidRDefault="00507EB9" w:rsidP="00507EB9">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507EB9">
        <w:rPr>
          <w:szCs w:val="24"/>
        </w:rPr>
        <w:t>1</w:t>
      </w:r>
      <w:r w:rsidR="00FD6601" w:rsidRPr="00673CDB">
        <w:rPr>
          <w:szCs w:val="24"/>
        </w:rPr>
        <w:t>-</w:t>
      </w:r>
      <w:r w:rsidR="00507EB9">
        <w:rPr>
          <w:szCs w:val="24"/>
        </w:rPr>
        <w:t>8-</w:t>
      </w:r>
      <w:r w:rsidR="00FD6601" w:rsidRPr="00673CDB">
        <w:rPr>
          <w:szCs w:val="24"/>
        </w:rPr>
        <w:t>15</w:t>
      </w:r>
    </w:p>
    <w:p w:rsidR="00A44500" w:rsidRDefault="00E22BE4" w:rsidP="008A3029">
      <w:pPr>
        <w:ind w:left="0"/>
        <w:rPr>
          <w:szCs w:val="24"/>
        </w:rPr>
      </w:pPr>
      <w:r w:rsidRPr="00673CDB">
        <w:rPr>
          <w:b/>
          <w:szCs w:val="24"/>
        </w:rPr>
        <w:t>Design:</w:t>
      </w:r>
      <w:r w:rsidRPr="00673CDB">
        <w:rPr>
          <w:szCs w:val="24"/>
        </w:rPr>
        <w:t xml:space="preserve"> </w:t>
      </w:r>
      <w:r w:rsidR="00A44500" w:rsidRPr="00673CDB">
        <w:rPr>
          <w:szCs w:val="24"/>
        </w:rPr>
        <w:t xml:space="preserve">Randomized </w:t>
      </w:r>
      <w:r w:rsidR="00B964C7" w:rsidRPr="00B964C7">
        <w:rPr>
          <w:szCs w:val="24"/>
        </w:rPr>
        <w:t xml:space="preserve">controlled </w:t>
      </w:r>
      <w:r w:rsidR="007179B8">
        <w:rPr>
          <w:szCs w:val="24"/>
        </w:rPr>
        <w:t>trial</w:t>
      </w:r>
    </w:p>
    <w:p w:rsidR="00D32346" w:rsidRPr="00673CDB" w:rsidRDefault="00D32346" w:rsidP="00BF684B">
      <w:pPr>
        <w:rPr>
          <w:szCs w:val="24"/>
        </w:rPr>
      </w:pPr>
    </w:p>
    <w:p w:rsidR="00CC183E" w:rsidRPr="00B964C7" w:rsidRDefault="002362F1" w:rsidP="00DD17DB">
      <w:pPr>
        <w:autoSpaceDE w:val="0"/>
        <w:autoSpaceDN w:val="0"/>
        <w:adjustRightInd w:val="0"/>
        <w:ind w:left="0"/>
        <w:rPr>
          <w:szCs w:val="24"/>
        </w:rPr>
      </w:pPr>
      <w:r w:rsidRPr="00673CDB">
        <w:rPr>
          <w:b/>
          <w:szCs w:val="24"/>
        </w:rPr>
        <w:t xml:space="preserve">Objective: </w:t>
      </w:r>
      <w:r w:rsidR="00B964C7">
        <w:rPr>
          <w:szCs w:val="24"/>
        </w:rPr>
        <w:t xml:space="preserve">To </w:t>
      </w:r>
      <w:r w:rsidR="00DD17DB">
        <w:rPr>
          <w:szCs w:val="24"/>
        </w:rPr>
        <w:t>compare the effectiveness</w:t>
      </w:r>
      <w:r w:rsidR="00DD17DB" w:rsidRPr="00B964C7">
        <w:rPr>
          <w:szCs w:val="24"/>
        </w:rPr>
        <w:t xml:space="preserve"> of </w:t>
      </w:r>
      <w:r w:rsidR="00DD17DB">
        <w:rPr>
          <w:szCs w:val="24"/>
        </w:rPr>
        <w:t xml:space="preserve">pulsed and continuous </w:t>
      </w:r>
      <w:r w:rsidR="00DD17DB" w:rsidRPr="00DD17DB">
        <w:rPr>
          <w:szCs w:val="24"/>
        </w:rPr>
        <w:t xml:space="preserve">ultrasound </w:t>
      </w:r>
      <w:r w:rsidR="00053CA3">
        <w:rPr>
          <w:szCs w:val="24"/>
        </w:rPr>
        <w:t xml:space="preserve">(US) </w:t>
      </w:r>
      <w:r w:rsidR="00DD17DB" w:rsidRPr="00DD17DB">
        <w:rPr>
          <w:szCs w:val="24"/>
        </w:rPr>
        <w:t xml:space="preserve">treatments combined with splint therapy </w:t>
      </w:r>
      <w:r w:rsidR="00523B45">
        <w:rPr>
          <w:szCs w:val="24"/>
        </w:rPr>
        <w:t xml:space="preserve">to a placebo </w:t>
      </w:r>
      <w:r w:rsidR="00DD17DB">
        <w:rPr>
          <w:szCs w:val="24"/>
        </w:rPr>
        <w:t>i</w:t>
      </w:r>
      <w:r w:rsidR="00DD17DB" w:rsidRPr="00B964C7">
        <w:rPr>
          <w:szCs w:val="24"/>
        </w:rPr>
        <w:t xml:space="preserve">n </w:t>
      </w:r>
      <w:r w:rsidR="00DD17DB">
        <w:rPr>
          <w:szCs w:val="24"/>
        </w:rPr>
        <w:t xml:space="preserve">reducing pain and improving </w:t>
      </w:r>
      <w:r w:rsidR="00DD17DB" w:rsidRPr="00B964C7">
        <w:rPr>
          <w:szCs w:val="24"/>
        </w:rPr>
        <w:t>functionality</w:t>
      </w:r>
      <w:r w:rsidR="00DD17DB">
        <w:rPr>
          <w:szCs w:val="24"/>
        </w:rPr>
        <w:t xml:space="preserve"> i</w:t>
      </w:r>
      <w:r w:rsidR="00DD17DB" w:rsidRPr="00DD17DB">
        <w:rPr>
          <w:szCs w:val="24"/>
        </w:rPr>
        <w:t>n patients with mild and moderate idiopathic carpal</w:t>
      </w:r>
      <w:r w:rsidR="00DD17DB">
        <w:rPr>
          <w:szCs w:val="24"/>
        </w:rPr>
        <w:t xml:space="preserve"> </w:t>
      </w:r>
      <w:r w:rsidR="00DD17DB" w:rsidRPr="00DD17DB">
        <w:rPr>
          <w:szCs w:val="24"/>
        </w:rPr>
        <w:t xml:space="preserve">tunnel syndrome </w:t>
      </w:r>
      <w:r w:rsidR="008A6445">
        <w:rPr>
          <w:szCs w:val="24"/>
        </w:rPr>
        <w:t>(CTS)</w:t>
      </w:r>
      <w:r w:rsidR="00B964C7" w:rsidRPr="00B964C7">
        <w:rPr>
          <w:szCs w:val="24"/>
        </w:rPr>
        <w:t>.</w:t>
      </w:r>
    </w:p>
    <w:p w:rsidR="00C601D3" w:rsidRPr="002E0E37" w:rsidRDefault="00C601D3" w:rsidP="00CC183E">
      <w:pPr>
        <w:autoSpaceDE w:val="0"/>
        <w:autoSpaceDN w:val="0"/>
        <w:adjustRightInd w:val="0"/>
        <w:ind w:left="0"/>
        <w:rPr>
          <w:szCs w:val="24"/>
        </w:rPr>
      </w:pPr>
    </w:p>
    <w:p w:rsidR="008D264D" w:rsidRDefault="00053CA3" w:rsidP="008A3029">
      <w:pPr>
        <w:autoSpaceDE w:val="0"/>
        <w:autoSpaceDN w:val="0"/>
        <w:adjustRightInd w:val="0"/>
        <w:ind w:left="0"/>
        <w:rPr>
          <w:b/>
          <w:szCs w:val="24"/>
        </w:rPr>
      </w:pPr>
      <w:r>
        <w:rPr>
          <w:b/>
          <w:szCs w:val="24"/>
        </w:rPr>
        <w:t>Population /sample size/setting:</w:t>
      </w:r>
    </w:p>
    <w:p w:rsidR="00053CA3" w:rsidRPr="008934D9" w:rsidRDefault="00053CA3" w:rsidP="008A3029">
      <w:pPr>
        <w:autoSpaceDE w:val="0"/>
        <w:autoSpaceDN w:val="0"/>
        <w:adjustRightInd w:val="0"/>
        <w:ind w:left="0"/>
        <w:rPr>
          <w:b/>
          <w:szCs w:val="24"/>
        </w:rPr>
      </w:pPr>
    </w:p>
    <w:p w:rsidR="009772F6" w:rsidRDefault="00053CA3" w:rsidP="00315686">
      <w:pPr>
        <w:pStyle w:val="ListParagraph"/>
        <w:numPr>
          <w:ilvl w:val="0"/>
          <w:numId w:val="7"/>
        </w:numPr>
        <w:rPr>
          <w:szCs w:val="24"/>
        </w:rPr>
      </w:pPr>
      <w:r>
        <w:rPr>
          <w:szCs w:val="24"/>
        </w:rPr>
        <w:t>A total of 4</w:t>
      </w:r>
      <w:r w:rsidR="00305931" w:rsidRPr="00305931">
        <w:rPr>
          <w:szCs w:val="24"/>
        </w:rPr>
        <w:t>6 female</w:t>
      </w:r>
      <w:r w:rsidR="00305931">
        <w:rPr>
          <w:szCs w:val="24"/>
        </w:rPr>
        <w:t xml:space="preserve"> </w:t>
      </w:r>
      <w:r w:rsidR="00305931" w:rsidRPr="00305931">
        <w:rPr>
          <w:szCs w:val="24"/>
        </w:rPr>
        <w:t>patients (</w:t>
      </w:r>
      <w:r w:rsidR="00305931" w:rsidRPr="00305931">
        <w:rPr>
          <w:bCs/>
        </w:rPr>
        <w:t>mean age 44 years)</w:t>
      </w:r>
      <w:r w:rsidR="00305931" w:rsidRPr="00305931">
        <w:rPr>
          <w:szCs w:val="24"/>
        </w:rPr>
        <w:t xml:space="preserve"> with clinical and electrophysiological evidence of</w:t>
      </w:r>
      <w:r w:rsidR="00305931">
        <w:rPr>
          <w:szCs w:val="24"/>
        </w:rPr>
        <w:t xml:space="preserve"> </w:t>
      </w:r>
      <w:r w:rsidR="00305931" w:rsidRPr="00305931">
        <w:rPr>
          <w:szCs w:val="24"/>
        </w:rPr>
        <w:t xml:space="preserve">mild or moderate idiopathic CTS were </w:t>
      </w:r>
      <w:r w:rsidR="00305931">
        <w:rPr>
          <w:szCs w:val="24"/>
        </w:rPr>
        <w:t xml:space="preserve">recruited </w:t>
      </w:r>
      <w:r w:rsidR="00305931" w:rsidRPr="00305931">
        <w:rPr>
          <w:szCs w:val="24"/>
        </w:rPr>
        <w:t xml:space="preserve">in the outpatient clinic </w:t>
      </w:r>
      <w:r w:rsidR="00305931">
        <w:rPr>
          <w:szCs w:val="24"/>
        </w:rPr>
        <w:t xml:space="preserve">of </w:t>
      </w:r>
      <w:r w:rsidR="00305931" w:rsidRPr="00305931">
        <w:rPr>
          <w:szCs w:val="24"/>
        </w:rPr>
        <w:t xml:space="preserve">the Eskisehir </w:t>
      </w:r>
      <w:proofErr w:type="spellStart"/>
      <w:r w:rsidR="00305931" w:rsidRPr="00305931">
        <w:rPr>
          <w:szCs w:val="24"/>
        </w:rPr>
        <w:t>Osmangazi</w:t>
      </w:r>
      <w:proofErr w:type="spellEnd"/>
      <w:r w:rsidR="00305931" w:rsidRPr="00305931">
        <w:rPr>
          <w:szCs w:val="24"/>
        </w:rPr>
        <w:t xml:space="preserve"> University Faculty of Medicine, Department of Physical Medicine and Rehabilitation </w:t>
      </w:r>
      <w:r w:rsidR="00DD1E46">
        <w:rPr>
          <w:szCs w:val="24"/>
        </w:rPr>
        <w:t xml:space="preserve">in Eskisehir, Turkey </w:t>
      </w:r>
      <w:r w:rsidR="00305931" w:rsidRPr="00305931">
        <w:rPr>
          <w:szCs w:val="24"/>
        </w:rPr>
        <w:t>between</w:t>
      </w:r>
      <w:r w:rsidR="00305931">
        <w:rPr>
          <w:szCs w:val="24"/>
        </w:rPr>
        <w:t xml:space="preserve"> October 2011 and January 2013. </w:t>
      </w:r>
      <w:r w:rsidR="00305931" w:rsidRPr="00305931">
        <w:rPr>
          <w:szCs w:val="24"/>
        </w:rPr>
        <w:t>All of the patients had</w:t>
      </w:r>
      <w:r w:rsidR="00305931">
        <w:rPr>
          <w:szCs w:val="24"/>
        </w:rPr>
        <w:t xml:space="preserve"> </w:t>
      </w:r>
      <w:r w:rsidR="00305931" w:rsidRPr="00305931">
        <w:rPr>
          <w:szCs w:val="24"/>
        </w:rPr>
        <w:t>unilateral CTS and were right-handed.</w:t>
      </w:r>
    </w:p>
    <w:p w:rsidR="00305931" w:rsidRPr="00053CA3" w:rsidRDefault="00053CA3" w:rsidP="00315686">
      <w:pPr>
        <w:pStyle w:val="ListParagraph"/>
        <w:numPr>
          <w:ilvl w:val="0"/>
          <w:numId w:val="7"/>
        </w:numPr>
        <w:rPr>
          <w:szCs w:val="24"/>
        </w:rPr>
      </w:pPr>
      <w:r>
        <w:rPr>
          <w:szCs w:val="24"/>
        </w:rPr>
        <w:t xml:space="preserve">The 46 </w:t>
      </w:r>
      <w:r w:rsidR="00305931" w:rsidRPr="00305931">
        <w:rPr>
          <w:szCs w:val="24"/>
        </w:rPr>
        <w:t>patients were randomly assigned to one of</w:t>
      </w:r>
      <w:r>
        <w:rPr>
          <w:szCs w:val="24"/>
        </w:rPr>
        <w:t xml:space="preserve"> the 3</w:t>
      </w:r>
      <w:r w:rsidR="00305931" w:rsidRPr="00053CA3">
        <w:rPr>
          <w:szCs w:val="24"/>
        </w:rPr>
        <w:t xml:space="preserve"> groups: group 1 (n = 15) received splinting and</w:t>
      </w:r>
      <w:r>
        <w:rPr>
          <w:szCs w:val="24"/>
        </w:rPr>
        <w:t xml:space="preserve"> </w:t>
      </w:r>
      <w:r w:rsidR="00305931" w:rsidRPr="00053CA3">
        <w:rPr>
          <w:szCs w:val="24"/>
        </w:rPr>
        <w:t>continuous US therapy; group 2 (n = 16) received splinting</w:t>
      </w:r>
      <w:r>
        <w:rPr>
          <w:szCs w:val="24"/>
        </w:rPr>
        <w:t xml:space="preserve"> </w:t>
      </w:r>
      <w:r w:rsidR="00305931" w:rsidRPr="00053CA3">
        <w:rPr>
          <w:szCs w:val="24"/>
        </w:rPr>
        <w:t>and pulsed US therapy and group 3 (n = 15) received</w:t>
      </w:r>
      <w:r>
        <w:rPr>
          <w:szCs w:val="24"/>
        </w:rPr>
        <w:t xml:space="preserve"> </w:t>
      </w:r>
      <w:r w:rsidR="00305931" w:rsidRPr="00053CA3">
        <w:rPr>
          <w:szCs w:val="24"/>
        </w:rPr>
        <w:t>splinting and a ‘sham’ (placebo) US therapy.</w:t>
      </w:r>
    </w:p>
    <w:p w:rsidR="006B7F3F" w:rsidRPr="00740CD1" w:rsidRDefault="002D31E6" w:rsidP="00315686">
      <w:pPr>
        <w:pStyle w:val="ListParagraph"/>
        <w:numPr>
          <w:ilvl w:val="0"/>
          <w:numId w:val="1"/>
        </w:numPr>
        <w:spacing w:after="200"/>
        <w:rPr>
          <w:szCs w:val="24"/>
        </w:rPr>
      </w:pPr>
      <w:r w:rsidRPr="00740CD1">
        <w:rPr>
          <w:szCs w:val="24"/>
        </w:rPr>
        <w:t xml:space="preserve">Inclusion criteria included </w:t>
      </w:r>
      <w:r w:rsidR="00740CD1">
        <w:rPr>
          <w:szCs w:val="24"/>
          <w:lang w:val="en"/>
        </w:rPr>
        <w:t>m</w:t>
      </w:r>
      <w:r w:rsidR="00740CD1" w:rsidRPr="00740CD1">
        <w:rPr>
          <w:szCs w:val="24"/>
          <w:lang w:val="en"/>
        </w:rPr>
        <w:t>ild or moderate idiopathic carpal tunnel syndr</w:t>
      </w:r>
      <w:r w:rsidR="00740CD1">
        <w:rPr>
          <w:szCs w:val="24"/>
          <w:lang w:val="en"/>
        </w:rPr>
        <w:t xml:space="preserve">ome </w:t>
      </w:r>
      <w:r w:rsidR="00740CD1" w:rsidRPr="00740CD1">
        <w:rPr>
          <w:szCs w:val="24"/>
          <w:lang w:val="en"/>
        </w:rPr>
        <w:t>without thenar atrophy or spontaneous activity on electrophysiological examination of the abduct</w:t>
      </w:r>
      <w:r w:rsidR="00740CD1">
        <w:rPr>
          <w:szCs w:val="24"/>
          <w:lang w:val="en"/>
        </w:rPr>
        <w:t>or pollicis brevis (APB) muscle.</w:t>
      </w:r>
    </w:p>
    <w:p w:rsidR="00740CD1" w:rsidRPr="00740CD1" w:rsidRDefault="00F60CAF" w:rsidP="00315686">
      <w:pPr>
        <w:pStyle w:val="ListParagraph"/>
        <w:numPr>
          <w:ilvl w:val="0"/>
          <w:numId w:val="1"/>
        </w:numPr>
        <w:spacing w:after="200"/>
        <w:rPr>
          <w:szCs w:val="24"/>
          <w:lang w:val="en"/>
        </w:rPr>
      </w:pPr>
      <w:r w:rsidRPr="00740CD1">
        <w:rPr>
          <w:szCs w:val="24"/>
        </w:rPr>
        <w:t xml:space="preserve">Exclusion criteria included </w:t>
      </w:r>
      <w:r w:rsidR="00740CD1">
        <w:rPr>
          <w:szCs w:val="24"/>
          <w:lang w:val="en"/>
        </w:rPr>
        <w:t>s</w:t>
      </w:r>
      <w:r w:rsidR="00740CD1" w:rsidRPr="00740CD1">
        <w:rPr>
          <w:szCs w:val="24"/>
          <w:lang w:val="en"/>
        </w:rPr>
        <w:t>econdary entrapment neuropathies</w:t>
      </w:r>
      <w:r w:rsidR="00740CD1">
        <w:rPr>
          <w:szCs w:val="24"/>
          <w:lang w:val="en"/>
        </w:rPr>
        <w:t>, c</w:t>
      </w:r>
      <w:r w:rsidR="00740CD1" w:rsidRPr="00740CD1">
        <w:rPr>
          <w:szCs w:val="24"/>
          <w:lang w:val="en"/>
        </w:rPr>
        <w:t>ervical radiculopathy</w:t>
      </w:r>
      <w:r w:rsidR="00740CD1">
        <w:rPr>
          <w:szCs w:val="24"/>
          <w:lang w:val="en"/>
        </w:rPr>
        <w:t>,</w:t>
      </w:r>
    </w:p>
    <w:p w:rsidR="00740CD1" w:rsidRPr="00740CD1" w:rsidRDefault="00740CD1" w:rsidP="00740CD1">
      <w:pPr>
        <w:pStyle w:val="ListParagraph"/>
        <w:spacing w:after="200"/>
        <w:ind w:left="720"/>
        <w:rPr>
          <w:szCs w:val="24"/>
          <w:lang w:val="en"/>
        </w:rPr>
      </w:pPr>
      <w:r>
        <w:rPr>
          <w:szCs w:val="24"/>
          <w:lang w:val="en"/>
        </w:rPr>
        <w:t>s</w:t>
      </w:r>
      <w:r w:rsidRPr="00740CD1">
        <w:rPr>
          <w:szCs w:val="24"/>
          <w:lang w:val="en"/>
        </w:rPr>
        <w:t>ystemic diseases with increased risk of carpal tunnel syndrome</w:t>
      </w:r>
      <w:r>
        <w:rPr>
          <w:szCs w:val="24"/>
          <w:lang w:val="en"/>
        </w:rPr>
        <w:t>, previous surgical relief, previous treatment</w:t>
      </w:r>
      <w:r w:rsidRPr="00740CD1">
        <w:rPr>
          <w:szCs w:val="24"/>
          <w:lang w:val="en"/>
        </w:rPr>
        <w:t xml:space="preserve"> with ultrasound</w:t>
      </w:r>
      <w:r>
        <w:rPr>
          <w:szCs w:val="24"/>
          <w:lang w:val="en"/>
        </w:rPr>
        <w:t>,</w:t>
      </w:r>
      <w:r w:rsidRPr="00740CD1">
        <w:rPr>
          <w:szCs w:val="24"/>
          <w:lang w:val="en"/>
        </w:rPr>
        <w:t xml:space="preserve"> </w:t>
      </w:r>
      <w:r>
        <w:rPr>
          <w:szCs w:val="24"/>
          <w:lang w:val="en"/>
        </w:rPr>
        <w:t>a</w:t>
      </w:r>
      <w:r w:rsidRPr="00740CD1">
        <w:rPr>
          <w:szCs w:val="24"/>
          <w:lang w:val="en"/>
        </w:rPr>
        <w:t xml:space="preserve"> history of steroid injections into the carpal tunnel</w:t>
      </w:r>
      <w:r>
        <w:rPr>
          <w:szCs w:val="24"/>
          <w:lang w:val="en"/>
        </w:rPr>
        <w:t xml:space="preserve">, </w:t>
      </w:r>
      <w:r w:rsidRPr="00740CD1">
        <w:rPr>
          <w:szCs w:val="24"/>
          <w:lang w:val="en"/>
        </w:rPr>
        <w:t>physical therapy within the last 3 months</w:t>
      </w:r>
      <w:r>
        <w:rPr>
          <w:szCs w:val="24"/>
          <w:lang w:val="en"/>
        </w:rPr>
        <w:t>, and p</w:t>
      </w:r>
      <w:r w:rsidRPr="00740CD1">
        <w:rPr>
          <w:szCs w:val="24"/>
          <w:lang w:val="en"/>
        </w:rPr>
        <w:t>atients with either thenar atrophy or spontaneous activity (fibrillation potentials and positive sharp waves) on electrophysiological examination</w:t>
      </w:r>
      <w:r>
        <w:rPr>
          <w:szCs w:val="24"/>
          <w:lang w:val="en"/>
        </w:rPr>
        <w:t>.</w:t>
      </w:r>
    </w:p>
    <w:p w:rsidR="00740CD1" w:rsidRPr="00740CD1" w:rsidRDefault="00740CD1" w:rsidP="00DD1E46">
      <w:pPr>
        <w:pStyle w:val="ListParagraph"/>
        <w:spacing w:after="200"/>
        <w:ind w:left="720"/>
        <w:rPr>
          <w:szCs w:val="24"/>
        </w:rPr>
      </w:pPr>
    </w:p>
    <w:p w:rsidR="00756C4C" w:rsidRDefault="00FB5DBF" w:rsidP="001D7B91">
      <w:pPr>
        <w:pStyle w:val="ListParagraph"/>
        <w:spacing w:after="200"/>
        <w:ind w:left="0"/>
        <w:rPr>
          <w:rFonts w:cs="Times New Roman"/>
          <w:b/>
          <w:szCs w:val="24"/>
        </w:rPr>
      </w:pPr>
      <w:r w:rsidRPr="001D7B91">
        <w:rPr>
          <w:rFonts w:cs="Times New Roman"/>
          <w:b/>
          <w:szCs w:val="24"/>
        </w:rPr>
        <w:t>Methods</w:t>
      </w:r>
      <w:r>
        <w:rPr>
          <w:rFonts w:cs="Times New Roman"/>
          <w:b/>
          <w:szCs w:val="24"/>
        </w:rPr>
        <w:t>/</w:t>
      </w:r>
      <w:r w:rsidR="002A0E04" w:rsidRPr="001D7B91">
        <w:rPr>
          <w:rFonts w:cs="Times New Roman"/>
          <w:b/>
          <w:szCs w:val="24"/>
        </w:rPr>
        <w:t>Interventions</w:t>
      </w:r>
      <w:r w:rsidR="000B76E6" w:rsidRPr="001D7B91">
        <w:rPr>
          <w:rFonts w:cs="Times New Roman"/>
          <w:b/>
          <w:szCs w:val="24"/>
        </w:rPr>
        <w:t>/</w:t>
      </w:r>
      <w:r>
        <w:rPr>
          <w:rFonts w:cs="Times New Roman"/>
          <w:b/>
          <w:szCs w:val="24"/>
        </w:rPr>
        <w:t>Outcome Measures</w:t>
      </w:r>
      <w:r w:rsidR="002A0E04" w:rsidRPr="001D7B91">
        <w:rPr>
          <w:rFonts w:cs="Times New Roman"/>
          <w:b/>
          <w:szCs w:val="24"/>
        </w:rPr>
        <w:t>:</w:t>
      </w:r>
    </w:p>
    <w:p w:rsidR="00DD1E46" w:rsidRDefault="00DD1E46" w:rsidP="001D7B91">
      <w:pPr>
        <w:pStyle w:val="ListParagraph"/>
        <w:spacing w:after="200"/>
        <w:ind w:left="0"/>
        <w:rPr>
          <w:rFonts w:cs="Times New Roman"/>
          <w:b/>
          <w:szCs w:val="24"/>
        </w:rPr>
      </w:pPr>
    </w:p>
    <w:p w:rsidR="00DD1E46" w:rsidRDefault="00DD1E46" w:rsidP="00315686">
      <w:pPr>
        <w:pStyle w:val="ListParagraph"/>
        <w:numPr>
          <w:ilvl w:val="0"/>
          <w:numId w:val="2"/>
        </w:numPr>
        <w:spacing w:after="200"/>
        <w:rPr>
          <w:rFonts w:cs="Times New Roman"/>
          <w:szCs w:val="24"/>
        </w:rPr>
      </w:pPr>
      <w:r w:rsidRPr="00DD1E46">
        <w:rPr>
          <w:rFonts w:cs="Times New Roman"/>
          <w:szCs w:val="24"/>
        </w:rPr>
        <w:t>Study design was a prospective, randomized, placebo-controlled, double-blind study. All of the patients were assessed by the same blinded physiatrist before beginning treatment and at the end of the three weeks of treatment. Neither the investigator nor the patients were informed of the treatment assignments.</w:t>
      </w:r>
    </w:p>
    <w:p w:rsidR="003148D1" w:rsidRDefault="003148D1" w:rsidP="00315686">
      <w:pPr>
        <w:pStyle w:val="ListParagraph"/>
        <w:numPr>
          <w:ilvl w:val="0"/>
          <w:numId w:val="2"/>
        </w:numPr>
        <w:spacing w:after="200"/>
        <w:rPr>
          <w:rFonts w:cs="Times New Roman"/>
          <w:szCs w:val="24"/>
        </w:rPr>
      </w:pPr>
      <w:r>
        <w:rPr>
          <w:rFonts w:cs="Times New Roman"/>
          <w:szCs w:val="24"/>
        </w:rPr>
        <w:t>P</w:t>
      </w:r>
      <w:r w:rsidRPr="003148D1">
        <w:rPr>
          <w:rFonts w:cs="Times New Roman"/>
          <w:szCs w:val="24"/>
        </w:rPr>
        <w:t>atients inc</w:t>
      </w:r>
      <w:r>
        <w:rPr>
          <w:rFonts w:cs="Times New Roman"/>
          <w:szCs w:val="24"/>
        </w:rPr>
        <w:t xml:space="preserve">luded in the study were randomly </w:t>
      </w:r>
      <w:r w:rsidRPr="003148D1">
        <w:rPr>
          <w:rFonts w:cs="Times New Roman"/>
          <w:szCs w:val="24"/>
        </w:rPr>
        <w:t>assigned to one of three groups using a secure system of</w:t>
      </w:r>
      <w:r>
        <w:rPr>
          <w:rFonts w:cs="Times New Roman"/>
          <w:szCs w:val="24"/>
        </w:rPr>
        <w:t xml:space="preserve"> </w:t>
      </w:r>
      <w:r w:rsidRPr="003148D1">
        <w:rPr>
          <w:rFonts w:cs="Times New Roman"/>
          <w:szCs w:val="24"/>
        </w:rPr>
        <w:t>opaque closed envelopes that were numbered from 1 to 3.</w:t>
      </w:r>
    </w:p>
    <w:p w:rsidR="003A1A39" w:rsidRPr="00AE576A" w:rsidRDefault="003148D1" w:rsidP="00315686">
      <w:pPr>
        <w:pStyle w:val="ListParagraph"/>
        <w:numPr>
          <w:ilvl w:val="0"/>
          <w:numId w:val="2"/>
        </w:numPr>
        <w:spacing w:after="200"/>
        <w:rPr>
          <w:szCs w:val="24"/>
        </w:rPr>
      </w:pPr>
      <w:r w:rsidRPr="004B19DB">
        <w:rPr>
          <w:szCs w:val="24"/>
          <w:lang w:val="en"/>
        </w:rPr>
        <w:t xml:space="preserve">All patients </w:t>
      </w:r>
      <w:r>
        <w:rPr>
          <w:szCs w:val="24"/>
          <w:lang w:val="en"/>
        </w:rPr>
        <w:t xml:space="preserve">in the 3 groups </w:t>
      </w:r>
      <w:r w:rsidRPr="004B19DB">
        <w:rPr>
          <w:szCs w:val="24"/>
          <w:lang w:val="en"/>
        </w:rPr>
        <w:t xml:space="preserve">were </w:t>
      </w:r>
      <w:r w:rsidR="003A1A39">
        <w:rPr>
          <w:szCs w:val="24"/>
          <w:lang w:val="en"/>
        </w:rPr>
        <w:t xml:space="preserve">given </w:t>
      </w:r>
      <w:r w:rsidR="003A1A39">
        <w:rPr>
          <w:szCs w:val="24"/>
        </w:rPr>
        <w:t>c</w:t>
      </w:r>
      <w:r w:rsidR="003A1A39" w:rsidRPr="003A1A39">
        <w:rPr>
          <w:szCs w:val="24"/>
        </w:rPr>
        <w:t xml:space="preserve">ustom-made neutral volar splints to </w:t>
      </w:r>
      <w:r w:rsidR="003A1A39">
        <w:rPr>
          <w:szCs w:val="24"/>
        </w:rPr>
        <w:t>be worn</w:t>
      </w:r>
      <w:r w:rsidR="003A1A39" w:rsidRPr="003A1A39">
        <w:rPr>
          <w:szCs w:val="24"/>
        </w:rPr>
        <w:t xml:space="preserve"> at night and during the day</w:t>
      </w:r>
      <w:r w:rsidR="003A1A39" w:rsidRPr="003A1A39">
        <w:rPr>
          <w:szCs w:val="24"/>
          <w:lang w:val="en"/>
        </w:rPr>
        <w:t xml:space="preserve"> </w:t>
      </w:r>
      <w:r w:rsidRPr="003A1A39">
        <w:rPr>
          <w:szCs w:val="24"/>
          <w:lang w:val="en"/>
        </w:rPr>
        <w:t xml:space="preserve">during the 3-week treatment. </w:t>
      </w:r>
      <w:r w:rsidR="00847919" w:rsidRPr="00847919">
        <w:rPr>
          <w:szCs w:val="24"/>
        </w:rPr>
        <w:t>Continuous, pulsed and sham US therapies were performed</w:t>
      </w:r>
      <w:r w:rsidR="00847919">
        <w:rPr>
          <w:szCs w:val="24"/>
        </w:rPr>
        <w:t xml:space="preserve"> </w:t>
      </w:r>
      <w:r w:rsidR="00847919" w:rsidRPr="00847919">
        <w:rPr>
          <w:szCs w:val="24"/>
        </w:rPr>
        <w:t>on all of the patients by the same physiotherapist.</w:t>
      </w:r>
      <w:r w:rsidR="00847919">
        <w:rPr>
          <w:szCs w:val="24"/>
        </w:rPr>
        <w:t xml:space="preserve"> </w:t>
      </w:r>
      <w:r w:rsidRPr="00847919">
        <w:rPr>
          <w:szCs w:val="24"/>
          <w:lang w:val="en"/>
        </w:rPr>
        <w:t xml:space="preserve">The first group also received continuous ultrasound </w:t>
      </w:r>
      <w:r w:rsidR="00847919">
        <w:rPr>
          <w:szCs w:val="24"/>
          <w:lang w:val="en"/>
        </w:rPr>
        <w:t xml:space="preserve">at an </w:t>
      </w:r>
      <w:r w:rsidR="00847919" w:rsidRPr="00847919">
        <w:rPr>
          <w:szCs w:val="24"/>
          <w:lang w:val="en"/>
        </w:rPr>
        <w:t xml:space="preserve">intensity </w:t>
      </w:r>
      <w:r w:rsidR="00847919">
        <w:rPr>
          <w:szCs w:val="24"/>
          <w:lang w:val="en"/>
        </w:rPr>
        <w:t xml:space="preserve">of </w:t>
      </w:r>
      <w:r w:rsidR="00847919" w:rsidRPr="00847919">
        <w:rPr>
          <w:szCs w:val="24"/>
          <w:lang w:val="en"/>
        </w:rPr>
        <w:t>1.0 W/cm</w:t>
      </w:r>
      <w:r w:rsidR="00847919" w:rsidRPr="00847919">
        <w:rPr>
          <w:szCs w:val="24"/>
          <w:vertAlign w:val="superscript"/>
          <w:lang w:val="en"/>
        </w:rPr>
        <w:t>2</w:t>
      </w:r>
      <w:r w:rsidR="00847919" w:rsidRPr="00847919">
        <w:rPr>
          <w:szCs w:val="24"/>
          <w:lang w:val="en"/>
        </w:rPr>
        <w:t xml:space="preserve"> </w:t>
      </w:r>
      <w:r w:rsidR="00AE576A">
        <w:rPr>
          <w:szCs w:val="24"/>
          <w:lang w:val="en"/>
        </w:rPr>
        <w:t xml:space="preserve">and set at a frequency of 1 MHz </w:t>
      </w:r>
      <w:r w:rsidR="00847919" w:rsidRPr="00847919">
        <w:rPr>
          <w:szCs w:val="24"/>
        </w:rPr>
        <w:t xml:space="preserve">administered to the carpal tunnel area </w:t>
      </w:r>
      <w:r w:rsidR="00AB43E9">
        <w:rPr>
          <w:szCs w:val="24"/>
        </w:rPr>
        <w:t xml:space="preserve">for 10 minutes </w:t>
      </w:r>
      <w:r w:rsidR="00847919" w:rsidRPr="00847919">
        <w:rPr>
          <w:szCs w:val="24"/>
        </w:rPr>
        <w:t xml:space="preserve">with a </w:t>
      </w:r>
      <w:r w:rsidR="00847919" w:rsidRPr="00847919">
        <w:rPr>
          <w:szCs w:val="24"/>
        </w:rPr>
        <w:lastRenderedPageBreak/>
        <w:t>transducer of 5 cm</w:t>
      </w:r>
      <w:r w:rsidR="00847919" w:rsidRPr="00847919">
        <w:rPr>
          <w:szCs w:val="24"/>
          <w:vertAlign w:val="superscript"/>
        </w:rPr>
        <w:t>2</w:t>
      </w:r>
      <w:r w:rsidR="00847919" w:rsidRPr="00847919">
        <w:rPr>
          <w:szCs w:val="24"/>
        </w:rPr>
        <w:t xml:space="preserve"> in</w:t>
      </w:r>
      <w:r w:rsidR="00847919">
        <w:rPr>
          <w:szCs w:val="24"/>
        </w:rPr>
        <w:t xml:space="preserve"> </w:t>
      </w:r>
      <w:r w:rsidR="00847919" w:rsidRPr="00847919">
        <w:rPr>
          <w:szCs w:val="24"/>
        </w:rPr>
        <w:t>size using aquasonic gel</w:t>
      </w:r>
      <w:r w:rsidRPr="00847919">
        <w:rPr>
          <w:szCs w:val="24"/>
          <w:lang w:val="en"/>
        </w:rPr>
        <w:t>. The second group received pulsed ultrasound treatment</w:t>
      </w:r>
      <w:r w:rsidR="00AE576A">
        <w:rPr>
          <w:szCs w:val="24"/>
          <w:lang w:val="en"/>
        </w:rPr>
        <w:t xml:space="preserve"> at the same frequency and intensity </w:t>
      </w:r>
      <w:r w:rsidR="00AE576A" w:rsidRPr="00AE576A">
        <w:rPr>
          <w:szCs w:val="24"/>
        </w:rPr>
        <w:t>a</w:t>
      </w:r>
      <w:r w:rsidR="00AE576A">
        <w:rPr>
          <w:szCs w:val="24"/>
        </w:rPr>
        <w:t>t a</w:t>
      </w:r>
      <w:r w:rsidR="00AE576A" w:rsidRPr="00AE576A">
        <w:rPr>
          <w:szCs w:val="24"/>
        </w:rPr>
        <w:t xml:space="preserve"> pulsed mode duty cycle of 1:4.</w:t>
      </w:r>
      <w:r w:rsidRPr="00847919">
        <w:rPr>
          <w:szCs w:val="24"/>
          <w:lang w:val="en"/>
        </w:rPr>
        <w:t xml:space="preserve"> Group 3 </w:t>
      </w:r>
      <w:r w:rsidR="003A1A39" w:rsidRPr="00847919">
        <w:rPr>
          <w:szCs w:val="24"/>
          <w:lang w:val="en"/>
        </w:rPr>
        <w:t xml:space="preserve">(placebo) </w:t>
      </w:r>
      <w:r w:rsidRPr="00847919">
        <w:rPr>
          <w:szCs w:val="24"/>
          <w:lang w:val="en"/>
        </w:rPr>
        <w:t xml:space="preserve">received </w:t>
      </w:r>
      <w:r w:rsidR="00AE576A">
        <w:rPr>
          <w:szCs w:val="24"/>
          <w:lang w:val="en"/>
        </w:rPr>
        <w:t xml:space="preserve">a sham </w:t>
      </w:r>
      <w:r w:rsidRPr="00847919">
        <w:rPr>
          <w:szCs w:val="24"/>
          <w:lang w:val="en"/>
        </w:rPr>
        <w:t>ultrasound treatment</w:t>
      </w:r>
      <w:r w:rsidR="00AE576A">
        <w:rPr>
          <w:szCs w:val="24"/>
          <w:lang w:val="en"/>
        </w:rPr>
        <w:t xml:space="preserve"> </w:t>
      </w:r>
      <w:r w:rsidR="00900F3B">
        <w:rPr>
          <w:szCs w:val="24"/>
          <w:lang w:val="en"/>
        </w:rPr>
        <w:t xml:space="preserve">using </w:t>
      </w:r>
      <w:r w:rsidR="00AE576A" w:rsidRPr="00AE576A">
        <w:rPr>
          <w:szCs w:val="24"/>
        </w:rPr>
        <w:t xml:space="preserve">the </w:t>
      </w:r>
      <w:r w:rsidR="00AE576A">
        <w:rPr>
          <w:szCs w:val="24"/>
        </w:rPr>
        <w:t xml:space="preserve">same </w:t>
      </w:r>
      <w:r w:rsidR="00900F3B">
        <w:rPr>
          <w:szCs w:val="24"/>
        </w:rPr>
        <w:t>US device</w:t>
      </w:r>
      <w:r w:rsidR="00AE576A">
        <w:rPr>
          <w:szCs w:val="24"/>
        </w:rPr>
        <w:t xml:space="preserve"> </w:t>
      </w:r>
      <w:r w:rsidR="00900F3B">
        <w:rPr>
          <w:szCs w:val="24"/>
        </w:rPr>
        <w:t xml:space="preserve">which </w:t>
      </w:r>
      <w:r w:rsidR="00AE576A" w:rsidRPr="00AE576A">
        <w:rPr>
          <w:szCs w:val="24"/>
        </w:rPr>
        <w:t>appeared to be working but did not deliver</w:t>
      </w:r>
      <w:r w:rsidR="00AE576A">
        <w:rPr>
          <w:szCs w:val="24"/>
        </w:rPr>
        <w:t xml:space="preserve"> </w:t>
      </w:r>
      <w:r w:rsidR="00AE576A" w:rsidRPr="00AE576A">
        <w:rPr>
          <w:szCs w:val="24"/>
        </w:rPr>
        <w:t>any output.</w:t>
      </w:r>
      <w:r w:rsidRPr="00AE576A">
        <w:rPr>
          <w:szCs w:val="24"/>
          <w:lang w:val="en"/>
        </w:rPr>
        <w:t xml:space="preserve"> </w:t>
      </w:r>
      <w:r w:rsidR="003A1A39" w:rsidRPr="00AE576A">
        <w:rPr>
          <w:szCs w:val="24"/>
          <w:lang w:val="en"/>
        </w:rPr>
        <w:t xml:space="preserve">All treatments were given </w:t>
      </w:r>
      <w:r w:rsidRPr="00AE576A">
        <w:rPr>
          <w:szCs w:val="24"/>
          <w:lang w:val="en"/>
        </w:rPr>
        <w:t xml:space="preserve">5 days a week </w:t>
      </w:r>
      <w:r w:rsidR="003A1A39" w:rsidRPr="00AE576A">
        <w:rPr>
          <w:szCs w:val="24"/>
          <w:lang w:val="en"/>
        </w:rPr>
        <w:t xml:space="preserve">for 3 weeks </w:t>
      </w:r>
      <w:r w:rsidRPr="00AE576A">
        <w:rPr>
          <w:szCs w:val="24"/>
          <w:lang w:val="en"/>
        </w:rPr>
        <w:t xml:space="preserve">for a total of 15 sessions. </w:t>
      </w:r>
    </w:p>
    <w:p w:rsidR="003148D1" w:rsidRDefault="00F54B58" w:rsidP="00315686">
      <w:pPr>
        <w:pStyle w:val="ListParagraph"/>
        <w:numPr>
          <w:ilvl w:val="0"/>
          <w:numId w:val="2"/>
        </w:numPr>
        <w:spacing w:after="200"/>
        <w:rPr>
          <w:szCs w:val="24"/>
        </w:rPr>
      </w:pPr>
      <w:r>
        <w:rPr>
          <w:szCs w:val="24"/>
          <w:lang w:val="en"/>
        </w:rPr>
        <w:t>Outcome measures were assessed at baseline (p</w:t>
      </w:r>
      <w:r w:rsidR="003148D1" w:rsidRPr="004B19DB">
        <w:rPr>
          <w:szCs w:val="24"/>
          <w:lang w:val="en"/>
        </w:rPr>
        <w:t>re</w:t>
      </w:r>
      <w:r w:rsidR="003148D1">
        <w:rPr>
          <w:szCs w:val="24"/>
          <w:lang w:val="en"/>
        </w:rPr>
        <w:t>-</w:t>
      </w:r>
      <w:r w:rsidR="003148D1" w:rsidRPr="004B19DB">
        <w:rPr>
          <w:szCs w:val="24"/>
          <w:lang w:val="en"/>
        </w:rPr>
        <w:t>treatment</w:t>
      </w:r>
      <w:r>
        <w:rPr>
          <w:szCs w:val="24"/>
          <w:lang w:val="en"/>
        </w:rPr>
        <w:t xml:space="preserve">) </w:t>
      </w:r>
      <w:r w:rsidR="003148D1" w:rsidRPr="004B19DB">
        <w:rPr>
          <w:szCs w:val="24"/>
          <w:lang w:val="en"/>
        </w:rPr>
        <w:t>and post</w:t>
      </w:r>
      <w:r w:rsidR="003148D1">
        <w:rPr>
          <w:szCs w:val="24"/>
          <w:lang w:val="en"/>
        </w:rPr>
        <w:t>-</w:t>
      </w:r>
      <w:r w:rsidR="003148D1" w:rsidRPr="004B19DB">
        <w:rPr>
          <w:szCs w:val="24"/>
          <w:lang w:val="en"/>
        </w:rPr>
        <w:t>treatment</w:t>
      </w:r>
      <w:r>
        <w:rPr>
          <w:szCs w:val="24"/>
          <w:lang w:val="en"/>
        </w:rPr>
        <w:t>.</w:t>
      </w:r>
      <w:r w:rsidR="003148D1" w:rsidRPr="004B19DB">
        <w:rPr>
          <w:szCs w:val="24"/>
          <w:lang w:val="en"/>
        </w:rPr>
        <w:t xml:space="preserve"> </w:t>
      </w:r>
      <w:r w:rsidR="00790CD2">
        <w:rPr>
          <w:szCs w:val="24"/>
          <w:lang w:val="en"/>
        </w:rPr>
        <w:t xml:space="preserve">The </w:t>
      </w:r>
      <w:r w:rsidR="00790CD2" w:rsidRPr="00790CD2">
        <w:rPr>
          <w:rFonts w:cs="Times New Roman"/>
          <w:szCs w:val="24"/>
          <w:lang w:val="en"/>
        </w:rPr>
        <w:t xml:space="preserve">primary outcome measure was change from baseline in symptom severity using the </w:t>
      </w:r>
      <w:r w:rsidR="00790CD2" w:rsidRPr="00790CD2">
        <w:rPr>
          <w:rFonts w:cs="Times New Roman"/>
          <w:szCs w:val="24"/>
        </w:rPr>
        <w:t xml:space="preserve">self-assessment Boston questionnaire (BCTQ) </w:t>
      </w:r>
      <w:r w:rsidR="00790CD2" w:rsidRPr="00790CD2">
        <w:rPr>
          <w:rFonts w:cs="Times New Roman"/>
          <w:szCs w:val="24"/>
          <w:lang w:val="en"/>
        </w:rPr>
        <w:t xml:space="preserve">Symptom Severity Scale. Secondary outcome measures included </w:t>
      </w:r>
      <w:r w:rsidR="00790CD2">
        <w:rPr>
          <w:rFonts w:cs="Times New Roman"/>
          <w:szCs w:val="24"/>
          <w:lang w:val="en"/>
        </w:rPr>
        <w:t>c</w:t>
      </w:r>
      <w:r w:rsidR="00790CD2" w:rsidRPr="00790CD2">
        <w:rPr>
          <w:rFonts w:cs="Times New Roman"/>
          <w:szCs w:val="24"/>
          <w:lang w:val="en"/>
        </w:rPr>
        <w:t xml:space="preserve">hange from baseline in pain </w:t>
      </w:r>
      <w:r w:rsidR="00AF26C9">
        <w:rPr>
          <w:rFonts w:cs="Times New Roman"/>
          <w:szCs w:val="24"/>
          <w:lang w:val="en"/>
        </w:rPr>
        <w:t xml:space="preserve">severity </w:t>
      </w:r>
      <w:r w:rsidR="00790CD2">
        <w:rPr>
          <w:rFonts w:cs="Times New Roman"/>
          <w:szCs w:val="24"/>
          <w:lang w:val="en"/>
        </w:rPr>
        <w:t xml:space="preserve">using the </w:t>
      </w:r>
      <w:r w:rsidR="003148D1" w:rsidRPr="00790CD2">
        <w:rPr>
          <w:szCs w:val="24"/>
          <w:lang w:val="en"/>
        </w:rPr>
        <w:t xml:space="preserve">Visual Analogue Scale scores, </w:t>
      </w:r>
      <w:r w:rsidR="00790CD2">
        <w:rPr>
          <w:rFonts w:cs="Times New Roman"/>
          <w:szCs w:val="24"/>
          <w:lang w:val="en"/>
        </w:rPr>
        <w:t>c</w:t>
      </w:r>
      <w:r w:rsidR="00790CD2" w:rsidRPr="00790CD2">
        <w:rPr>
          <w:rFonts w:cs="Times New Roman"/>
          <w:szCs w:val="24"/>
          <w:lang w:val="en"/>
        </w:rPr>
        <w:t xml:space="preserve">hange in functional status </w:t>
      </w:r>
      <w:r w:rsidR="00790CD2">
        <w:rPr>
          <w:rFonts w:cs="Times New Roman"/>
          <w:szCs w:val="24"/>
          <w:lang w:val="en"/>
        </w:rPr>
        <w:t xml:space="preserve">using the </w:t>
      </w:r>
      <w:r w:rsidR="003148D1" w:rsidRPr="00790CD2">
        <w:rPr>
          <w:szCs w:val="24"/>
          <w:lang w:val="en"/>
        </w:rPr>
        <w:t>Functional Status Scale scores</w:t>
      </w:r>
      <w:r w:rsidR="00790CD2">
        <w:rPr>
          <w:szCs w:val="24"/>
          <w:lang w:val="en"/>
        </w:rPr>
        <w:t xml:space="preserve"> of the BCTQ</w:t>
      </w:r>
      <w:r w:rsidR="003148D1" w:rsidRPr="00790CD2">
        <w:rPr>
          <w:szCs w:val="24"/>
          <w:lang w:val="en"/>
        </w:rPr>
        <w:t xml:space="preserve">, </w:t>
      </w:r>
      <w:r w:rsidR="00790CD2">
        <w:rPr>
          <w:szCs w:val="24"/>
          <w:lang w:val="en"/>
        </w:rPr>
        <w:t xml:space="preserve">and changes in the </w:t>
      </w:r>
      <w:r w:rsidR="003148D1" w:rsidRPr="00790CD2">
        <w:rPr>
          <w:szCs w:val="24"/>
          <w:lang w:val="en"/>
        </w:rPr>
        <w:t xml:space="preserve">median </w:t>
      </w:r>
      <w:r w:rsidR="00790CD2" w:rsidRPr="00790CD2">
        <w:rPr>
          <w:szCs w:val="24"/>
          <w:lang w:val="en"/>
        </w:rPr>
        <w:t>nerve motor conduction velocity,</w:t>
      </w:r>
      <w:r w:rsidR="003148D1" w:rsidRPr="00790CD2">
        <w:rPr>
          <w:szCs w:val="24"/>
          <w:lang w:val="en"/>
        </w:rPr>
        <w:t xml:space="preserve"> and distal latency and sensory conduction velocity of </w:t>
      </w:r>
      <w:r w:rsidR="00790CD2">
        <w:rPr>
          <w:szCs w:val="24"/>
          <w:lang w:val="en"/>
        </w:rPr>
        <w:t xml:space="preserve">the </w:t>
      </w:r>
      <w:r w:rsidR="003148D1" w:rsidRPr="00790CD2">
        <w:rPr>
          <w:szCs w:val="24"/>
          <w:lang w:val="en"/>
        </w:rPr>
        <w:t>median nerve in the 2nd finger and palm</w:t>
      </w:r>
      <w:r w:rsidR="00AF26C9">
        <w:rPr>
          <w:szCs w:val="24"/>
          <w:lang w:val="en"/>
        </w:rPr>
        <w:t xml:space="preserve"> using an </w:t>
      </w:r>
      <w:r w:rsidR="00AF26C9">
        <w:rPr>
          <w:szCs w:val="24"/>
        </w:rPr>
        <w:t>electromyography apparatus for these electrodiagnostic tests.</w:t>
      </w:r>
    </w:p>
    <w:p w:rsidR="00315686" w:rsidRDefault="00FA370C" w:rsidP="00315686">
      <w:pPr>
        <w:pStyle w:val="ListParagraph"/>
        <w:numPr>
          <w:ilvl w:val="0"/>
          <w:numId w:val="2"/>
        </w:numPr>
        <w:spacing w:after="200"/>
        <w:rPr>
          <w:szCs w:val="24"/>
        </w:rPr>
      </w:pPr>
      <w:r>
        <w:rPr>
          <w:szCs w:val="24"/>
        </w:rPr>
        <w:t>Sample size p</w:t>
      </w:r>
      <w:r w:rsidR="00AF26C9" w:rsidRPr="00AF26C9">
        <w:rPr>
          <w:szCs w:val="24"/>
        </w:rPr>
        <w:t>ower calculations were evaluated using a one</w:t>
      </w:r>
      <w:r w:rsidR="00AF26C9">
        <w:rPr>
          <w:szCs w:val="24"/>
        </w:rPr>
        <w:t>-</w:t>
      </w:r>
      <w:r w:rsidR="00AF26C9" w:rsidRPr="00AF26C9">
        <w:rPr>
          <w:szCs w:val="24"/>
        </w:rPr>
        <w:t>way</w:t>
      </w:r>
      <w:r w:rsidR="00AF26C9">
        <w:rPr>
          <w:szCs w:val="24"/>
        </w:rPr>
        <w:t xml:space="preserve"> </w:t>
      </w:r>
      <w:r w:rsidR="00AF26C9" w:rsidRPr="00AF26C9">
        <w:rPr>
          <w:szCs w:val="24"/>
        </w:rPr>
        <w:t xml:space="preserve">ANOVA and the power of the study was </w:t>
      </w:r>
      <w:r w:rsidR="00AF26C9">
        <w:rPr>
          <w:szCs w:val="24"/>
        </w:rPr>
        <w:t xml:space="preserve">set at </w:t>
      </w:r>
      <w:r w:rsidR="00AF26C9" w:rsidRPr="00AF26C9">
        <w:rPr>
          <w:szCs w:val="24"/>
        </w:rPr>
        <w:t>0.70 (70%)</w:t>
      </w:r>
      <w:r w:rsidR="00AF26C9">
        <w:rPr>
          <w:szCs w:val="24"/>
        </w:rPr>
        <w:t xml:space="preserve"> with a</w:t>
      </w:r>
      <w:r w:rsidR="00AF26C9" w:rsidRPr="00AF26C9">
        <w:rPr>
          <w:szCs w:val="24"/>
        </w:rPr>
        <w:t xml:space="preserve"> significance level</w:t>
      </w:r>
      <w:r>
        <w:rPr>
          <w:szCs w:val="24"/>
        </w:rPr>
        <w:t xml:space="preserve"> set at</w:t>
      </w:r>
      <w:r w:rsidR="00AF26C9" w:rsidRPr="00AF26C9">
        <w:rPr>
          <w:szCs w:val="24"/>
        </w:rPr>
        <w:t xml:space="preserve"> </w:t>
      </w:r>
      <w:r w:rsidR="00AF26C9" w:rsidRPr="00FA370C">
        <w:rPr>
          <w:i/>
          <w:szCs w:val="24"/>
        </w:rPr>
        <w:t>p</w:t>
      </w:r>
      <w:r>
        <w:rPr>
          <w:szCs w:val="24"/>
        </w:rPr>
        <w:t xml:space="preserve"> &lt; </w:t>
      </w:r>
      <w:r w:rsidR="00AF26C9" w:rsidRPr="00AF26C9">
        <w:rPr>
          <w:szCs w:val="24"/>
        </w:rPr>
        <w:t>0.05.</w:t>
      </w:r>
    </w:p>
    <w:p w:rsidR="00315686" w:rsidRPr="00315686" w:rsidRDefault="000A6DB0" w:rsidP="00315686">
      <w:pPr>
        <w:spacing w:after="200"/>
        <w:ind w:left="0"/>
        <w:rPr>
          <w:szCs w:val="24"/>
        </w:rPr>
      </w:pPr>
      <w:r w:rsidRPr="00315686">
        <w:rPr>
          <w:rFonts w:cs="Times New Roman"/>
          <w:b/>
          <w:szCs w:val="24"/>
        </w:rPr>
        <w:t>Results</w:t>
      </w:r>
      <w:r w:rsidR="00C57626" w:rsidRPr="00315686">
        <w:rPr>
          <w:rFonts w:cs="Times New Roman"/>
          <w:b/>
          <w:szCs w:val="24"/>
        </w:rPr>
        <w:t>:</w:t>
      </w:r>
    </w:p>
    <w:p w:rsidR="003D0C39" w:rsidRPr="0045408D" w:rsidRDefault="00315686" w:rsidP="00315686">
      <w:pPr>
        <w:pStyle w:val="ListParagraph"/>
        <w:numPr>
          <w:ilvl w:val="0"/>
          <w:numId w:val="8"/>
        </w:numPr>
        <w:rPr>
          <w:rFonts w:cs="Times New Roman"/>
          <w:szCs w:val="24"/>
        </w:rPr>
      </w:pPr>
      <w:r w:rsidRPr="0045408D">
        <w:rPr>
          <w:rFonts w:cs="Times New Roman"/>
          <w:szCs w:val="24"/>
        </w:rPr>
        <w:t>No significant differences were observed between the groups for the demographic characteristics of age and duration of symptoms. Average age among the 3 groups was 44.3 years and average duration of symptoms was 12.5 months.</w:t>
      </w:r>
    </w:p>
    <w:p w:rsidR="00953B7E" w:rsidRPr="00452611" w:rsidRDefault="00953B7E" w:rsidP="00953B7E">
      <w:pPr>
        <w:pStyle w:val="ListParagraph"/>
        <w:numPr>
          <w:ilvl w:val="0"/>
          <w:numId w:val="3"/>
        </w:numPr>
        <w:rPr>
          <w:rFonts w:cs="Times New Roman"/>
          <w:szCs w:val="24"/>
        </w:rPr>
      </w:pPr>
      <w:r w:rsidRPr="00452611">
        <w:rPr>
          <w:rFonts w:cs="Times New Roman"/>
          <w:szCs w:val="24"/>
        </w:rPr>
        <w:t>Baseline outcome measurements before any treatments on the</w:t>
      </w:r>
      <w:r>
        <w:rPr>
          <w:rFonts w:cs="Times New Roman"/>
          <w:szCs w:val="24"/>
        </w:rPr>
        <w:t xml:space="preserve"> BCT</w:t>
      </w:r>
      <w:r w:rsidRPr="00452611">
        <w:rPr>
          <w:rFonts w:cs="Times New Roman"/>
          <w:szCs w:val="24"/>
        </w:rPr>
        <w:t xml:space="preserve">Q </w:t>
      </w:r>
      <w:r>
        <w:rPr>
          <w:rFonts w:cs="Times New Roman"/>
          <w:szCs w:val="24"/>
        </w:rPr>
        <w:t>for symptom severity</w:t>
      </w:r>
      <w:r w:rsidRPr="00452611">
        <w:rPr>
          <w:rFonts w:cs="Times New Roman"/>
          <w:szCs w:val="24"/>
        </w:rPr>
        <w:t>, VAS scores</w:t>
      </w:r>
      <w:r>
        <w:rPr>
          <w:rFonts w:cs="Times New Roman"/>
          <w:szCs w:val="24"/>
        </w:rPr>
        <w:t>,</w:t>
      </w:r>
      <w:r w:rsidRPr="00452611">
        <w:rPr>
          <w:rFonts w:cs="Times New Roman"/>
          <w:szCs w:val="24"/>
        </w:rPr>
        <w:t xml:space="preserve"> </w:t>
      </w:r>
      <w:r>
        <w:rPr>
          <w:rFonts w:cs="Times New Roman"/>
          <w:szCs w:val="24"/>
        </w:rPr>
        <w:t xml:space="preserve">and all the electrophysiological parameters </w:t>
      </w:r>
      <w:r w:rsidRPr="00452611">
        <w:rPr>
          <w:rFonts w:cs="Times New Roman"/>
          <w:szCs w:val="24"/>
        </w:rPr>
        <w:t xml:space="preserve">were not significantly different between the 3 groups. </w:t>
      </w:r>
      <w:r>
        <w:rPr>
          <w:rFonts w:cs="Times New Roman"/>
          <w:szCs w:val="24"/>
        </w:rPr>
        <w:t>However, baseline functional scores on the BCTQ were significantly different between the 3 groups (</w:t>
      </w:r>
      <w:r w:rsidRPr="00953B7E">
        <w:rPr>
          <w:rFonts w:cs="Times New Roman"/>
          <w:i/>
          <w:szCs w:val="24"/>
        </w:rPr>
        <w:t>p</w:t>
      </w:r>
      <w:r>
        <w:rPr>
          <w:rFonts w:cs="Times New Roman"/>
          <w:szCs w:val="24"/>
        </w:rPr>
        <w:t>=0.019).</w:t>
      </w:r>
    </w:p>
    <w:p w:rsidR="0045408D" w:rsidRPr="0045408D" w:rsidRDefault="0045408D" w:rsidP="00315686">
      <w:pPr>
        <w:pStyle w:val="ListParagraph"/>
        <w:numPr>
          <w:ilvl w:val="0"/>
          <w:numId w:val="3"/>
        </w:numPr>
        <w:rPr>
          <w:rFonts w:cs="Times New Roman"/>
          <w:szCs w:val="24"/>
        </w:rPr>
      </w:pPr>
      <w:r w:rsidRPr="0045408D">
        <w:rPr>
          <w:rFonts w:cs="Times New Roman"/>
          <w:szCs w:val="24"/>
        </w:rPr>
        <w:t xml:space="preserve">There were statistically significant improvements </w:t>
      </w:r>
      <w:r w:rsidR="00820146">
        <w:rPr>
          <w:rFonts w:cs="Times New Roman"/>
          <w:szCs w:val="24"/>
        </w:rPr>
        <w:t>with</w:t>
      </w:r>
      <w:r w:rsidRPr="0045408D">
        <w:rPr>
          <w:rFonts w:cs="Times New Roman"/>
          <w:szCs w:val="24"/>
        </w:rPr>
        <w:t xml:space="preserve">in all 3 groups for </w:t>
      </w:r>
      <w:r w:rsidRPr="0045408D">
        <w:rPr>
          <w:rFonts w:cs="Times New Roman"/>
          <w:szCs w:val="24"/>
          <w:lang w:val="en"/>
        </w:rPr>
        <w:t>symptom s</w:t>
      </w:r>
      <w:r w:rsidR="00790CD2" w:rsidRPr="0045408D">
        <w:rPr>
          <w:rFonts w:cs="Times New Roman"/>
          <w:szCs w:val="24"/>
          <w:lang w:val="en"/>
        </w:rPr>
        <w:t>everity</w:t>
      </w:r>
      <w:r w:rsidRPr="0045408D">
        <w:rPr>
          <w:rFonts w:cs="Times New Roman"/>
          <w:szCs w:val="24"/>
          <w:lang w:val="en"/>
        </w:rPr>
        <w:t>,</w:t>
      </w:r>
      <w:r w:rsidR="00790CD2" w:rsidRPr="0045408D">
        <w:rPr>
          <w:rFonts w:cs="Times New Roman"/>
          <w:szCs w:val="24"/>
          <w:lang w:val="en"/>
        </w:rPr>
        <w:t xml:space="preserve"> </w:t>
      </w:r>
      <w:r w:rsidRPr="0045408D">
        <w:rPr>
          <w:rFonts w:cs="Times New Roman"/>
          <w:szCs w:val="24"/>
          <w:lang w:val="en"/>
        </w:rPr>
        <w:t>functional status, and pain severity</w:t>
      </w:r>
      <w:r>
        <w:rPr>
          <w:rFonts w:cs="Times New Roman"/>
          <w:szCs w:val="24"/>
          <w:lang w:val="en"/>
        </w:rPr>
        <w:t xml:space="preserve"> from baseline to the end of treatment at 3 weeks.</w:t>
      </w:r>
      <w:r w:rsidR="005C18C2">
        <w:rPr>
          <w:rFonts w:cs="Times New Roman"/>
          <w:szCs w:val="24"/>
          <w:lang w:val="en"/>
        </w:rPr>
        <w:t xml:space="preserve"> The 6 electrophysiological parameters did not consistently show </w:t>
      </w:r>
      <w:r w:rsidR="005C18C2" w:rsidRPr="005C18C2">
        <w:rPr>
          <w:rFonts w:cs="Times New Roman"/>
          <w:szCs w:val="24"/>
        </w:rPr>
        <w:t>statistically significant improvements</w:t>
      </w:r>
      <w:r w:rsidR="005C18C2">
        <w:rPr>
          <w:rFonts w:cs="Times New Roman"/>
          <w:szCs w:val="24"/>
        </w:rPr>
        <w:t xml:space="preserve"> </w:t>
      </w:r>
      <w:r w:rsidR="005C18C2" w:rsidRPr="005C18C2">
        <w:rPr>
          <w:rFonts w:cs="Times New Roman"/>
          <w:szCs w:val="24"/>
          <w:lang w:val="en"/>
        </w:rPr>
        <w:t>from baseline to the end of treatment at 3 weeks.</w:t>
      </w:r>
      <w:r w:rsidR="005C18C2">
        <w:rPr>
          <w:rFonts w:cs="Times New Roman"/>
          <w:szCs w:val="24"/>
          <w:lang w:val="en"/>
        </w:rPr>
        <w:t xml:space="preserve"> </w:t>
      </w:r>
    </w:p>
    <w:p w:rsidR="0045408D" w:rsidRPr="007F148E" w:rsidRDefault="007F148E" w:rsidP="007F148E">
      <w:pPr>
        <w:pStyle w:val="ListParagraph"/>
        <w:numPr>
          <w:ilvl w:val="0"/>
          <w:numId w:val="3"/>
        </w:numPr>
        <w:rPr>
          <w:rFonts w:cs="Times New Roman"/>
          <w:szCs w:val="24"/>
        </w:rPr>
      </w:pPr>
      <w:r w:rsidRPr="007F148E">
        <w:rPr>
          <w:rFonts w:cs="Times New Roman"/>
          <w:szCs w:val="24"/>
        </w:rPr>
        <w:t>There were no significant differences between the</w:t>
      </w:r>
      <w:r>
        <w:rPr>
          <w:rFonts w:cs="Times New Roman"/>
          <w:szCs w:val="24"/>
        </w:rPr>
        <w:t xml:space="preserve"> </w:t>
      </w:r>
      <w:r w:rsidRPr="007F148E">
        <w:rPr>
          <w:rFonts w:cs="Times New Roman"/>
          <w:szCs w:val="24"/>
        </w:rPr>
        <w:t>groups</w:t>
      </w:r>
      <w:r>
        <w:rPr>
          <w:rFonts w:cs="Times New Roman"/>
          <w:szCs w:val="24"/>
        </w:rPr>
        <w:t xml:space="preserve"> for any of the outcome measurements at the end of the 3 week treatment.</w:t>
      </w:r>
    </w:p>
    <w:p w:rsidR="00666CF8" w:rsidRPr="009E39DF"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AA1AD3" w:rsidRDefault="00AA1AD3" w:rsidP="00535BE1">
      <w:pPr>
        <w:ind w:left="0"/>
        <w:rPr>
          <w:rFonts w:cs="Times New Roman"/>
          <w:b/>
          <w:szCs w:val="24"/>
        </w:rPr>
      </w:pPr>
    </w:p>
    <w:p w:rsidR="00AB43E9" w:rsidRPr="00AA1AD3" w:rsidRDefault="00AA1AD3" w:rsidP="00AA1AD3">
      <w:pPr>
        <w:pStyle w:val="ListParagraph"/>
        <w:numPr>
          <w:ilvl w:val="0"/>
          <w:numId w:val="8"/>
        </w:numPr>
        <w:rPr>
          <w:rFonts w:cs="Times New Roman"/>
          <w:szCs w:val="24"/>
        </w:rPr>
      </w:pPr>
      <w:r>
        <w:rPr>
          <w:rFonts w:cs="Times New Roman"/>
          <w:szCs w:val="24"/>
        </w:rPr>
        <w:t>S</w:t>
      </w:r>
      <w:r w:rsidRPr="00AA1AD3">
        <w:rPr>
          <w:rFonts w:cs="Times New Roman"/>
          <w:szCs w:val="24"/>
        </w:rPr>
        <w:t>plinting therapy in combination with</w:t>
      </w:r>
      <w:r>
        <w:rPr>
          <w:rFonts w:cs="Times New Roman"/>
          <w:szCs w:val="24"/>
        </w:rPr>
        <w:t xml:space="preserve"> </w:t>
      </w:r>
      <w:r w:rsidRPr="00AA1AD3">
        <w:rPr>
          <w:rFonts w:cs="Times New Roman"/>
          <w:szCs w:val="24"/>
        </w:rPr>
        <w:t>pulsed</w:t>
      </w:r>
      <w:r>
        <w:rPr>
          <w:rFonts w:cs="Times New Roman"/>
          <w:szCs w:val="24"/>
        </w:rPr>
        <w:t>,</w:t>
      </w:r>
      <w:r w:rsidRPr="00AA1AD3">
        <w:rPr>
          <w:rFonts w:cs="Times New Roman"/>
          <w:szCs w:val="24"/>
        </w:rPr>
        <w:t xml:space="preserve"> continuous</w:t>
      </w:r>
      <w:r>
        <w:rPr>
          <w:rFonts w:cs="Times New Roman"/>
          <w:szCs w:val="24"/>
        </w:rPr>
        <w:t>,</w:t>
      </w:r>
      <w:r w:rsidRPr="00AA1AD3">
        <w:rPr>
          <w:rFonts w:cs="Times New Roman"/>
          <w:szCs w:val="24"/>
        </w:rPr>
        <w:t xml:space="preserve"> or placebo US showed similar clinical</w:t>
      </w:r>
      <w:r>
        <w:rPr>
          <w:rFonts w:cs="Times New Roman"/>
          <w:szCs w:val="24"/>
        </w:rPr>
        <w:t xml:space="preserve"> </w:t>
      </w:r>
      <w:r w:rsidRPr="00AA1AD3">
        <w:rPr>
          <w:rFonts w:cs="Times New Roman"/>
          <w:szCs w:val="24"/>
        </w:rPr>
        <w:t>results. Patients who were treated with continuous and</w:t>
      </w:r>
      <w:r>
        <w:rPr>
          <w:rFonts w:cs="Times New Roman"/>
          <w:szCs w:val="24"/>
        </w:rPr>
        <w:t xml:space="preserve"> </w:t>
      </w:r>
      <w:r w:rsidRPr="00AA1AD3">
        <w:rPr>
          <w:rFonts w:cs="Times New Roman"/>
          <w:szCs w:val="24"/>
        </w:rPr>
        <w:t>pulsed US showed electrophysiological improvement</w:t>
      </w:r>
      <w:r>
        <w:rPr>
          <w:rFonts w:cs="Times New Roman"/>
          <w:szCs w:val="24"/>
        </w:rPr>
        <w:t xml:space="preserve">, but the results that were obtained </w:t>
      </w:r>
      <w:r w:rsidRPr="00AA1AD3">
        <w:rPr>
          <w:rFonts w:cs="Times New Roman"/>
          <w:szCs w:val="24"/>
        </w:rPr>
        <w:t>were not superior to</w:t>
      </w:r>
      <w:r>
        <w:rPr>
          <w:rFonts w:cs="Times New Roman"/>
          <w:szCs w:val="24"/>
        </w:rPr>
        <w:t xml:space="preserve"> </w:t>
      </w:r>
      <w:r w:rsidRPr="00AA1AD3">
        <w:rPr>
          <w:rFonts w:cs="Times New Roman"/>
          <w:szCs w:val="24"/>
        </w:rPr>
        <w:t>those that were reported with the placebo.</w:t>
      </w:r>
    </w:p>
    <w:p w:rsidR="00E15D35" w:rsidRDefault="00E15D35" w:rsidP="00E15D35">
      <w:pPr>
        <w:pStyle w:val="ListParagraph"/>
        <w:numPr>
          <w:ilvl w:val="0"/>
          <w:numId w:val="8"/>
        </w:numPr>
        <w:rPr>
          <w:rFonts w:cs="Times New Roman"/>
          <w:szCs w:val="24"/>
        </w:rPr>
      </w:pPr>
      <w:r w:rsidRPr="00AB43E9">
        <w:rPr>
          <w:rFonts w:cs="Times New Roman"/>
          <w:szCs w:val="24"/>
        </w:rPr>
        <w:t>We believe that this</w:t>
      </w:r>
      <w:r>
        <w:rPr>
          <w:rFonts w:cs="Times New Roman"/>
          <w:szCs w:val="24"/>
        </w:rPr>
        <w:t xml:space="preserve"> </w:t>
      </w:r>
      <w:r w:rsidRPr="00AB43E9">
        <w:rPr>
          <w:rFonts w:cs="Times New Roman"/>
          <w:szCs w:val="24"/>
        </w:rPr>
        <w:t>electrophysiological improvement is related to the mechanism</w:t>
      </w:r>
      <w:r>
        <w:rPr>
          <w:rFonts w:cs="Times New Roman"/>
          <w:szCs w:val="24"/>
        </w:rPr>
        <w:t xml:space="preserve"> </w:t>
      </w:r>
      <w:r w:rsidRPr="00AB43E9">
        <w:rPr>
          <w:rFonts w:cs="Times New Roman"/>
          <w:szCs w:val="24"/>
        </w:rPr>
        <w:t xml:space="preserve">of action of US therapy. </w:t>
      </w:r>
    </w:p>
    <w:p w:rsidR="00AB43E9" w:rsidRDefault="00AB43E9" w:rsidP="00AB43E9">
      <w:pPr>
        <w:pStyle w:val="ListParagraph"/>
        <w:numPr>
          <w:ilvl w:val="0"/>
          <w:numId w:val="8"/>
        </w:numPr>
        <w:rPr>
          <w:rFonts w:cs="Times New Roman"/>
          <w:szCs w:val="24"/>
        </w:rPr>
      </w:pPr>
      <w:r>
        <w:rPr>
          <w:rFonts w:cs="Times New Roman"/>
          <w:szCs w:val="24"/>
        </w:rPr>
        <w:t>T</w:t>
      </w:r>
      <w:r w:rsidRPr="00AB43E9">
        <w:rPr>
          <w:rFonts w:cs="Times New Roman"/>
          <w:szCs w:val="24"/>
        </w:rPr>
        <w:t xml:space="preserve">here is no consensus in the literature regarding the </w:t>
      </w:r>
      <w:r w:rsidR="00AA1AD3">
        <w:rPr>
          <w:rFonts w:cs="Times New Roman"/>
          <w:szCs w:val="24"/>
        </w:rPr>
        <w:t xml:space="preserve">optimally </w:t>
      </w:r>
      <w:r w:rsidRPr="00AB43E9">
        <w:rPr>
          <w:rFonts w:cs="Times New Roman"/>
          <w:szCs w:val="24"/>
        </w:rPr>
        <w:t xml:space="preserve">effective therapeutic dose (intensity, frequency of sound waves, duration, </w:t>
      </w:r>
      <w:proofErr w:type="gramStart"/>
      <w:r w:rsidRPr="00AB43E9">
        <w:rPr>
          <w:rFonts w:cs="Times New Roman"/>
          <w:szCs w:val="24"/>
        </w:rPr>
        <w:t>pulse</w:t>
      </w:r>
      <w:proofErr w:type="gramEnd"/>
      <w:r w:rsidRPr="00AB43E9">
        <w:rPr>
          <w:rFonts w:cs="Times New Roman"/>
          <w:szCs w:val="24"/>
        </w:rPr>
        <w:t xml:space="preserve">) for US therapy. </w:t>
      </w:r>
    </w:p>
    <w:p w:rsidR="00AB43E9" w:rsidRDefault="00AB43E9" w:rsidP="00AB43E9">
      <w:pPr>
        <w:pStyle w:val="ListParagraph"/>
        <w:numPr>
          <w:ilvl w:val="0"/>
          <w:numId w:val="8"/>
        </w:numPr>
        <w:rPr>
          <w:rFonts w:cs="Times New Roman"/>
          <w:szCs w:val="24"/>
        </w:rPr>
      </w:pPr>
      <w:r>
        <w:rPr>
          <w:rFonts w:cs="Times New Roman"/>
          <w:szCs w:val="24"/>
        </w:rPr>
        <w:t>T</w:t>
      </w:r>
      <w:r w:rsidRPr="00AB43E9">
        <w:rPr>
          <w:rFonts w:cs="Times New Roman"/>
          <w:szCs w:val="24"/>
        </w:rPr>
        <w:t>he lack of</w:t>
      </w:r>
      <w:r>
        <w:rPr>
          <w:rFonts w:cs="Times New Roman"/>
          <w:szCs w:val="24"/>
        </w:rPr>
        <w:t xml:space="preserve"> </w:t>
      </w:r>
      <w:r w:rsidRPr="00AB43E9">
        <w:rPr>
          <w:rFonts w:cs="Times New Roman"/>
          <w:szCs w:val="24"/>
        </w:rPr>
        <w:t>intergroup differences in the electrophysiological parameters</w:t>
      </w:r>
      <w:r>
        <w:rPr>
          <w:rFonts w:cs="Times New Roman"/>
          <w:szCs w:val="24"/>
        </w:rPr>
        <w:t xml:space="preserve"> </w:t>
      </w:r>
      <w:r w:rsidRPr="00AB43E9">
        <w:rPr>
          <w:rFonts w:cs="Times New Roman"/>
          <w:szCs w:val="24"/>
        </w:rPr>
        <w:t>may be related to the small sample size.</w:t>
      </w:r>
    </w:p>
    <w:p w:rsidR="00AA1AD3" w:rsidRPr="00AA1AD3" w:rsidRDefault="00AB43E9" w:rsidP="00AA1AD3">
      <w:pPr>
        <w:pStyle w:val="ListParagraph"/>
        <w:numPr>
          <w:ilvl w:val="0"/>
          <w:numId w:val="8"/>
        </w:numPr>
        <w:rPr>
          <w:rFonts w:cs="Times New Roman"/>
          <w:szCs w:val="24"/>
        </w:rPr>
      </w:pPr>
      <w:r>
        <w:rPr>
          <w:rFonts w:cs="Times New Roman"/>
          <w:szCs w:val="24"/>
        </w:rPr>
        <w:t>T</w:t>
      </w:r>
      <w:r w:rsidRPr="00AB43E9">
        <w:rPr>
          <w:rFonts w:cs="Times New Roman"/>
          <w:szCs w:val="24"/>
        </w:rPr>
        <w:t xml:space="preserve">he main limitations of </w:t>
      </w:r>
      <w:r>
        <w:rPr>
          <w:rFonts w:cs="Times New Roman"/>
          <w:szCs w:val="24"/>
        </w:rPr>
        <w:t xml:space="preserve">this </w:t>
      </w:r>
      <w:r w:rsidRPr="00AB43E9">
        <w:rPr>
          <w:rFonts w:cs="Times New Roman"/>
          <w:szCs w:val="24"/>
        </w:rPr>
        <w:t>study</w:t>
      </w:r>
      <w:r>
        <w:rPr>
          <w:rFonts w:cs="Times New Roman"/>
          <w:szCs w:val="24"/>
        </w:rPr>
        <w:t xml:space="preserve"> were t</w:t>
      </w:r>
      <w:r w:rsidRPr="00AB43E9">
        <w:rPr>
          <w:rFonts w:cs="Times New Roman"/>
          <w:szCs w:val="24"/>
        </w:rPr>
        <w:t>he relatively small</w:t>
      </w:r>
      <w:r w:rsidR="00AA1AD3">
        <w:rPr>
          <w:rFonts w:cs="Times New Roman"/>
          <w:szCs w:val="24"/>
        </w:rPr>
        <w:t xml:space="preserve"> </w:t>
      </w:r>
      <w:r w:rsidRPr="00AA1AD3">
        <w:rPr>
          <w:rFonts w:cs="Times New Roman"/>
          <w:szCs w:val="24"/>
        </w:rPr>
        <w:t>number of patients and lack of data describing a long-term</w:t>
      </w:r>
      <w:r w:rsidR="00AA1AD3">
        <w:rPr>
          <w:rFonts w:cs="Times New Roman"/>
          <w:szCs w:val="24"/>
        </w:rPr>
        <w:t xml:space="preserve"> </w:t>
      </w:r>
      <w:r w:rsidRPr="00AA1AD3">
        <w:rPr>
          <w:rFonts w:cs="Times New Roman"/>
          <w:szCs w:val="24"/>
        </w:rPr>
        <w:t>follow-up of the patients</w:t>
      </w:r>
      <w:r w:rsidR="00AA1AD3" w:rsidRPr="00AA1AD3">
        <w:rPr>
          <w:rFonts w:cs="Times New Roman"/>
          <w:szCs w:val="24"/>
        </w:rPr>
        <w:t>.</w:t>
      </w:r>
      <w:r w:rsidRPr="00AA1AD3">
        <w:rPr>
          <w:rFonts w:cs="Times New Roman"/>
          <w:szCs w:val="24"/>
        </w:rPr>
        <w:t xml:space="preserve"> </w:t>
      </w:r>
    </w:p>
    <w:p w:rsidR="00AB43E9" w:rsidRPr="00AA1AD3" w:rsidRDefault="00AA1AD3" w:rsidP="00AA1AD3">
      <w:pPr>
        <w:pStyle w:val="ListParagraph"/>
        <w:numPr>
          <w:ilvl w:val="0"/>
          <w:numId w:val="8"/>
        </w:numPr>
        <w:rPr>
          <w:rFonts w:cs="Times New Roman"/>
          <w:szCs w:val="24"/>
        </w:rPr>
      </w:pPr>
      <w:r>
        <w:rPr>
          <w:rFonts w:cs="Times New Roman"/>
          <w:szCs w:val="24"/>
        </w:rPr>
        <w:lastRenderedPageBreak/>
        <w:t>W</w:t>
      </w:r>
      <w:r w:rsidRPr="00AA1AD3">
        <w:rPr>
          <w:rFonts w:cs="Times New Roman"/>
          <w:szCs w:val="24"/>
        </w:rPr>
        <w:t>ell-designed studies with long-term follow-up are</w:t>
      </w:r>
      <w:r>
        <w:rPr>
          <w:rFonts w:cs="Times New Roman"/>
          <w:szCs w:val="24"/>
        </w:rPr>
        <w:t xml:space="preserve"> </w:t>
      </w:r>
      <w:r w:rsidRPr="00AA1AD3">
        <w:rPr>
          <w:rFonts w:cs="Times New Roman"/>
          <w:szCs w:val="24"/>
        </w:rPr>
        <w:t>needed to determine</w:t>
      </w:r>
      <w:r>
        <w:rPr>
          <w:rFonts w:cs="Times New Roman"/>
          <w:szCs w:val="24"/>
        </w:rPr>
        <w:t xml:space="preserve"> the</w:t>
      </w:r>
      <w:r w:rsidRPr="00AA1AD3">
        <w:rPr>
          <w:rFonts w:cs="Times New Roman"/>
          <w:szCs w:val="24"/>
        </w:rPr>
        <w:t xml:space="preserve"> optimal therapeutic US parameters.</w:t>
      </w:r>
    </w:p>
    <w:p w:rsidR="005B740E" w:rsidRPr="00117BF6" w:rsidRDefault="005B740E" w:rsidP="00117BF6">
      <w:pPr>
        <w:pStyle w:val="ListParagraph"/>
        <w:ind w:left="720"/>
        <w:rPr>
          <w:rFonts w:cs="Times New Roman"/>
          <w:b/>
          <w:szCs w:val="24"/>
        </w:rPr>
      </w:pPr>
    </w:p>
    <w:p w:rsidR="00991F49" w:rsidRDefault="00991F49" w:rsidP="008A3029">
      <w:pPr>
        <w:ind w:left="0"/>
        <w:rPr>
          <w:rFonts w:cs="Times New Roman"/>
          <w:b/>
          <w:szCs w:val="24"/>
        </w:rPr>
      </w:pPr>
      <w:r>
        <w:rPr>
          <w:rFonts w:cs="Times New Roman"/>
          <w:b/>
          <w:szCs w:val="24"/>
        </w:rPr>
        <w:t>Comments:</w:t>
      </w:r>
    </w:p>
    <w:p w:rsidR="001612BF" w:rsidRDefault="001612BF" w:rsidP="008A3029">
      <w:pPr>
        <w:ind w:left="0"/>
        <w:rPr>
          <w:rFonts w:cs="Times New Roman"/>
          <w:b/>
          <w:szCs w:val="24"/>
        </w:rPr>
      </w:pPr>
    </w:p>
    <w:p w:rsidR="003B46E2" w:rsidRDefault="00326A12" w:rsidP="00BB3A5D">
      <w:pPr>
        <w:pStyle w:val="ListParagraph"/>
        <w:numPr>
          <w:ilvl w:val="0"/>
          <w:numId w:val="4"/>
        </w:numPr>
        <w:rPr>
          <w:rFonts w:cs="Times New Roman"/>
          <w:szCs w:val="24"/>
        </w:rPr>
      </w:pPr>
      <w:r w:rsidRPr="00BB3A5D">
        <w:rPr>
          <w:rFonts w:cs="Times New Roman"/>
          <w:szCs w:val="24"/>
        </w:rPr>
        <w:t xml:space="preserve">This study supports the conclusion that </w:t>
      </w:r>
      <w:r w:rsidR="00AA1AD3" w:rsidRPr="00BB3A5D">
        <w:rPr>
          <w:rFonts w:cs="Times New Roman"/>
          <w:szCs w:val="24"/>
        </w:rPr>
        <w:t>pulsed</w:t>
      </w:r>
      <w:r w:rsidR="00BB3A5D" w:rsidRPr="00BB3A5D">
        <w:rPr>
          <w:rFonts w:cs="Times New Roman"/>
          <w:szCs w:val="24"/>
        </w:rPr>
        <w:t xml:space="preserve"> and </w:t>
      </w:r>
      <w:r w:rsidR="00AA1AD3" w:rsidRPr="00BB3A5D">
        <w:rPr>
          <w:rFonts w:cs="Times New Roman"/>
          <w:szCs w:val="24"/>
        </w:rPr>
        <w:t>continuous</w:t>
      </w:r>
      <w:r w:rsidR="00BB3A5D" w:rsidRPr="00BB3A5D">
        <w:rPr>
          <w:rFonts w:cs="Times New Roman"/>
          <w:szCs w:val="24"/>
        </w:rPr>
        <w:t xml:space="preserve"> US</w:t>
      </w:r>
      <w:r w:rsidR="00AA1AD3" w:rsidRPr="00BB3A5D">
        <w:rPr>
          <w:rFonts w:cs="Times New Roman"/>
          <w:szCs w:val="24"/>
        </w:rPr>
        <w:t xml:space="preserve"> </w:t>
      </w:r>
      <w:r w:rsidR="00BB3A5D" w:rsidRPr="00BB3A5D">
        <w:rPr>
          <w:rFonts w:cs="Times New Roman"/>
          <w:szCs w:val="24"/>
        </w:rPr>
        <w:t xml:space="preserve">are no </w:t>
      </w:r>
      <w:r w:rsidRPr="00BB3A5D">
        <w:rPr>
          <w:rFonts w:cs="Times New Roman"/>
          <w:szCs w:val="24"/>
        </w:rPr>
        <w:t xml:space="preserve">more effective than </w:t>
      </w:r>
      <w:r w:rsidR="00BB3A5D" w:rsidRPr="00BB3A5D">
        <w:rPr>
          <w:rFonts w:cs="Times New Roman"/>
          <w:szCs w:val="24"/>
        </w:rPr>
        <w:t xml:space="preserve">placebo US </w:t>
      </w:r>
      <w:r w:rsidRPr="00BB3A5D">
        <w:rPr>
          <w:rFonts w:cs="Times New Roman"/>
          <w:szCs w:val="24"/>
        </w:rPr>
        <w:t>in the conservative treatment of patients affected by CTS.</w:t>
      </w:r>
      <w:r w:rsidR="00BB3A5D" w:rsidRPr="00BB3A5D">
        <w:rPr>
          <w:rFonts w:cs="Times New Roman"/>
          <w:szCs w:val="24"/>
        </w:rPr>
        <w:t xml:space="preserve"> </w:t>
      </w:r>
      <w:r w:rsidR="00BB3A5D">
        <w:rPr>
          <w:rFonts w:cs="Times New Roman"/>
          <w:szCs w:val="24"/>
        </w:rPr>
        <w:t xml:space="preserve">No </w:t>
      </w:r>
      <w:r w:rsidR="00BB3A5D" w:rsidRPr="00BB3A5D">
        <w:rPr>
          <w:rFonts w:cs="Times New Roman"/>
          <w:szCs w:val="24"/>
        </w:rPr>
        <w:t xml:space="preserve">statistically </w:t>
      </w:r>
      <w:r w:rsidR="00BB3A5D">
        <w:rPr>
          <w:rFonts w:cs="Times New Roman"/>
          <w:szCs w:val="24"/>
        </w:rPr>
        <w:t xml:space="preserve">significant differences </w:t>
      </w:r>
      <w:r w:rsidR="003B46E2">
        <w:rPr>
          <w:rFonts w:cs="Times New Roman"/>
          <w:szCs w:val="24"/>
        </w:rPr>
        <w:t xml:space="preserve">between the </w:t>
      </w:r>
      <w:r w:rsidR="003B46E2" w:rsidRPr="00BB3A5D">
        <w:rPr>
          <w:rFonts w:cs="Times New Roman"/>
          <w:szCs w:val="24"/>
        </w:rPr>
        <w:t xml:space="preserve">3 groups </w:t>
      </w:r>
      <w:r w:rsidR="00117BF6">
        <w:rPr>
          <w:rFonts w:cs="Times New Roman"/>
          <w:szCs w:val="24"/>
        </w:rPr>
        <w:t xml:space="preserve">were observed for any of the </w:t>
      </w:r>
      <w:r w:rsidR="003B46E2">
        <w:rPr>
          <w:rFonts w:cs="Times New Roman"/>
          <w:szCs w:val="24"/>
        </w:rPr>
        <w:t>outcome measures</w:t>
      </w:r>
      <w:r w:rsidR="00117BF6" w:rsidRPr="00117BF6">
        <w:rPr>
          <w:rFonts w:cs="Times New Roman"/>
          <w:szCs w:val="24"/>
        </w:rPr>
        <w:t xml:space="preserve"> </w:t>
      </w:r>
      <w:r w:rsidR="00117BF6">
        <w:rPr>
          <w:rFonts w:cs="Times New Roman"/>
          <w:szCs w:val="24"/>
        </w:rPr>
        <w:t>at the end of the 3 week treatment</w:t>
      </w:r>
      <w:r w:rsidR="003B46E2">
        <w:rPr>
          <w:rFonts w:cs="Times New Roman"/>
          <w:szCs w:val="24"/>
        </w:rPr>
        <w:t xml:space="preserve">, including the </w:t>
      </w:r>
      <w:r w:rsidR="00AB43E9" w:rsidRPr="003B46E2">
        <w:rPr>
          <w:rFonts w:cs="Times New Roman"/>
          <w:szCs w:val="24"/>
        </w:rPr>
        <w:t>electrophysiological parameters</w:t>
      </w:r>
      <w:r w:rsidR="003B46E2">
        <w:rPr>
          <w:rFonts w:cs="Times New Roman"/>
          <w:szCs w:val="24"/>
        </w:rPr>
        <w:t>.</w:t>
      </w:r>
      <w:r w:rsidR="003B46E2" w:rsidRPr="003B46E2">
        <w:rPr>
          <w:rFonts w:cs="Times New Roman"/>
          <w:szCs w:val="24"/>
        </w:rPr>
        <w:t xml:space="preserve"> </w:t>
      </w:r>
    </w:p>
    <w:p w:rsidR="00117BF6" w:rsidRDefault="00117BF6" w:rsidP="00117BF6">
      <w:pPr>
        <w:pStyle w:val="ListParagraph"/>
        <w:numPr>
          <w:ilvl w:val="0"/>
          <w:numId w:val="4"/>
        </w:numPr>
        <w:rPr>
          <w:rFonts w:cs="Times New Roman"/>
          <w:szCs w:val="24"/>
        </w:rPr>
      </w:pPr>
      <w:r>
        <w:rPr>
          <w:rFonts w:cs="Times New Roman"/>
          <w:szCs w:val="24"/>
        </w:rPr>
        <w:t xml:space="preserve">All 3 groups improved after 3 weeks of treatment. The </w:t>
      </w:r>
      <w:r w:rsidRPr="00B07414">
        <w:rPr>
          <w:rFonts w:cs="Times New Roman"/>
          <w:szCs w:val="24"/>
        </w:rPr>
        <w:t>significant reduction in subjective pain perception</w:t>
      </w:r>
      <w:r>
        <w:rPr>
          <w:rFonts w:cs="Times New Roman"/>
          <w:szCs w:val="24"/>
        </w:rPr>
        <w:t xml:space="preserve"> and symptom severity, </w:t>
      </w:r>
      <w:r w:rsidRPr="00B07414">
        <w:rPr>
          <w:rFonts w:cs="Times New Roman"/>
          <w:szCs w:val="24"/>
        </w:rPr>
        <w:t>and an increased function assessed by the BCTQ at the end of the treatment</w:t>
      </w:r>
      <w:r>
        <w:rPr>
          <w:rFonts w:cs="Times New Roman"/>
          <w:szCs w:val="24"/>
        </w:rPr>
        <w:t xml:space="preserve"> in all 3 groups may be attributable to wearing the hand splints for 3 weeks, since all 3 groups received this intervention.</w:t>
      </w:r>
    </w:p>
    <w:p w:rsidR="00117BF6" w:rsidRPr="006C70AC" w:rsidRDefault="00117BF6" w:rsidP="00117BF6">
      <w:pPr>
        <w:pStyle w:val="ListParagraph"/>
        <w:numPr>
          <w:ilvl w:val="0"/>
          <w:numId w:val="4"/>
        </w:numPr>
        <w:rPr>
          <w:rFonts w:cs="Times New Roman"/>
          <w:szCs w:val="24"/>
        </w:rPr>
      </w:pPr>
      <w:r w:rsidRPr="006C70AC">
        <w:rPr>
          <w:rFonts w:cs="Times New Roman"/>
          <w:szCs w:val="24"/>
        </w:rPr>
        <w:t xml:space="preserve">Strengths of this study included outcomes assessor </w:t>
      </w:r>
      <w:r>
        <w:rPr>
          <w:rFonts w:cs="Times New Roman"/>
          <w:szCs w:val="24"/>
        </w:rPr>
        <w:t>and patient blinding, the in</w:t>
      </w:r>
      <w:r w:rsidRPr="006C70AC">
        <w:rPr>
          <w:rFonts w:cs="Times New Roman"/>
          <w:szCs w:val="24"/>
        </w:rPr>
        <w:t>clusion of a placebo control group</w:t>
      </w:r>
      <w:r>
        <w:rPr>
          <w:rFonts w:cs="Times New Roman"/>
          <w:szCs w:val="24"/>
        </w:rPr>
        <w:t xml:space="preserve">, </w:t>
      </w:r>
      <w:r w:rsidRPr="006C70AC">
        <w:rPr>
          <w:rFonts w:cs="Times New Roman"/>
          <w:szCs w:val="24"/>
        </w:rPr>
        <w:t xml:space="preserve">independent observations, </w:t>
      </w:r>
      <w:r>
        <w:rPr>
          <w:rFonts w:cs="Times New Roman"/>
          <w:szCs w:val="24"/>
        </w:rPr>
        <w:t xml:space="preserve">and </w:t>
      </w:r>
      <w:r w:rsidRPr="006C70AC">
        <w:rPr>
          <w:rFonts w:cs="Times New Roman"/>
          <w:szCs w:val="24"/>
        </w:rPr>
        <w:t>primary outcome clearly designated.</w:t>
      </w:r>
    </w:p>
    <w:p w:rsidR="000A50B6" w:rsidRDefault="001612BF" w:rsidP="00315686">
      <w:pPr>
        <w:pStyle w:val="ListParagraph"/>
        <w:numPr>
          <w:ilvl w:val="0"/>
          <w:numId w:val="4"/>
        </w:numPr>
        <w:rPr>
          <w:rFonts w:cs="Times New Roman"/>
          <w:szCs w:val="24"/>
        </w:rPr>
      </w:pPr>
      <w:r w:rsidRPr="001612BF">
        <w:rPr>
          <w:rFonts w:cs="Times New Roman"/>
          <w:szCs w:val="24"/>
        </w:rPr>
        <w:t xml:space="preserve">Limited </w:t>
      </w:r>
      <w:r w:rsidR="008E3D23" w:rsidRPr="001612BF">
        <w:rPr>
          <w:rFonts w:cs="Times New Roman"/>
          <w:szCs w:val="24"/>
        </w:rPr>
        <w:t xml:space="preserve">data on demographic characteristics were given </w:t>
      </w:r>
      <w:r w:rsidRPr="001612BF">
        <w:rPr>
          <w:rFonts w:cs="Times New Roman"/>
          <w:szCs w:val="24"/>
        </w:rPr>
        <w:t xml:space="preserve">(just age and duration of symptoms) </w:t>
      </w:r>
      <w:r w:rsidR="008E3D23" w:rsidRPr="001612BF">
        <w:rPr>
          <w:rFonts w:cs="Times New Roman"/>
          <w:szCs w:val="24"/>
        </w:rPr>
        <w:t xml:space="preserve">and so it is unknown if the </w:t>
      </w:r>
      <w:r w:rsidR="000A50B6" w:rsidRPr="001612BF">
        <w:rPr>
          <w:rFonts w:cs="Times New Roman"/>
          <w:szCs w:val="24"/>
        </w:rPr>
        <w:t>groups differ</w:t>
      </w:r>
      <w:r w:rsidR="008E3D23" w:rsidRPr="001612BF">
        <w:rPr>
          <w:rFonts w:cs="Times New Roman"/>
          <w:szCs w:val="24"/>
        </w:rPr>
        <w:t>ed</w:t>
      </w:r>
      <w:r w:rsidR="000A50B6" w:rsidRPr="001612BF">
        <w:rPr>
          <w:rFonts w:cs="Times New Roman"/>
          <w:szCs w:val="24"/>
        </w:rPr>
        <w:t xml:space="preserve"> significantly in </w:t>
      </w:r>
      <w:r w:rsidRPr="001612BF">
        <w:rPr>
          <w:rFonts w:cs="Times New Roman"/>
          <w:szCs w:val="24"/>
        </w:rPr>
        <w:t xml:space="preserve">other </w:t>
      </w:r>
      <w:r w:rsidR="000A50B6" w:rsidRPr="001612BF">
        <w:rPr>
          <w:rFonts w:cs="Times New Roman"/>
          <w:szCs w:val="24"/>
        </w:rPr>
        <w:t>demographic characteristics</w:t>
      </w:r>
      <w:r w:rsidR="008E3D23" w:rsidRPr="001612BF">
        <w:rPr>
          <w:rFonts w:cs="Times New Roman"/>
          <w:szCs w:val="24"/>
        </w:rPr>
        <w:t>.</w:t>
      </w:r>
      <w:r w:rsidR="000A50B6" w:rsidRPr="001612BF">
        <w:rPr>
          <w:rFonts w:cs="Times New Roman"/>
          <w:szCs w:val="24"/>
        </w:rPr>
        <w:t xml:space="preserve"> </w:t>
      </w:r>
      <w:r>
        <w:rPr>
          <w:rFonts w:cs="Times New Roman"/>
          <w:szCs w:val="24"/>
        </w:rPr>
        <w:t>It would have been useful to have demographic information on personal characteristics such as smoking, employment, educational level, household income, and other ergonomic factors.</w:t>
      </w:r>
    </w:p>
    <w:p w:rsidR="007F148E" w:rsidRPr="0045408D" w:rsidRDefault="007F148E" w:rsidP="007F148E">
      <w:pPr>
        <w:pStyle w:val="ListParagraph"/>
        <w:numPr>
          <w:ilvl w:val="0"/>
          <w:numId w:val="4"/>
        </w:numPr>
        <w:rPr>
          <w:rFonts w:cs="Times New Roman"/>
          <w:szCs w:val="24"/>
        </w:rPr>
      </w:pPr>
      <w:r>
        <w:rPr>
          <w:rFonts w:cs="Times New Roman"/>
          <w:szCs w:val="24"/>
        </w:rPr>
        <w:t xml:space="preserve">Since </w:t>
      </w:r>
      <w:r w:rsidRPr="00953B7E">
        <w:rPr>
          <w:rFonts w:cs="Times New Roman"/>
          <w:szCs w:val="24"/>
        </w:rPr>
        <w:t>baseline functional scores on the BCTQ were significantly different between the 3 groups</w:t>
      </w:r>
      <w:r>
        <w:rPr>
          <w:rFonts w:cs="Times New Roman"/>
          <w:szCs w:val="24"/>
        </w:rPr>
        <w:t xml:space="preserve">, it reduces our confidence in the outcome measurements or results for this parameter. </w:t>
      </w:r>
      <w:r>
        <w:rPr>
          <w:rFonts w:cs="Times New Roman"/>
          <w:szCs w:val="24"/>
          <w:lang w:val="en"/>
        </w:rPr>
        <w:t>This</w:t>
      </w:r>
      <w:r w:rsidRPr="0059193C">
        <w:rPr>
          <w:rFonts w:cs="Times New Roman"/>
          <w:szCs w:val="24"/>
          <w:lang w:val="en"/>
        </w:rPr>
        <w:t xml:space="preserve"> </w:t>
      </w:r>
      <w:r>
        <w:rPr>
          <w:rFonts w:cs="Times New Roman"/>
          <w:szCs w:val="24"/>
          <w:lang w:val="en"/>
        </w:rPr>
        <w:t xml:space="preserve">baseline imbalance </w:t>
      </w:r>
      <w:r w:rsidRPr="0059193C">
        <w:rPr>
          <w:rFonts w:cs="Times New Roman"/>
          <w:szCs w:val="24"/>
          <w:lang w:val="en"/>
        </w:rPr>
        <w:t>may influence outcome</w:t>
      </w:r>
      <w:r>
        <w:rPr>
          <w:rFonts w:cs="Times New Roman"/>
          <w:szCs w:val="24"/>
          <w:lang w:val="en"/>
        </w:rPr>
        <w:t xml:space="preserve">, since now differences </w:t>
      </w:r>
      <w:r w:rsidRPr="0059193C">
        <w:rPr>
          <w:rFonts w:cs="Times New Roman"/>
          <w:szCs w:val="24"/>
          <w:lang w:val="en"/>
        </w:rPr>
        <w:t>in outcome can</w:t>
      </w:r>
      <w:r>
        <w:rPr>
          <w:rFonts w:cs="Times New Roman"/>
          <w:szCs w:val="24"/>
          <w:lang w:val="en"/>
        </w:rPr>
        <w:t>not</w:t>
      </w:r>
      <w:r w:rsidRPr="0059193C">
        <w:rPr>
          <w:rFonts w:cs="Times New Roman"/>
          <w:szCs w:val="24"/>
          <w:lang w:val="en"/>
        </w:rPr>
        <w:t xml:space="preserve"> be assumed to be due </w:t>
      </w:r>
      <w:r>
        <w:rPr>
          <w:rFonts w:cs="Times New Roman"/>
          <w:szCs w:val="24"/>
          <w:lang w:val="en"/>
        </w:rPr>
        <w:t xml:space="preserve">only to the treatment intervention. This imbalance </w:t>
      </w:r>
      <w:r w:rsidRPr="0059193C">
        <w:rPr>
          <w:rFonts w:cs="Times New Roman"/>
          <w:szCs w:val="24"/>
          <w:lang w:val="en"/>
        </w:rPr>
        <w:t xml:space="preserve">can </w:t>
      </w:r>
      <w:r>
        <w:rPr>
          <w:rFonts w:cs="Times New Roman"/>
          <w:szCs w:val="24"/>
          <w:lang w:val="en"/>
        </w:rPr>
        <w:t xml:space="preserve">also bias statistical tests, and introduce </w:t>
      </w:r>
      <w:r w:rsidRPr="0059193C">
        <w:rPr>
          <w:rFonts w:cs="Times New Roman"/>
          <w:szCs w:val="24"/>
          <w:lang w:val="en"/>
        </w:rPr>
        <w:t>chance bias.</w:t>
      </w:r>
      <w:r>
        <w:rPr>
          <w:rFonts w:cs="Times New Roman"/>
          <w:szCs w:val="24"/>
          <w:lang w:val="en"/>
        </w:rPr>
        <w:t xml:space="preserve"> </w:t>
      </w:r>
      <w:r w:rsidR="007E3FC7">
        <w:rPr>
          <w:rFonts w:cs="Times New Roman"/>
          <w:szCs w:val="24"/>
          <w:lang w:val="en"/>
        </w:rPr>
        <w:t xml:space="preserve">An analysis of co-variance should have been performed using the baseline score as a co-variant to correct for this imbalance. It is possible, but not likely, that the pulsed US group may have shown a small functional advantage. </w:t>
      </w:r>
      <w:r>
        <w:rPr>
          <w:rFonts w:cs="Times New Roman"/>
          <w:szCs w:val="24"/>
          <w:lang w:val="en"/>
        </w:rPr>
        <w:t xml:space="preserve">Since the results for functional status showed no differences between groups after treatment, this imbalance may have exerted only minimal influence on the outcome. </w:t>
      </w:r>
    </w:p>
    <w:p w:rsidR="001612BF" w:rsidRPr="001C3D47" w:rsidRDefault="001612BF" w:rsidP="001612BF">
      <w:pPr>
        <w:pStyle w:val="ListParagraph"/>
        <w:numPr>
          <w:ilvl w:val="0"/>
          <w:numId w:val="4"/>
        </w:numPr>
        <w:rPr>
          <w:rFonts w:cs="Times New Roman"/>
          <w:szCs w:val="24"/>
        </w:rPr>
      </w:pPr>
      <w:r w:rsidRPr="0045408D">
        <w:rPr>
          <w:rFonts w:cs="Times New Roman"/>
          <w:szCs w:val="24"/>
        </w:rPr>
        <w:t xml:space="preserve">There were statistically significant improvements </w:t>
      </w:r>
      <w:r w:rsidR="009F4FA1">
        <w:rPr>
          <w:rFonts w:cs="Times New Roman"/>
          <w:szCs w:val="24"/>
        </w:rPr>
        <w:t>with</w:t>
      </w:r>
      <w:r w:rsidRPr="0045408D">
        <w:rPr>
          <w:rFonts w:cs="Times New Roman"/>
          <w:szCs w:val="24"/>
        </w:rPr>
        <w:t xml:space="preserve">in all 3 groups for </w:t>
      </w:r>
      <w:r w:rsidRPr="0045408D">
        <w:rPr>
          <w:rFonts w:cs="Times New Roman"/>
          <w:szCs w:val="24"/>
          <w:lang w:val="en"/>
        </w:rPr>
        <w:t>symptom severity, functional status, and pain severity</w:t>
      </w:r>
      <w:r>
        <w:rPr>
          <w:rFonts w:cs="Times New Roman"/>
          <w:szCs w:val="24"/>
          <w:lang w:val="en"/>
        </w:rPr>
        <w:t xml:space="preserve"> (VAS) from baseline to the end of treatment at 3 weeks. In the pulsed and placebo US groups, the VAS scores also showed clinically significant </w:t>
      </w:r>
      <w:r w:rsidR="009F4FA1">
        <w:rPr>
          <w:rFonts w:cs="Times New Roman"/>
          <w:szCs w:val="24"/>
          <w:lang w:val="en"/>
        </w:rPr>
        <w:t>improvements</w:t>
      </w:r>
      <w:r w:rsidR="003620F0">
        <w:rPr>
          <w:rFonts w:cs="Times New Roman"/>
          <w:szCs w:val="24"/>
          <w:lang w:val="en"/>
        </w:rPr>
        <w:t xml:space="preserve"> (a reduction of </w:t>
      </w:r>
      <w:r w:rsidR="003620F0">
        <w:rPr>
          <w:rFonts w:cs="Times New Roman"/>
          <w:szCs w:val="24"/>
        </w:rPr>
        <w:t xml:space="preserve">2.9 and 1.7 </w:t>
      </w:r>
      <w:r w:rsidR="003620F0" w:rsidRPr="003620F0">
        <w:rPr>
          <w:rFonts w:cs="Times New Roman"/>
          <w:szCs w:val="24"/>
        </w:rPr>
        <w:t>points</w:t>
      </w:r>
      <w:r w:rsidR="003620F0">
        <w:rPr>
          <w:rFonts w:cs="Times New Roman"/>
          <w:szCs w:val="24"/>
        </w:rPr>
        <w:t>,</w:t>
      </w:r>
      <w:r w:rsidR="003620F0" w:rsidRPr="003620F0">
        <w:rPr>
          <w:rFonts w:cs="Times New Roman"/>
          <w:szCs w:val="24"/>
        </w:rPr>
        <w:t xml:space="preserve"> </w:t>
      </w:r>
      <w:r w:rsidR="003620F0">
        <w:rPr>
          <w:rFonts w:cs="Times New Roman"/>
          <w:szCs w:val="24"/>
        </w:rPr>
        <w:t xml:space="preserve">respectively, </w:t>
      </w:r>
      <w:r w:rsidR="003620F0" w:rsidRPr="003620F0">
        <w:rPr>
          <w:rFonts w:cs="Times New Roman"/>
          <w:szCs w:val="24"/>
        </w:rPr>
        <w:t>on a 10 point VAS scale</w:t>
      </w:r>
      <w:r w:rsidR="003620F0">
        <w:rPr>
          <w:rFonts w:cs="Times New Roman"/>
          <w:szCs w:val="24"/>
        </w:rPr>
        <w:t>)</w:t>
      </w:r>
      <w:r w:rsidR="009F4FA1">
        <w:rPr>
          <w:rFonts w:cs="Times New Roman"/>
          <w:szCs w:val="24"/>
          <w:lang w:val="en"/>
        </w:rPr>
        <w:t>, but the continuous US group did not show a clinically significant decrease in pain</w:t>
      </w:r>
      <w:r w:rsidR="003620F0">
        <w:rPr>
          <w:rFonts w:cs="Times New Roman"/>
          <w:szCs w:val="24"/>
          <w:lang w:val="en"/>
        </w:rPr>
        <w:t xml:space="preserve"> (a reduction of 1.0 points)</w:t>
      </w:r>
      <w:r w:rsidR="009F4FA1">
        <w:rPr>
          <w:rFonts w:cs="Times New Roman"/>
          <w:szCs w:val="24"/>
          <w:lang w:val="en"/>
        </w:rPr>
        <w:t>. It is unclear if the symptom severity scores and the functional status scores showed clinically significant within group improvements, since it is unclear what scoring scale was used. The BCTQ instrument normally uses an ordinal scale that generates a final score that ranges between 1 to 5 points. The scores presented in Table 2 show</w:t>
      </w:r>
      <w:r w:rsidR="00BB3B96">
        <w:rPr>
          <w:rFonts w:cs="Times New Roman"/>
          <w:szCs w:val="24"/>
          <w:lang w:val="en"/>
        </w:rPr>
        <w:t>s functional and severity</w:t>
      </w:r>
      <w:r w:rsidR="009F4FA1">
        <w:rPr>
          <w:rFonts w:cs="Times New Roman"/>
          <w:szCs w:val="24"/>
          <w:lang w:val="en"/>
        </w:rPr>
        <w:t xml:space="preserve"> scores </w:t>
      </w:r>
      <w:r w:rsidR="00BB3B96">
        <w:rPr>
          <w:rFonts w:cs="Times New Roman"/>
          <w:szCs w:val="24"/>
          <w:lang w:val="en"/>
        </w:rPr>
        <w:t>that range from 14 to 29 points. The Table scores may be off by one decimal place, or they may be the sum of all the individual scores instead of the final score</w:t>
      </w:r>
      <w:r w:rsidR="00A230A3">
        <w:rPr>
          <w:rFonts w:cs="Times New Roman"/>
          <w:szCs w:val="24"/>
          <w:lang w:val="en"/>
        </w:rPr>
        <w:t xml:space="preserve"> which is divided by the number of items in the scale.</w:t>
      </w:r>
      <w:r w:rsidR="00BB3B96">
        <w:rPr>
          <w:rFonts w:cs="Times New Roman"/>
          <w:szCs w:val="24"/>
          <w:lang w:val="en"/>
        </w:rPr>
        <w:t xml:space="preserve"> It is unknown</w:t>
      </w:r>
      <w:r w:rsidR="006C70AC">
        <w:rPr>
          <w:rFonts w:cs="Times New Roman"/>
          <w:szCs w:val="24"/>
          <w:lang w:val="en"/>
        </w:rPr>
        <w:t xml:space="preserve"> and greatly hinders </w:t>
      </w:r>
      <w:r w:rsidR="006C70AC" w:rsidRPr="006C70AC">
        <w:rPr>
          <w:rFonts w:cs="Times New Roman"/>
          <w:szCs w:val="24"/>
        </w:rPr>
        <w:t>the interpretability of the results.</w:t>
      </w:r>
      <w:r w:rsidR="00BB3B96">
        <w:rPr>
          <w:rFonts w:cs="Times New Roman"/>
          <w:szCs w:val="24"/>
          <w:lang w:val="en"/>
        </w:rPr>
        <w:t xml:space="preserve"> However, if one analyzes the percent change from baseline to post-treatment, only the scores for the </w:t>
      </w:r>
      <w:r w:rsidR="00BB3B96">
        <w:rPr>
          <w:rFonts w:cs="Times New Roman"/>
          <w:szCs w:val="24"/>
          <w:lang w:val="en"/>
        </w:rPr>
        <w:lastRenderedPageBreak/>
        <w:t>pulsed and placebo US groups show clinical significance. The continuous US group does not show clinically significant improvements in function or severity symptoms.</w:t>
      </w:r>
    </w:p>
    <w:p w:rsidR="001C3D47" w:rsidRPr="007F148E" w:rsidRDefault="001C3D47" w:rsidP="001612BF">
      <w:pPr>
        <w:pStyle w:val="ListParagraph"/>
        <w:numPr>
          <w:ilvl w:val="0"/>
          <w:numId w:val="4"/>
        </w:numPr>
        <w:rPr>
          <w:rFonts w:cs="Times New Roman"/>
          <w:szCs w:val="24"/>
        </w:rPr>
      </w:pPr>
      <w:r>
        <w:rPr>
          <w:rFonts w:cs="Times New Roman"/>
          <w:szCs w:val="24"/>
          <w:lang w:val="en"/>
        </w:rPr>
        <w:t xml:space="preserve">The study failed to report on compliance with wearing the hand splint among the 3 groups. It is therefore not known if one group wore the splint more than another group which could affect the outcome. </w:t>
      </w:r>
    </w:p>
    <w:p w:rsidR="006409AB" w:rsidRPr="006409AB" w:rsidRDefault="009E39DF" w:rsidP="00315686">
      <w:pPr>
        <w:pStyle w:val="ListParagraph"/>
        <w:numPr>
          <w:ilvl w:val="0"/>
          <w:numId w:val="4"/>
        </w:numPr>
        <w:rPr>
          <w:rFonts w:cs="Times New Roman"/>
          <w:szCs w:val="24"/>
        </w:rPr>
      </w:pPr>
      <w:r w:rsidRPr="006409AB">
        <w:rPr>
          <w:rFonts w:cs="Times New Roman"/>
          <w:szCs w:val="24"/>
        </w:rPr>
        <w:t xml:space="preserve">Sample size </w:t>
      </w:r>
      <w:r w:rsidR="008E3D23" w:rsidRPr="006409AB">
        <w:rPr>
          <w:rFonts w:cs="Times New Roman"/>
          <w:szCs w:val="24"/>
        </w:rPr>
        <w:t xml:space="preserve">calculations were not presented. </w:t>
      </w:r>
      <w:r w:rsidR="00F939FC" w:rsidRPr="006409AB">
        <w:rPr>
          <w:rFonts w:cs="Times New Roman"/>
          <w:szCs w:val="24"/>
        </w:rPr>
        <w:t>T</w:t>
      </w:r>
      <w:r w:rsidR="008E3D23" w:rsidRPr="006409AB">
        <w:rPr>
          <w:rFonts w:cs="Times New Roman"/>
          <w:szCs w:val="24"/>
        </w:rPr>
        <w:t>he sample size</w:t>
      </w:r>
      <w:r w:rsidR="00F939FC" w:rsidRPr="006409AB">
        <w:rPr>
          <w:rFonts w:cs="Times New Roman"/>
          <w:szCs w:val="24"/>
        </w:rPr>
        <w:t>s</w:t>
      </w:r>
      <w:r w:rsidR="008E3D23" w:rsidRPr="006409AB">
        <w:rPr>
          <w:rFonts w:cs="Times New Roman"/>
          <w:szCs w:val="24"/>
        </w:rPr>
        <w:t xml:space="preserve"> </w:t>
      </w:r>
      <w:r w:rsidR="00F939FC" w:rsidRPr="006409AB">
        <w:rPr>
          <w:rFonts w:cs="Times New Roman"/>
          <w:szCs w:val="24"/>
        </w:rPr>
        <w:t xml:space="preserve">for each group were </w:t>
      </w:r>
      <w:r w:rsidR="006409AB" w:rsidRPr="006409AB">
        <w:rPr>
          <w:rFonts w:cs="Times New Roman"/>
          <w:szCs w:val="24"/>
        </w:rPr>
        <w:t xml:space="preserve">too </w:t>
      </w:r>
      <w:r w:rsidR="00F939FC" w:rsidRPr="006409AB">
        <w:rPr>
          <w:rFonts w:cs="Times New Roman"/>
          <w:szCs w:val="24"/>
        </w:rPr>
        <w:t>small (15, 16, 15)</w:t>
      </w:r>
      <w:r w:rsidR="006409AB" w:rsidRPr="006409AB">
        <w:rPr>
          <w:rFonts w:cs="Times New Roman"/>
          <w:szCs w:val="24"/>
        </w:rPr>
        <w:t>,</w:t>
      </w:r>
      <w:r w:rsidR="00F939FC" w:rsidRPr="006409AB">
        <w:rPr>
          <w:rFonts w:cs="Times New Roman"/>
          <w:szCs w:val="24"/>
        </w:rPr>
        <w:t xml:space="preserve"> </w:t>
      </w:r>
      <w:r w:rsidR="006409AB" w:rsidRPr="006409AB">
        <w:rPr>
          <w:rFonts w:cs="Times New Roman"/>
          <w:szCs w:val="24"/>
        </w:rPr>
        <w:t xml:space="preserve">and the </w:t>
      </w:r>
      <w:r w:rsidR="008E3D23" w:rsidRPr="006409AB">
        <w:rPr>
          <w:rFonts w:cs="Times New Roman"/>
          <w:szCs w:val="24"/>
        </w:rPr>
        <w:t xml:space="preserve">study </w:t>
      </w:r>
      <w:r w:rsidR="00F939FC" w:rsidRPr="006409AB">
        <w:rPr>
          <w:rFonts w:cs="Times New Roman"/>
          <w:szCs w:val="24"/>
        </w:rPr>
        <w:t xml:space="preserve">lacked adequate power </w:t>
      </w:r>
      <w:r w:rsidR="00FF7716">
        <w:rPr>
          <w:rFonts w:cs="Times New Roman"/>
          <w:szCs w:val="24"/>
        </w:rPr>
        <w:t>(</w:t>
      </w:r>
      <w:r w:rsidR="006409AB" w:rsidRPr="006409AB">
        <w:rPr>
          <w:rFonts w:cs="Times New Roman"/>
          <w:szCs w:val="24"/>
        </w:rPr>
        <w:t>set at 70%</w:t>
      </w:r>
      <w:r w:rsidR="00FF7716">
        <w:rPr>
          <w:rFonts w:cs="Times New Roman"/>
          <w:szCs w:val="24"/>
        </w:rPr>
        <w:t>)</w:t>
      </w:r>
      <w:r w:rsidR="006409AB" w:rsidRPr="006409AB">
        <w:rPr>
          <w:rFonts w:cs="Times New Roman"/>
          <w:szCs w:val="24"/>
        </w:rPr>
        <w:t xml:space="preserve"> </w:t>
      </w:r>
      <w:r w:rsidR="008E3D23" w:rsidRPr="006409AB">
        <w:rPr>
          <w:rFonts w:cs="Times New Roman"/>
          <w:szCs w:val="24"/>
        </w:rPr>
        <w:t xml:space="preserve">to detect </w:t>
      </w:r>
      <w:r w:rsidR="006D1EF2" w:rsidRPr="006409AB">
        <w:rPr>
          <w:rFonts w:cs="Times New Roman"/>
          <w:szCs w:val="24"/>
        </w:rPr>
        <w:t>significant differences in all the outcome measures.</w:t>
      </w:r>
      <w:r w:rsidR="006409AB">
        <w:rPr>
          <w:szCs w:val="24"/>
        </w:rPr>
        <w:t xml:space="preserve"> It is desirable for the power to be set at 80%</w:t>
      </w:r>
      <w:r w:rsidR="00FF7716">
        <w:rPr>
          <w:szCs w:val="24"/>
        </w:rPr>
        <w:t xml:space="preserve"> or above</w:t>
      </w:r>
      <w:r w:rsidR="006409AB">
        <w:rPr>
          <w:szCs w:val="24"/>
        </w:rPr>
        <w:t>. The methodological quality of the study was adequate, but the results are inconclusive because the study is underpowered.</w:t>
      </w:r>
    </w:p>
    <w:p w:rsidR="00BC196C" w:rsidRPr="006409AB" w:rsidRDefault="006D1EF2" w:rsidP="00315686">
      <w:pPr>
        <w:pStyle w:val="ListParagraph"/>
        <w:numPr>
          <w:ilvl w:val="0"/>
          <w:numId w:val="4"/>
        </w:numPr>
        <w:rPr>
          <w:rFonts w:cs="Times New Roman"/>
          <w:szCs w:val="24"/>
        </w:rPr>
      </w:pPr>
      <w:r w:rsidRPr="006409AB">
        <w:rPr>
          <w:rFonts w:cs="Times New Roman"/>
          <w:szCs w:val="24"/>
        </w:rPr>
        <w:t xml:space="preserve">Since the providers that </w:t>
      </w:r>
      <w:r w:rsidR="00BC196C" w:rsidRPr="006409AB">
        <w:rPr>
          <w:rFonts w:cs="Times New Roman"/>
          <w:szCs w:val="24"/>
        </w:rPr>
        <w:t xml:space="preserve">administered the </w:t>
      </w:r>
      <w:r w:rsidR="006C70AC" w:rsidRPr="006409AB">
        <w:rPr>
          <w:rFonts w:cs="Times New Roman"/>
          <w:szCs w:val="24"/>
        </w:rPr>
        <w:t xml:space="preserve">US </w:t>
      </w:r>
      <w:r w:rsidR="00BC196C" w:rsidRPr="006409AB">
        <w:rPr>
          <w:rFonts w:cs="Times New Roman"/>
          <w:szCs w:val="24"/>
        </w:rPr>
        <w:t xml:space="preserve">treatments to the participants </w:t>
      </w:r>
      <w:r w:rsidRPr="006409AB">
        <w:rPr>
          <w:rFonts w:cs="Times New Roman"/>
          <w:szCs w:val="24"/>
        </w:rPr>
        <w:t>could not be blinded to group allocation, t</w:t>
      </w:r>
      <w:r w:rsidR="00BC196C" w:rsidRPr="006409AB">
        <w:rPr>
          <w:rFonts w:cs="Times New Roman"/>
          <w:szCs w:val="24"/>
        </w:rPr>
        <w:t>his could introduce performance bias.</w:t>
      </w:r>
    </w:p>
    <w:p w:rsidR="00915B20" w:rsidRPr="005B46B7" w:rsidRDefault="00915B20" w:rsidP="00915B20">
      <w:pPr>
        <w:pStyle w:val="ListParagraph"/>
        <w:numPr>
          <w:ilvl w:val="0"/>
          <w:numId w:val="4"/>
        </w:numPr>
        <w:rPr>
          <w:rFonts w:cs="Times New Roman"/>
          <w:b/>
          <w:i/>
          <w:szCs w:val="24"/>
        </w:rPr>
      </w:pPr>
      <w:r>
        <w:rPr>
          <w:rFonts w:cs="Times New Roman"/>
          <w:szCs w:val="24"/>
        </w:rPr>
        <w:t>The article text and the abstract are in conflict, designating each intervention to different group numbers.</w:t>
      </w:r>
    </w:p>
    <w:p w:rsidR="005B46B7" w:rsidRPr="006C5706" w:rsidRDefault="005B46B7" w:rsidP="005B46B7">
      <w:pPr>
        <w:pStyle w:val="ListParagraph"/>
        <w:numPr>
          <w:ilvl w:val="0"/>
          <w:numId w:val="4"/>
        </w:numPr>
      </w:pPr>
      <w:r w:rsidRPr="006C5706">
        <w:t>Another similar study (</w:t>
      </w:r>
      <w:proofErr w:type="spellStart"/>
      <w:r w:rsidRPr="006C5706">
        <w:t>Yildiz</w:t>
      </w:r>
      <w:proofErr w:type="spellEnd"/>
      <w:r w:rsidRPr="006C5706">
        <w:t xml:space="preserve"> 2011) on pulsed ultrasound</w:t>
      </w:r>
      <w:r>
        <w:t xml:space="preserve"> (US)</w:t>
      </w:r>
      <w:r w:rsidRPr="006C5706">
        <w:t xml:space="preserve"> for the treatment of carpal tunnel syndrome </w:t>
      </w:r>
      <w:r>
        <w:t>was</w:t>
      </w:r>
      <w:r w:rsidRPr="006C5706">
        <w:t xml:space="preserve"> statistically pooled </w:t>
      </w:r>
      <w:r>
        <w:t xml:space="preserve">with this small study </w:t>
      </w:r>
      <w:r w:rsidRPr="006C5706">
        <w:t xml:space="preserve">using Cochrane software (forest plots below) for </w:t>
      </w:r>
      <w:r>
        <w:t xml:space="preserve">3 outcome measures; Boston Symptom Severity Scale, Boston Functional Status Scale and VAS </w:t>
      </w:r>
      <w:r w:rsidRPr="006C5706">
        <w:t xml:space="preserve">pain. </w:t>
      </w:r>
      <w:r>
        <w:t xml:space="preserve">Both studies included pulsed ultrasound plus splinting in the intervention group and used sham ultrasound </w:t>
      </w:r>
      <w:r w:rsidRPr="001551CE">
        <w:t xml:space="preserve">plus splinting </w:t>
      </w:r>
      <w:r>
        <w:t xml:space="preserve">in the control group. </w:t>
      </w:r>
      <w:r w:rsidRPr="00247B86">
        <w:t xml:space="preserve">The pooled effect sizes for US versus sham US </w:t>
      </w:r>
      <w:r>
        <w:t>were</w:t>
      </w:r>
      <w:r w:rsidRPr="00247B86">
        <w:t xml:space="preserve"> 0.24 for Symptoms and 0.21 for Function</w:t>
      </w:r>
      <w:r>
        <w:t xml:space="preserve"> in favor of sham US</w:t>
      </w:r>
      <w:r w:rsidRPr="00247B86">
        <w:t xml:space="preserve">, and -0.60 for VAS pain in favor of US for the 2 studies.  None of these 3 pooled effect sizes were </w:t>
      </w:r>
      <w:r>
        <w:t xml:space="preserve">statistically significant. </w:t>
      </w:r>
      <w:r w:rsidRPr="00977F89">
        <w:t>The pooled effect sizes for both Boston scales are smaller than the clinically important differences of 1.0 point and the pooled effect size for VAS pain is smaller than the clinically importa</w:t>
      </w:r>
      <w:r>
        <w:t>nt difference</w:t>
      </w:r>
      <w:r w:rsidRPr="00977F89">
        <w:t xml:space="preserve"> of 1.5 points. </w:t>
      </w:r>
      <w:r w:rsidRPr="00C41BE4">
        <w:t xml:space="preserve">The pooled effect sizes appear to be small, resulting in a therapeutic effect that is clinically unimportant. </w:t>
      </w:r>
      <w:r>
        <w:t xml:space="preserve">The confidence intervals do </w:t>
      </w:r>
      <w:r w:rsidRPr="00977F89">
        <w:t xml:space="preserve">include </w:t>
      </w:r>
      <w:r>
        <w:t xml:space="preserve">some </w:t>
      </w:r>
      <w:r w:rsidRPr="00977F89">
        <w:t xml:space="preserve">clinically significant effect sizes </w:t>
      </w:r>
      <w:r>
        <w:t>and thus do not exclude a clinically important difference between US and sham US</w:t>
      </w:r>
      <w:r w:rsidRPr="00977F89">
        <w:t xml:space="preserve">. Overall, the pooled data from the 2 studies shows no </w:t>
      </w:r>
      <w:r>
        <w:t xml:space="preserve">statistically </w:t>
      </w:r>
      <w:r w:rsidRPr="00977F89">
        <w:t xml:space="preserve">significant difference between </w:t>
      </w:r>
      <w:r w:rsidRPr="00C41BE4">
        <w:t>the 2 interventions of US and sham US</w:t>
      </w:r>
      <w:r>
        <w:t>,</w:t>
      </w:r>
      <w:r w:rsidRPr="00C41BE4">
        <w:t xml:space="preserve"> and </w:t>
      </w:r>
      <w:r>
        <w:t xml:space="preserve">also </w:t>
      </w:r>
      <w:r w:rsidRPr="00C41BE4">
        <w:t xml:space="preserve">does not demonstrate a significant clinical improvement for US. </w:t>
      </w:r>
    </w:p>
    <w:p w:rsidR="005B46B7" w:rsidRDefault="005B46B7" w:rsidP="005B46B7">
      <w:pPr>
        <w:pStyle w:val="ListParagraph"/>
        <w:ind w:left="720"/>
      </w:pPr>
    </w:p>
    <w:p w:rsidR="005B46B7" w:rsidRDefault="005B46B7" w:rsidP="005B46B7">
      <w:pPr>
        <w:pStyle w:val="ListParagraph"/>
        <w:ind w:left="720"/>
      </w:pPr>
    </w:p>
    <w:p w:rsidR="005B46B7" w:rsidRDefault="005B46B7" w:rsidP="005B46B7">
      <w:pPr>
        <w:pStyle w:val="ListParagraph"/>
        <w:ind w:left="720"/>
        <w:jc w:val="both"/>
        <w:rPr>
          <w:b/>
          <w:sz w:val="22"/>
        </w:rPr>
      </w:pPr>
      <w:r w:rsidRPr="005B46B7">
        <w:rPr>
          <w:b/>
          <w:sz w:val="22"/>
        </w:rPr>
        <w:t>Forest plot showing pooled effect of ultrasound with splinting vs sham ultrasound with splinting for the Boston Symptom Severity Scale.</w:t>
      </w:r>
    </w:p>
    <w:p w:rsidR="005B46B7" w:rsidRPr="005B46B7" w:rsidRDefault="005B46B7" w:rsidP="005B46B7">
      <w:pPr>
        <w:pStyle w:val="ListParagraph"/>
        <w:ind w:left="720"/>
        <w:jc w:val="both"/>
        <w:rPr>
          <w:b/>
          <w:sz w:val="22"/>
        </w:rPr>
      </w:pPr>
    </w:p>
    <w:p w:rsidR="005B46B7" w:rsidRDefault="005B46B7" w:rsidP="005B46B7">
      <w:pPr>
        <w:pStyle w:val="ListParagraph"/>
        <w:ind w:left="720"/>
      </w:pPr>
      <w:r w:rsidRPr="00186947">
        <w:rPr>
          <w:noProof/>
        </w:rPr>
        <w:drawing>
          <wp:inline distT="0" distB="0" distL="0" distR="0" wp14:anchorId="4F372158" wp14:editId="110700D1">
            <wp:extent cx="5943600" cy="104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049020"/>
                    </a:xfrm>
                    <a:prstGeom prst="rect">
                      <a:avLst/>
                    </a:prstGeom>
                  </pic:spPr>
                </pic:pic>
              </a:graphicData>
            </a:graphic>
          </wp:inline>
        </w:drawing>
      </w:r>
    </w:p>
    <w:p w:rsidR="005B46B7" w:rsidRPr="005B46B7" w:rsidRDefault="005B46B7" w:rsidP="005B46B7">
      <w:pPr>
        <w:pStyle w:val="ListParagraph"/>
        <w:ind w:left="720"/>
        <w:rPr>
          <w:b/>
          <w:sz w:val="22"/>
        </w:rPr>
      </w:pPr>
      <w:r w:rsidRPr="005B46B7">
        <w:rPr>
          <w:b/>
          <w:sz w:val="22"/>
        </w:rPr>
        <w:lastRenderedPageBreak/>
        <w:t>Forest plot showing pooled effect of ultrasound with splinting vs sham ultrasound with splinting for the Boston Functional Status Scale.</w:t>
      </w:r>
      <w:r w:rsidRPr="005B46B7">
        <w:rPr>
          <w:noProof/>
        </w:rPr>
        <w:t xml:space="preserve"> </w:t>
      </w:r>
      <w:r w:rsidRPr="00186947">
        <w:rPr>
          <w:noProof/>
        </w:rPr>
        <w:drawing>
          <wp:inline distT="0" distB="0" distL="0" distR="0" wp14:anchorId="063BC791" wp14:editId="3E63BCC0">
            <wp:extent cx="5943600" cy="1049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049020"/>
                    </a:xfrm>
                    <a:prstGeom prst="rect">
                      <a:avLst/>
                    </a:prstGeom>
                  </pic:spPr>
                </pic:pic>
              </a:graphicData>
            </a:graphic>
          </wp:inline>
        </w:drawing>
      </w:r>
    </w:p>
    <w:p w:rsidR="005B46B7" w:rsidRDefault="005B46B7" w:rsidP="005B46B7">
      <w:pPr>
        <w:pStyle w:val="ListParagraph"/>
        <w:ind w:left="720"/>
      </w:pPr>
    </w:p>
    <w:p w:rsidR="005B46B7" w:rsidRDefault="005B46B7" w:rsidP="005B46B7">
      <w:pPr>
        <w:pStyle w:val="ListParagraph"/>
        <w:ind w:left="720"/>
      </w:pPr>
    </w:p>
    <w:p w:rsidR="005B46B7" w:rsidRPr="005B46B7" w:rsidRDefault="005B46B7" w:rsidP="005B46B7">
      <w:pPr>
        <w:pStyle w:val="ListParagraph"/>
        <w:ind w:left="720"/>
        <w:rPr>
          <w:b/>
          <w:sz w:val="22"/>
        </w:rPr>
      </w:pPr>
      <w:r w:rsidRPr="005B46B7">
        <w:rPr>
          <w:b/>
          <w:sz w:val="22"/>
        </w:rPr>
        <w:t xml:space="preserve">Forest plot showing pooled effect of ultrasound with splinting vs sham ultrasound with </w:t>
      </w:r>
      <w:bookmarkStart w:id="0" w:name="_GoBack"/>
      <w:bookmarkEnd w:id="0"/>
      <w:r w:rsidRPr="005B46B7">
        <w:rPr>
          <w:b/>
          <w:sz w:val="22"/>
        </w:rPr>
        <w:t>splinting for VAS pain scores.</w:t>
      </w:r>
    </w:p>
    <w:p w:rsidR="005B46B7" w:rsidRDefault="005B46B7" w:rsidP="005B46B7">
      <w:pPr>
        <w:pStyle w:val="ListParagraph"/>
        <w:ind w:left="720"/>
      </w:pPr>
      <w:r w:rsidRPr="0004086A">
        <w:rPr>
          <w:noProof/>
        </w:rPr>
        <w:drawing>
          <wp:inline distT="0" distB="0" distL="0" distR="0" wp14:anchorId="0D141AAB" wp14:editId="574FC4B2">
            <wp:extent cx="5943600" cy="10629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062990"/>
                    </a:xfrm>
                    <a:prstGeom prst="rect">
                      <a:avLst/>
                    </a:prstGeom>
                  </pic:spPr>
                </pic:pic>
              </a:graphicData>
            </a:graphic>
          </wp:inline>
        </w:drawing>
      </w:r>
    </w:p>
    <w:p w:rsidR="00915B20" w:rsidRPr="005B46B7" w:rsidRDefault="00915B20" w:rsidP="005B46B7">
      <w:pPr>
        <w:ind w:left="0"/>
        <w:rPr>
          <w:rFonts w:cs="Times New Roman"/>
          <w:b/>
          <w:i/>
          <w:szCs w:val="24"/>
        </w:rPr>
      </w:pPr>
    </w:p>
    <w:p w:rsidR="00C705EC" w:rsidRPr="00915B20"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6C70AC" w:rsidRPr="000E294B" w:rsidRDefault="006C70AC" w:rsidP="00AC55B6">
      <w:pPr>
        <w:pStyle w:val="ListParagraph"/>
        <w:ind w:left="0"/>
        <w:rPr>
          <w:rFonts w:cs="Times New Roman"/>
          <w:b/>
          <w:i/>
          <w:szCs w:val="24"/>
        </w:rPr>
      </w:pPr>
    </w:p>
    <w:p w:rsidR="009E2C74" w:rsidRPr="00F90844" w:rsidRDefault="009E2C74" w:rsidP="00F90844">
      <w:pPr>
        <w:pStyle w:val="Default"/>
        <w:rPr>
          <w:color w:val="auto"/>
        </w:rPr>
      </w:pPr>
      <w:r w:rsidRPr="009E2C74">
        <w:rPr>
          <w:color w:val="auto"/>
        </w:rPr>
        <w:t xml:space="preserve">This </w:t>
      </w:r>
      <w:r w:rsidR="00F939FC">
        <w:rPr>
          <w:color w:val="auto"/>
        </w:rPr>
        <w:t xml:space="preserve">methodologically </w:t>
      </w:r>
      <w:r w:rsidRPr="009E2C74">
        <w:rPr>
          <w:color w:val="auto"/>
        </w:rPr>
        <w:t>adequate study</w:t>
      </w:r>
      <w:r>
        <w:rPr>
          <w:color w:val="auto"/>
        </w:rPr>
        <w:t xml:space="preserve"> </w:t>
      </w:r>
      <w:r w:rsidRPr="009E2C74">
        <w:rPr>
          <w:color w:val="auto"/>
        </w:rPr>
        <w:t>show</w:t>
      </w:r>
      <w:r>
        <w:rPr>
          <w:color w:val="auto"/>
        </w:rPr>
        <w:t xml:space="preserve">s that there is an absence </w:t>
      </w:r>
      <w:r w:rsidRPr="009E2C74">
        <w:rPr>
          <w:color w:val="auto"/>
        </w:rPr>
        <w:t xml:space="preserve">of evidence for the effectiveness of pulsed or continuous ultrasound (US) </w:t>
      </w:r>
      <w:r>
        <w:rPr>
          <w:color w:val="auto"/>
        </w:rPr>
        <w:t xml:space="preserve">combined with </w:t>
      </w:r>
      <w:r w:rsidRPr="009E2C74">
        <w:rPr>
          <w:color w:val="auto"/>
        </w:rPr>
        <w:t xml:space="preserve">splint therapy compared to </w:t>
      </w:r>
      <w:r>
        <w:rPr>
          <w:color w:val="auto"/>
        </w:rPr>
        <w:t xml:space="preserve">sham </w:t>
      </w:r>
      <w:r w:rsidRPr="009E2C74">
        <w:rPr>
          <w:color w:val="auto"/>
        </w:rPr>
        <w:t xml:space="preserve">ultrasound and splint therapy in reducing pain and symptoms </w:t>
      </w:r>
      <w:r w:rsidR="00F939FC">
        <w:rPr>
          <w:color w:val="auto"/>
        </w:rPr>
        <w:t>and improving functionality for</w:t>
      </w:r>
      <w:r w:rsidRPr="009E2C74">
        <w:rPr>
          <w:color w:val="auto"/>
        </w:rPr>
        <w:t xml:space="preserve"> </w:t>
      </w:r>
      <w:r w:rsidR="00F939FC">
        <w:rPr>
          <w:color w:val="auto"/>
        </w:rPr>
        <w:t xml:space="preserve">treating </w:t>
      </w:r>
      <w:r w:rsidRPr="009E2C74">
        <w:rPr>
          <w:color w:val="auto"/>
        </w:rPr>
        <w:t>patients with mild or moderate idiopathic carpal tunnel syndrome (CTS).</w:t>
      </w:r>
      <w:r w:rsidR="00F939FC">
        <w:rPr>
          <w:color w:val="auto"/>
        </w:rPr>
        <w:t xml:space="preserve"> This study is inconclusive in its ability to find an effect due to only 70% power and a small sample size.</w:t>
      </w:r>
    </w:p>
    <w:sectPr w:rsidR="009E2C74" w:rsidRPr="00F908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5"/>
  </w:num>
  <w:num w:numId="3">
    <w:abstractNumId w:val="0"/>
  </w:num>
  <w:num w:numId="4">
    <w:abstractNumId w:val="1"/>
  </w:num>
  <w:num w:numId="5">
    <w:abstractNumId w:val="2"/>
  </w:num>
  <w:num w:numId="6">
    <w:abstractNumId w:val="6"/>
  </w:num>
  <w:num w:numId="7">
    <w:abstractNumId w:val="7"/>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3229"/>
    <w:rsid w:val="0000327D"/>
    <w:rsid w:val="00003409"/>
    <w:rsid w:val="00005670"/>
    <w:rsid w:val="000154D1"/>
    <w:rsid w:val="0001776B"/>
    <w:rsid w:val="00020B0C"/>
    <w:rsid w:val="00021D84"/>
    <w:rsid w:val="000247A8"/>
    <w:rsid w:val="00026811"/>
    <w:rsid w:val="00030C5A"/>
    <w:rsid w:val="00037D4F"/>
    <w:rsid w:val="00053CA3"/>
    <w:rsid w:val="00054D9A"/>
    <w:rsid w:val="000566CC"/>
    <w:rsid w:val="00067CA9"/>
    <w:rsid w:val="00072FF4"/>
    <w:rsid w:val="0007303B"/>
    <w:rsid w:val="00076EBE"/>
    <w:rsid w:val="000865CA"/>
    <w:rsid w:val="000932C2"/>
    <w:rsid w:val="0009600D"/>
    <w:rsid w:val="000A1CD5"/>
    <w:rsid w:val="000A50B6"/>
    <w:rsid w:val="000A6DB0"/>
    <w:rsid w:val="000A7A76"/>
    <w:rsid w:val="000B15B1"/>
    <w:rsid w:val="000B62E0"/>
    <w:rsid w:val="000B67FB"/>
    <w:rsid w:val="000B76E6"/>
    <w:rsid w:val="000C4FC2"/>
    <w:rsid w:val="000C6334"/>
    <w:rsid w:val="000D0134"/>
    <w:rsid w:val="000E294B"/>
    <w:rsid w:val="000E4446"/>
    <w:rsid w:val="000F01BF"/>
    <w:rsid w:val="000F1426"/>
    <w:rsid w:val="000F2E6E"/>
    <w:rsid w:val="00105D09"/>
    <w:rsid w:val="00106B4C"/>
    <w:rsid w:val="001075DA"/>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2BE"/>
    <w:rsid w:val="00141CC0"/>
    <w:rsid w:val="00146D9E"/>
    <w:rsid w:val="00156C33"/>
    <w:rsid w:val="001612BF"/>
    <w:rsid w:val="00162CEF"/>
    <w:rsid w:val="001631AC"/>
    <w:rsid w:val="001671A8"/>
    <w:rsid w:val="0017334C"/>
    <w:rsid w:val="00173C26"/>
    <w:rsid w:val="001755BF"/>
    <w:rsid w:val="00183CB5"/>
    <w:rsid w:val="00185B7D"/>
    <w:rsid w:val="00186557"/>
    <w:rsid w:val="00190A66"/>
    <w:rsid w:val="00192AD1"/>
    <w:rsid w:val="00193BBB"/>
    <w:rsid w:val="001A30CA"/>
    <w:rsid w:val="001A3190"/>
    <w:rsid w:val="001A40A4"/>
    <w:rsid w:val="001B514F"/>
    <w:rsid w:val="001B799D"/>
    <w:rsid w:val="001B799E"/>
    <w:rsid w:val="001C1EE7"/>
    <w:rsid w:val="001C3D47"/>
    <w:rsid w:val="001C5323"/>
    <w:rsid w:val="001C60CE"/>
    <w:rsid w:val="001C7F1D"/>
    <w:rsid w:val="001D051B"/>
    <w:rsid w:val="001D7B91"/>
    <w:rsid w:val="001E161E"/>
    <w:rsid w:val="001E245C"/>
    <w:rsid w:val="001E4B6F"/>
    <w:rsid w:val="001E5322"/>
    <w:rsid w:val="001E7100"/>
    <w:rsid w:val="001F29EF"/>
    <w:rsid w:val="001F62DB"/>
    <w:rsid w:val="001F7F9F"/>
    <w:rsid w:val="00202041"/>
    <w:rsid w:val="00203DEC"/>
    <w:rsid w:val="00204475"/>
    <w:rsid w:val="00206053"/>
    <w:rsid w:val="00207378"/>
    <w:rsid w:val="002100EF"/>
    <w:rsid w:val="00210AD5"/>
    <w:rsid w:val="00210CAB"/>
    <w:rsid w:val="0022236C"/>
    <w:rsid w:val="002239B5"/>
    <w:rsid w:val="002252EC"/>
    <w:rsid w:val="002256F4"/>
    <w:rsid w:val="00225707"/>
    <w:rsid w:val="00226B21"/>
    <w:rsid w:val="002310AC"/>
    <w:rsid w:val="00232F12"/>
    <w:rsid w:val="00233AEC"/>
    <w:rsid w:val="00235C1F"/>
    <w:rsid w:val="002362F1"/>
    <w:rsid w:val="00236665"/>
    <w:rsid w:val="00237E68"/>
    <w:rsid w:val="0024294B"/>
    <w:rsid w:val="002463CD"/>
    <w:rsid w:val="0024640A"/>
    <w:rsid w:val="00247792"/>
    <w:rsid w:val="0025385E"/>
    <w:rsid w:val="00254238"/>
    <w:rsid w:val="00261C1E"/>
    <w:rsid w:val="0026538D"/>
    <w:rsid w:val="00273DE4"/>
    <w:rsid w:val="00277135"/>
    <w:rsid w:val="002818BA"/>
    <w:rsid w:val="00282963"/>
    <w:rsid w:val="00284637"/>
    <w:rsid w:val="00285FEB"/>
    <w:rsid w:val="0029056E"/>
    <w:rsid w:val="00295E1C"/>
    <w:rsid w:val="0029623C"/>
    <w:rsid w:val="002977A9"/>
    <w:rsid w:val="002A0E04"/>
    <w:rsid w:val="002A3661"/>
    <w:rsid w:val="002A44C2"/>
    <w:rsid w:val="002A77B9"/>
    <w:rsid w:val="002B3233"/>
    <w:rsid w:val="002B3483"/>
    <w:rsid w:val="002B751C"/>
    <w:rsid w:val="002C32E8"/>
    <w:rsid w:val="002D0637"/>
    <w:rsid w:val="002D1DB0"/>
    <w:rsid w:val="002D28BF"/>
    <w:rsid w:val="002D31E6"/>
    <w:rsid w:val="002D54E3"/>
    <w:rsid w:val="002E0E37"/>
    <w:rsid w:val="002E16DD"/>
    <w:rsid w:val="002E27B0"/>
    <w:rsid w:val="002E3789"/>
    <w:rsid w:val="002E3E5C"/>
    <w:rsid w:val="002E4252"/>
    <w:rsid w:val="002E479B"/>
    <w:rsid w:val="002E7108"/>
    <w:rsid w:val="002F15E1"/>
    <w:rsid w:val="002F4C65"/>
    <w:rsid w:val="002F6BF6"/>
    <w:rsid w:val="00305931"/>
    <w:rsid w:val="003148D1"/>
    <w:rsid w:val="00315686"/>
    <w:rsid w:val="003162CF"/>
    <w:rsid w:val="00316A0E"/>
    <w:rsid w:val="00320444"/>
    <w:rsid w:val="0032565B"/>
    <w:rsid w:val="00326A12"/>
    <w:rsid w:val="00326ADD"/>
    <w:rsid w:val="0032702E"/>
    <w:rsid w:val="00327FBF"/>
    <w:rsid w:val="0033415D"/>
    <w:rsid w:val="00340EEF"/>
    <w:rsid w:val="00342A70"/>
    <w:rsid w:val="00342DF5"/>
    <w:rsid w:val="00352D9D"/>
    <w:rsid w:val="003562F4"/>
    <w:rsid w:val="00356E1E"/>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61FE"/>
    <w:rsid w:val="00376536"/>
    <w:rsid w:val="0037742F"/>
    <w:rsid w:val="0038056F"/>
    <w:rsid w:val="00393824"/>
    <w:rsid w:val="00393F08"/>
    <w:rsid w:val="00394877"/>
    <w:rsid w:val="003962C6"/>
    <w:rsid w:val="003A1A39"/>
    <w:rsid w:val="003A6E98"/>
    <w:rsid w:val="003A7F1C"/>
    <w:rsid w:val="003B000A"/>
    <w:rsid w:val="003B102B"/>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50C1"/>
    <w:rsid w:val="003E7006"/>
    <w:rsid w:val="003F676E"/>
    <w:rsid w:val="003F7668"/>
    <w:rsid w:val="004007E9"/>
    <w:rsid w:val="00400A4F"/>
    <w:rsid w:val="004038ED"/>
    <w:rsid w:val="0041033D"/>
    <w:rsid w:val="00411BE8"/>
    <w:rsid w:val="0041508D"/>
    <w:rsid w:val="00422A5B"/>
    <w:rsid w:val="004240A0"/>
    <w:rsid w:val="0042475D"/>
    <w:rsid w:val="00425E3A"/>
    <w:rsid w:val="00426C3A"/>
    <w:rsid w:val="0042746D"/>
    <w:rsid w:val="00430CA1"/>
    <w:rsid w:val="004337DF"/>
    <w:rsid w:val="00436D33"/>
    <w:rsid w:val="00442D27"/>
    <w:rsid w:val="00443BB9"/>
    <w:rsid w:val="00446110"/>
    <w:rsid w:val="0044792D"/>
    <w:rsid w:val="00450CAD"/>
    <w:rsid w:val="00452611"/>
    <w:rsid w:val="0045408D"/>
    <w:rsid w:val="00454579"/>
    <w:rsid w:val="00462322"/>
    <w:rsid w:val="0046655E"/>
    <w:rsid w:val="00472443"/>
    <w:rsid w:val="00475C8A"/>
    <w:rsid w:val="00484D66"/>
    <w:rsid w:val="00490437"/>
    <w:rsid w:val="004916DF"/>
    <w:rsid w:val="00493432"/>
    <w:rsid w:val="0049584B"/>
    <w:rsid w:val="00497357"/>
    <w:rsid w:val="004A035F"/>
    <w:rsid w:val="004A05BE"/>
    <w:rsid w:val="004A088F"/>
    <w:rsid w:val="004A4E2A"/>
    <w:rsid w:val="004B19DB"/>
    <w:rsid w:val="004B576E"/>
    <w:rsid w:val="004B71F0"/>
    <w:rsid w:val="004B7529"/>
    <w:rsid w:val="004C0125"/>
    <w:rsid w:val="004C3F77"/>
    <w:rsid w:val="004C41B9"/>
    <w:rsid w:val="004C4EED"/>
    <w:rsid w:val="004C4F1B"/>
    <w:rsid w:val="004C6A60"/>
    <w:rsid w:val="004C7A27"/>
    <w:rsid w:val="004D0168"/>
    <w:rsid w:val="004D051A"/>
    <w:rsid w:val="004D3081"/>
    <w:rsid w:val="004D4B69"/>
    <w:rsid w:val="004D5790"/>
    <w:rsid w:val="004D5F0B"/>
    <w:rsid w:val="004E00A0"/>
    <w:rsid w:val="004E06DC"/>
    <w:rsid w:val="004E19BC"/>
    <w:rsid w:val="004E19E4"/>
    <w:rsid w:val="004E1B1C"/>
    <w:rsid w:val="004E324D"/>
    <w:rsid w:val="004E45A0"/>
    <w:rsid w:val="004E482F"/>
    <w:rsid w:val="004F2CF1"/>
    <w:rsid w:val="0050062A"/>
    <w:rsid w:val="00500A18"/>
    <w:rsid w:val="00502764"/>
    <w:rsid w:val="00504ACA"/>
    <w:rsid w:val="00505D22"/>
    <w:rsid w:val="0050615C"/>
    <w:rsid w:val="00507EB9"/>
    <w:rsid w:val="00510839"/>
    <w:rsid w:val="005116C2"/>
    <w:rsid w:val="005144BE"/>
    <w:rsid w:val="00515215"/>
    <w:rsid w:val="00515794"/>
    <w:rsid w:val="0051606B"/>
    <w:rsid w:val="005237BB"/>
    <w:rsid w:val="00523B45"/>
    <w:rsid w:val="00525E6E"/>
    <w:rsid w:val="005271CD"/>
    <w:rsid w:val="005319C1"/>
    <w:rsid w:val="00531B27"/>
    <w:rsid w:val="005356E8"/>
    <w:rsid w:val="00535BE1"/>
    <w:rsid w:val="00540A2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6B7"/>
    <w:rsid w:val="005B4A88"/>
    <w:rsid w:val="005B524E"/>
    <w:rsid w:val="005B740E"/>
    <w:rsid w:val="005C0C92"/>
    <w:rsid w:val="005C18C2"/>
    <w:rsid w:val="005C5385"/>
    <w:rsid w:val="005C5CBD"/>
    <w:rsid w:val="005D2104"/>
    <w:rsid w:val="005E51A2"/>
    <w:rsid w:val="005E5584"/>
    <w:rsid w:val="005E767C"/>
    <w:rsid w:val="005F4A8C"/>
    <w:rsid w:val="005F6820"/>
    <w:rsid w:val="00601BDE"/>
    <w:rsid w:val="00602DD6"/>
    <w:rsid w:val="00604865"/>
    <w:rsid w:val="006064D3"/>
    <w:rsid w:val="00607475"/>
    <w:rsid w:val="00607B6F"/>
    <w:rsid w:val="00611064"/>
    <w:rsid w:val="0061666B"/>
    <w:rsid w:val="00626417"/>
    <w:rsid w:val="006266D2"/>
    <w:rsid w:val="006271F5"/>
    <w:rsid w:val="00634029"/>
    <w:rsid w:val="006409AB"/>
    <w:rsid w:val="00643667"/>
    <w:rsid w:val="00646C82"/>
    <w:rsid w:val="006510CA"/>
    <w:rsid w:val="0065724D"/>
    <w:rsid w:val="0065746E"/>
    <w:rsid w:val="00661BE3"/>
    <w:rsid w:val="006632E9"/>
    <w:rsid w:val="00663604"/>
    <w:rsid w:val="00666CF8"/>
    <w:rsid w:val="006701D9"/>
    <w:rsid w:val="006708FB"/>
    <w:rsid w:val="00671173"/>
    <w:rsid w:val="00672BAD"/>
    <w:rsid w:val="00673218"/>
    <w:rsid w:val="00673CDB"/>
    <w:rsid w:val="00675998"/>
    <w:rsid w:val="00677EEC"/>
    <w:rsid w:val="0068124B"/>
    <w:rsid w:val="006907ED"/>
    <w:rsid w:val="00692CEE"/>
    <w:rsid w:val="00692F53"/>
    <w:rsid w:val="0069616B"/>
    <w:rsid w:val="006A087B"/>
    <w:rsid w:val="006A0B96"/>
    <w:rsid w:val="006A37CF"/>
    <w:rsid w:val="006A655F"/>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55B1"/>
    <w:rsid w:val="006E59F7"/>
    <w:rsid w:val="006F29BA"/>
    <w:rsid w:val="006F2F22"/>
    <w:rsid w:val="00700C84"/>
    <w:rsid w:val="00702468"/>
    <w:rsid w:val="007024E3"/>
    <w:rsid w:val="00702F27"/>
    <w:rsid w:val="00706FE7"/>
    <w:rsid w:val="00712483"/>
    <w:rsid w:val="00713CAA"/>
    <w:rsid w:val="007141D5"/>
    <w:rsid w:val="00717931"/>
    <w:rsid w:val="007179B8"/>
    <w:rsid w:val="00720495"/>
    <w:rsid w:val="0072247E"/>
    <w:rsid w:val="00724AA0"/>
    <w:rsid w:val="00725DBF"/>
    <w:rsid w:val="00732531"/>
    <w:rsid w:val="00734FEA"/>
    <w:rsid w:val="00735652"/>
    <w:rsid w:val="00736042"/>
    <w:rsid w:val="00736E82"/>
    <w:rsid w:val="00740553"/>
    <w:rsid w:val="00740CD1"/>
    <w:rsid w:val="007507C3"/>
    <w:rsid w:val="00751E2C"/>
    <w:rsid w:val="00752599"/>
    <w:rsid w:val="00752A63"/>
    <w:rsid w:val="00755A14"/>
    <w:rsid w:val="00756C4C"/>
    <w:rsid w:val="00757153"/>
    <w:rsid w:val="00761F0D"/>
    <w:rsid w:val="00766762"/>
    <w:rsid w:val="00771734"/>
    <w:rsid w:val="007773E8"/>
    <w:rsid w:val="00782DC1"/>
    <w:rsid w:val="00784337"/>
    <w:rsid w:val="00790CD2"/>
    <w:rsid w:val="00790E94"/>
    <w:rsid w:val="00794BDB"/>
    <w:rsid w:val="0079579B"/>
    <w:rsid w:val="007A1C62"/>
    <w:rsid w:val="007A28C1"/>
    <w:rsid w:val="007A426E"/>
    <w:rsid w:val="007A4CA4"/>
    <w:rsid w:val="007B147A"/>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20146"/>
    <w:rsid w:val="008217DF"/>
    <w:rsid w:val="008243D6"/>
    <w:rsid w:val="00824F44"/>
    <w:rsid w:val="008335F6"/>
    <w:rsid w:val="0083525D"/>
    <w:rsid w:val="00837627"/>
    <w:rsid w:val="0084138A"/>
    <w:rsid w:val="008414A9"/>
    <w:rsid w:val="008460F9"/>
    <w:rsid w:val="0084683D"/>
    <w:rsid w:val="00847919"/>
    <w:rsid w:val="008501EF"/>
    <w:rsid w:val="00855AF8"/>
    <w:rsid w:val="008603C7"/>
    <w:rsid w:val="00863B28"/>
    <w:rsid w:val="00865DD9"/>
    <w:rsid w:val="00874367"/>
    <w:rsid w:val="0087489D"/>
    <w:rsid w:val="0087550D"/>
    <w:rsid w:val="008756DC"/>
    <w:rsid w:val="00875E30"/>
    <w:rsid w:val="0087638E"/>
    <w:rsid w:val="00877FDD"/>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3D23"/>
    <w:rsid w:val="008E4290"/>
    <w:rsid w:val="008E790D"/>
    <w:rsid w:val="008F1524"/>
    <w:rsid w:val="008F2422"/>
    <w:rsid w:val="008F39B7"/>
    <w:rsid w:val="008F5526"/>
    <w:rsid w:val="00900F3B"/>
    <w:rsid w:val="009015F1"/>
    <w:rsid w:val="009016D6"/>
    <w:rsid w:val="009070D4"/>
    <w:rsid w:val="0091119B"/>
    <w:rsid w:val="00915B20"/>
    <w:rsid w:val="00916C0E"/>
    <w:rsid w:val="00917123"/>
    <w:rsid w:val="009304B7"/>
    <w:rsid w:val="009361B4"/>
    <w:rsid w:val="0093660C"/>
    <w:rsid w:val="00937522"/>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2C02"/>
    <w:rsid w:val="009D4E8A"/>
    <w:rsid w:val="009D5517"/>
    <w:rsid w:val="009D67A9"/>
    <w:rsid w:val="009E2C74"/>
    <w:rsid w:val="009E39DF"/>
    <w:rsid w:val="009E7137"/>
    <w:rsid w:val="009F0FCF"/>
    <w:rsid w:val="009F4A7A"/>
    <w:rsid w:val="009F4FA1"/>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305B6"/>
    <w:rsid w:val="00A36337"/>
    <w:rsid w:val="00A44500"/>
    <w:rsid w:val="00A44E78"/>
    <w:rsid w:val="00A44EA0"/>
    <w:rsid w:val="00A46DFE"/>
    <w:rsid w:val="00A569C8"/>
    <w:rsid w:val="00A6654C"/>
    <w:rsid w:val="00A671C3"/>
    <w:rsid w:val="00A71987"/>
    <w:rsid w:val="00A7594D"/>
    <w:rsid w:val="00A81B93"/>
    <w:rsid w:val="00A81C2D"/>
    <w:rsid w:val="00A8295D"/>
    <w:rsid w:val="00A91370"/>
    <w:rsid w:val="00A91D71"/>
    <w:rsid w:val="00A9321A"/>
    <w:rsid w:val="00A93853"/>
    <w:rsid w:val="00A93D02"/>
    <w:rsid w:val="00A95447"/>
    <w:rsid w:val="00A9612B"/>
    <w:rsid w:val="00AA1AD3"/>
    <w:rsid w:val="00AA1F06"/>
    <w:rsid w:val="00AA32EF"/>
    <w:rsid w:val="00AA7335"/>
    <w:rsid w:val="00AB0B64"/>
    <w:rsid w:val="00AB3D9D"/>
    <w:rsid w:val="00AB43E9"/>
    <w:rsid w:val="00AB6DD6"/>
    <w:rsid w:val="00AB6ED5"/>
    <w:rsid w:val="00AB7F12"/>
    <w:rsid w:val="00AC0A15"/>
    <w:rsid w:val="00AC168F"/>
    <w:rsid w:val="00AC55B6"/>
    <w:rsid w:val="00AC6B1B"/>
    <w:rsid w:val="00AC6C4E"/>
    <w:rsid w:val="00AC7911"/>
    <w:rsid w:val="00AD665C"/>
    <w:rsid w:val="00AD6D40"/>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B64"/>
    <w:rsid w:val="00B354DF"/>
    <w:rsid w:val="00B36CAF"/>
    <w:rsid w:val="00B37717"/>
    <w:rsid w:val="00B41B6E"/>
    <w:rsid w:val="00B44C6E"/>
    <w:rsid w:val="00B4678C"/>
    <w:rsid w:val="00B51260"/>
    <w:rsid w:val="00B61204"/>
    <w:rsid w:val="00B63061"/>
    <w:rsid w:val="00B65679"/>
    <w:rsid w:val="00B6712D"/>
    <w:rsid w:val="00B679E3"/>
    <w:rsid w:val="00B74253"/>
    <w:rsid w:val="00B77339"/>
    <w:rsid w:val="00B775D4"/>
    <w:rsid w:val="00B831EE"/>
    <w:rsid w:val="00B851C6"/>
    <w:rsid w:val="00B90951"/>
    <w:rsid w:val="00B94634"/>
    <w:rsid w:val="00B95BD8"/>
    <w:rsid w:val="00B964C7"/>
    <w:rsid w:val="00B974CE"/>
    <w:rsid w:val="00BA0F4A"/>
    <w:rsid w:val="00BA12FD"/>
    <w:rsid w:val="00BB3A5D"/>
    <w:rsid w:val="00BB3B96"/>
    <w:rsid w:val="00BB5EEB"/>
    <w:rsid w:val="00BC196C"/>
    <w:rsid w:val="00BC77CB"/>
    <w:rsid w:val="00BD45E5"/>
    <w:rsid w:val="00BE19BE"/>
    <w:rsid w:val="00BE4FF0"/>
    <w:rsid w:val="00BE5BAE"/>
    <w:rsid w:val="00BE6954"/>
    <w:rsid w:val="00BF3803"/>
    <w:rsid w:val="00BF423F"/>
    <w:rsid w:val="00BF529C"/>
    <w:rsid w:val="00BF5F75"/>
    <w:rsid w:val="00BF6515"/>
    <w:rsid w:val="00BF684B"/>
    <w:rsid w:val="00BF6BC7"/>
    <w:rsid w:val="00BF7023"/>
    <w:rsid w:val="00BF7703"/>
    <w:rsid w:val="00C00C14"/>
    <w:rsid w:val="00C0242B"/>
    <w:rsid w:val="00C04F0F"/>
    <w:rsid w:val="00C05CD8"/>
    <w:rsid w:val="00C10EB3"/>
    <w:rsid w:val="00C11C69"/>
    <w:rsid w:val="00C13D5C"/>
    <w:rsid w:val="00C152B8"/>
    <w:rsid w:val="00C15D84"/>
    <w:rsid w:val="00C164FB"/>
    <w:rsid w:val="00C2126A"/>
    <w:rsid w:val="00C25DF3"/>
    <w:rsid w:val="00C26EBB"/>
    <w:rsid w:val="00C278B1"/>
    <w:rsid w:val="00C328D2"/>
    <w:rsid w:val="00C4154D"/>
    <w:rsid w:val="00C435EB"/>
    <w:rsid w:val="00C45A18"/>
    <w:rsid w:val="00C5280C"/>
    <w:rsid w:val="00C5665E"/>
    <w:rsid w:val="00C56D65"/>
    <w:rsid w:val="00C57626"/>
    <w:rsid w:val="00C601D3"/>
    <w:rsid w:val="00C610A0"/>
    <w:rsid w:val="00C61819"/>
    <w:rsid w:val="00C6592B"/>
    <w:rsid w:val="00C674D5"/>
    <w:rsid w:val="00C705EC"/>
    <w:rsid w:val="00C70C7C"/>
    <w:rsid w:val="00C7472E"/>
    <w:rsid w:val="00C7547C"/>
    <w:rsid w:val="00C7588C"/>
    <w:rsid w:val="00C81470"/>
    <w:rsid w:val="00C876D8"/>
    <w:rsid w:val="00C8789B"/>
    <w:rsid w:val="00C9214F"/>
    <w:rsid w:val="00C92437"/>
    <w:rsid w:val="00C94931"/>
    <w:rsid w:val="00C95C80"/>
    <w:rsid w:val="00C96242"/>
    <w:rsid w:val="00CA0824"/>
    <w:rsid w:val="00CA447C"/>
    <w:rsid w:val="00CA6DF1"/>
    <w:rsid w:val="00CB203F"/>
    <w:rsid w:val="00CB3D2B"/>
    <w:rsid w:val="00CB6598"/>
    <w:rsid w:val="00CB673E"/>
    <w:rsid w:val="00CB7DF4"/>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545"/>
    <w:rsid w:val="00D36136"/>
    <w:rsid w:val="00D4140E"/>
    <w:rsid w:val="00D41BE3"/>
    <w:rsid w:val="00D421A0"/>
    <w:rsid w:val="00D4264D"/>
    <w:rsid w:val="00D42BE7"/>
    <w:rsid w:val="00D44326"/>
    <w:rsid w:val="00D47076"/>
    <w:rsid w:val="00D47253"/>
    <w:rsid w:val="00D50E60"/>
    <w:rsid w:val="00D649D5"/>
    <w:rsid w:val="00D6542A"/>
    <w:rsid w:val="00D65A96"/>
    <w:rsid w:val="00D7075C"/>
    <w:rsid w:val="00D70C26"/>
    <w:rsid w:val="00D72A1D"/>
    <w:rsid w:val="00D75E71"/>
    <w:rsid w:val="00D80FC0"/>
    <w:rsid w:val="00D81899"/>
    <w:rsid w:val="00D81FA4"/>
    <w:rsid w:val="00D82C55"/>
    <w:rsid w:val="00D8677D"/>
    <w:rsid w:val="00D96858"/>
    <w:rsid w:val="00DA542B"/>
    <w:rsid w:val="00DA5AB9"/>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7DB"/>
    <w:rsid w:val="00DD1E46"/>
    <w:rsid w:val="00DD7A32"/>
    <w:rsid w:val="00DF0D14"/>
    <w:rsid w:val="00DF123B"/>
    <w:rsid w:val="00DF3CEF"/>
    <w:rsid w:val="00DF61EB"/>
    <w:rsid w:val="00E0113A"/>
    <w:rsid w:val="00E037D1"/>
    <w:rsid w:val="00E0460F"/>
    <w:rsid w:val="00E058AA"/>
    <w:rsid w:val="00E10C4E"/>
    <w:rsid w:val="00E13945"/>
    <w:rsid w:val="00E14162"/>
    <w:rsid w:val="00E1447C"/>
    <w:rsid w:val="00E15D35"/>
    <w:rsid w:val="00E16106"/>
    <w:rsid w:val="00E162B2"/>
    <w:rsid w:val="00E2028C"/>
    <w:rsid w:val="00E211D9"/>
    <w:rsid w:val="00E22BE4"/>
    <w:rsid w:val="00E23BC8"/>
    <w:rsid w:val="00E34C5C"/>
    <w:rsid w:val="00E35FF9"/>
    <w:rsid w:val="00E40883"/>
    <w:rsid w:val="00E4275F"/>
    <w:rsid w:val="00E45DFC"/>
    <w:rsid w:val="00E4746C"/>
    <w:rsid w:val="00E526A9"/>
    <w:rsid w:val="00E5571C"/>
    <w:rsid w:val="00E60B53"/>
    <w:rsid w:val="00E636A4"/>
    <w:rsid w:val="00E65191"/>
    <w:rsid w:val="00E656BE"/>
    <w:rsid w:val="00E66492"/>
    <w:rsid w:val="00E73A4F"/>
    <w:rsid w:val="00E73BB2"/>
    <w:rsid w:val="00E745A3"/>
    <w:rsid w:val="00E90B2C"/>
    <w:rsid w:val="00E90BB4"/>
    <w:rsid w:val="00E92A2B"/>
    <w:rsid w:val="00E92C20"/>
    <w:rsid w:val="00E97757"/>
    <w:rsid w:val="00EA0D81"/>
    <w:rsid w:val="00EA4567"/>
    <w:rsid w:val="00EA752F"/>
    <w:rsid w:val="00EB21FB"/>
    <w:rsid w:val="00EB3A4D"/>
    <w:rsid w:val="00EB44BE"/>
    <w:rsid w:val="00EB699E"/>
    <w:rsid w:val="00EC1A58"/>
    <w:rsid w:val="00EC334E"/>
    <w:rsid w:val="00EC4D96"/>
    <w:rsid w:val="00EC5A14"/>
    <w:rsid w:val="00ED15A1"/>
    <w:rsid w:val="00ED5E76"/>
    <w:rsid w:val="00EE22D8"/>
    <w:rsid w:val="00EE381F"/>
    <w:rsid w:val="00EE5DA2"/>
    <w:rsid w:val="00EE6CC0"/>
    <w:rsid w:val="00EF2605"/>
    <w:rsid w:val="00EF3D1A"/>
    <w:rsid w:val="00EF5EAC"/>
    <w:rsid w:val="00F040E6"/>
    <w:rsid w:val="00F12B61"/>
    <w:rsid w:val="00F14669"/>
    <w:rsid w:val="00F15A8D"/>
    <w:rsid w:val="00F204A1"/>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39FC"/>
    <w:rsid w:val="00F95D14"/>
    <w:rsid w:val="00FA2A41"/>
    <w:rsid w:val="00FA370C"/>
    <w:rsid w:val="00FA40F1"/>
    <w:rsid w:val="00FB38E4"/>
    <w:rsid w:val="00FB5DBF"/>
    <w:rsid w:val="00FB7251"/>
    <w:rsid w:val="00FC2CAA"/>
    <w:rsid w:val="00FC3EF6"/>
    <w:rsid w:val="00FC42D8"/>
    <w:rsid w:val="00FD408F"/>
    <w:rsid w:val="00FD5248"/>
    <w:rsid w:val="00FD6601"/>
    <w:rsid w:val="00FE1477"/>
    <w:rsid w:val="00FE428E"/>
    <w:rsid w:val="00FE45E4"/>
    <w:rsid w:val="00FE4EAC"/>
    <w:rsid w:val="00FE60FB"/>
    <w:rsid w:val="00FF0DA3"/>
    <w:rsid w:val="00FF13DF"/>
    <w:rsid w:val="00FF6C0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D192D-C037-41CB-B81A-D52C397F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40</cp:revision>
  <cp:lastPrinted>2016-01-19T16:37:00Z</cp:lastPrinted>
  <dcterms:created xsi:type="dcterms:W3CDTF">2016-01-12T22:40:00Z</dcterms:created>
  <dcterms:modified xsi:type="dcterms:W3CDTF">2016-02-19T00:28:00Z</dcterms:modified>
</cp:coreProperties>
</file>