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A63" w:rsidRDefault="008C743C" w:rsidP="00692A63">
      <w:pPr>
        <w:pStyle w:val="Title"/>
        <w:pBdr>
          <w:top w:val="single" w:sz="12" w:space="1" w:color="auto"/>
          <w:left w:val="single" w:sz="12" w:space="4" w:color="auto"/>
          <w:bottom w:val="single" w:sz="12" w:space="31" w:color="auto"/>
          <w:right w:val="single" w:sz="12" w:space="4" w:color="auto"/>
        </w:pBdr>
        <w:jc w:val="left"/>
        <w:rPr>
          <w:sz w:val="16"/>
          <w:szCs w:val="16"/>
        </w:rPr>
      </w:pPr>
      <w:r>
        <w:rPr>
          <w:sz w:val="16"/>
          <w:szCs w:val="16"/>
        </w:rPr>
        <w:t xml:space="preserve"> </w:t>
      </w:r>
    </w:p>
    <w:p w:rsidR="00692A63" w:rsidRPr="004E28BB" w:rsidRDefault="00692A63" w:rsidP="00692A63">
      <w:pPr>
        <w:pStyle w:val="Title"/>
        <w:pBdr>
          <w:top w:val="single" w:sz="12" w:space="1" w:color="auto"/>
          <w:left w:val="single" w:sz="12" w:space="4" w:color="auto"/>
          <w:bottom w:val="single" w:sz="12" w:space="31" w:color="auto"/>
          <w:right w:val="single" w:sz="12" w:space="4" w:color="auto"/>
        </w:pBdr>
        <w:jc w:val="left"/>
        <w:rPr>
          <w:sz w:val="16"/>
          <w:szCs w:val="16"/>
        </w:rPr>
      </w:pPr>
    </w:p>
    <w:p w:rsidR="00692A63" w:rsidRPr="004E28BB" w:rsidRDefault="00692A63" w:rsidP="00692A63">
      <w:pPr>
        <w:pStyle w:val="Title"/>
        <w:pBdr>
          <w:top w:val="single" w:sz="12" w:space="1" w:color="auto"/>
          <w:left w:val="single" w:sz="12" w:space="4" w:color="auto"/>
          <w:bottom w:val="single" w:sz="12" w:space="31" w:color="auto"/>
          <w:right w:val="single" w:sz="12" w:space="4" w:color="auto"/>
        </w:pBdr>
        <w:rPr>
          <w:smallCaps/>
        </w:rPr>
      </w:pPr>
      <w:r w:rsidRPr="004E28BB">
        <w:t xml:space="preserve">RULE </w:t>
      </w:r>
      <w:r w:rsidRPr="004E28BB">
        <w:rPr>
          <w:smallCaps/>
        </w:rPr>
        <w:t xml:space="preserve">17 </w:t>
      </w:r>
      <w:r w:rsidRPr="004E28BB">
        <w:t xml:space="preserve">EXHIBIT </w:t>
      </w:r>
      <w:r w:rsidRPr="004E28BB">
        <w:rPr>
          <w:smallCaps/>
        </w:rPr>
        <w:t>10</w:t>
      </w:r>
    </w:p>
    <w:p w:rsidR="00692A63" w:rsidRPr="004E28BB" w:rsidRDefault="00692A63" w:rsidP="00692A63">
      <w:pPr>
        <w:pBdr>
          <w:top w:val="single" w:sz="12" w:space="1" w:color="auto"/>
          <w:left w:val="single" w:sz="12" w:space="4" w:color="auto"/>
          <w:bottom w:val="single" w:sz="12" w:space="31" w:color="auto"/>
          <w:right w:val="single" w:sz="12" w:space="4" w:color="auto"/>
        </w:pBdr>
        <w:jc w:val="center"/>
        <w:rPr>
          <w:b/>
          <w:bCs/>
          <w:smallCaps/>
          <w:sz w:val="36"/>
          <w:szCs w:val="36"/>
        </w:rPr>
      </w:pPr>
    </w:p>
    <w:p w:rsidR="00692A63" w:rsidRPr="004E28BB" w:rsidRDefault="00692A63" w:rsidP="00692A63">
      <w:pPr>
        <w:pStyle w:val="Title1"/>
        <w:pBdr>
          <w:top w:val="single" w:sz="12" w:space="1" w:color="auto"/>
          <w:left w:val="single" w:sz="12" w:space="4" w:color="auto"/>
          <w:bottom w:val="single" w:sz="12" w:space="31" w:color="auto"/>
          <w:right w:val="single" w:sz="12" w:space="4" w:color="auto"/>
        </w:pBdr>
        <w:jc w:val="center"/>
        <w:rPr>
          <w:sz w:val="44"/>
          <w:szCs w:val="44"/>
        </w:rPr>
      </w:pPr>
      <w:r w:rsidRPr="004E28BB">
        <w:rPr>
          <w:sz w:val="44"/>
          <w:szCs w:val="44"/>
        </w:rPr>
        <w:t>Traumatic Brain Injury</w:t>
      </w:r>
    </w:p>
    <w:p w:rsidR="00692A63" w:rsidRPr="004E28BB" w:rsidRDefault="00692A63" w:rsidP="00692A63">
      <w:pPr>
        <w:pStyle w:val="Title1"/>
        <w:pBdr>
          <w:top w:val="single" w:sz="12" w:space="1" w:color="auto"/>
          <w:left w:val="single" w:sz="12" w:space="4" w:color="auto"/>
          <w:bottom w:val="single" w:sz="12" w:space="31" w:color="auto"/>
          <w:right w:val="single" w:sz="12" w:space="4" w:color="auto"/>
        </w:pBdr>
        <w:jc w:val="center"/>
        <w:rPr>
          <w:sz w:val="44"/>
          <w:szCs w:val="44"/>
        </w:rPr>
      </w:pPr>
      <w:r w:rsidRPr="004E28BB">
        <w:rPr>
          <w:sz w:val="44"/>
          <w:szCs w:val="44"/>
        </w:rPr>
        <w:t>Medical Treatment Guidelines</w:t>
      </w:r>
    </w:p>
    <w:p w:rsidR="00692A63" w:rsidRPr="004E28BB" w:rsidRDefault="00692A63" w:rsidP="00692A63">
      <w:pPr>
        <w:pStyle w:val="Title1"/>
        <w:pBdr>
          <w:top w:val="single" w:sz="12" w:space="1" w:color="auto"/>
          <w:left w:val="single" w:sz="12" w:space="4" w:color="auto"/>
          <w:bottom w:val="single" w:sz="12" w:space="31" w:color="auto"/>
          <w:right w:val="single" w:sz="12" w:space="4" w:color="auto"/>
        </w:pBdr>
        <w:jc w:val="center"/>
        <w:rPr>
          <w:sz w:val="36"/>
          <w:szCs w:val="36"/>
        </w:rPr>
      </w:pPr>
      <w:r w:rsidRPr="004E28BB">
        <w:rPr>
          <w:sz w:val="36"/>
          <w:szCs w:val="36"/>
        </w:rPr>
        <w:t xml:space="preserve">Revised: </w:t>
      </w:r>
      <w:r w:rsidR="00445AE9">
        <w:rPr>
          <w:sz w:val="36"/>
          <w:szCs w:val="36"/>
        </w:rPr>
        <w:t>November 2</w:t>
      </w:r>
      <w:r w:rsidR="008A3581">
        <w:rPr>
          <w:sz w:val="36"/>
          <w:szCs w:val="36"/>
        </w:rPr>
        <w:t>6</w:t>
      </w:r>
      <w:r w:rsidRPr="004E28BB">
        <w:rPr>
          <w:sz w:val="36"/>
          <w:szCs w:val="36"/>
        </w:rPr>
        <w:t xml:space="preserve">, </w:t>
      </w:r>
      <w:r w:rsidR="008A3581" w:rsidRPr="004E28BB">
        <w:rPr>
          <w:sz w:val="36"/>
          <w:szCs w:val="36"/>
        </w:rPr>
        <w:t>20</w:t>
      </w:r>
      <w:r w:rsidR="008A3581">
        <w:rPr>
          <w:sz w:val="36"/>
          <w:szCs w:val="36"/>
        </w:rPr>
        <w:t>12</w:t>
      </w:r>
    </w:p>
    <w:p w:rsidR="00692A63" w:rsidRPr="004E28BB" w:rsidRDefault="00692A63" w:rsidP="00692A63">
      <w:pPr>
        <w:pStyle w:val="Title1"/>
        <w:pBdr>
          <w:top w:val="single" w:sz="12" w:space="1" w:color="auto"/>
          <w:left w:val="single" w:sz="12" w:space="4" w:color="auto"/>
          <w:bottom w:val="single" w:sz="12" w:space="31" w:color="auto"/>
          <w:right w:val="single" w:sz="12" w:space="4" w:color="auto"/>
        </w:pBdr>
        <w:jc w:val="center"/>
        <w:rPr>
          <w:sz w:val="36"/>
          <w:szCs w:val="36"/>
        </w:rPr>
      </w:pPr>
      <w:r w:rsidRPr="004E28BB">
        <w:rPr>
          <w:sz w:val="36"/>
          <w:szCs w:val="36"/>
        </w:rPr>
        <w:t>Effective: January 1</w:t>
      </w:r>
      <w:r w:rsidR="005C209B">
        <w:rPr>
          <w:sz w:val="36"/>
          <w:szCs w:val="36"/>
        </w:rPr>
        <w:t>4</w:t>
      </w:r>
      <w:r w:rsidRPr="004E28BB">
        <w:rPr>
          <w:sz w:val="36"/>
          <w:szCs w:val="36"/>
        </w:rPr>
        <w:t xml:space="preserve">, </w:t>
      </w:r>
      <w:r w:rsidR="008A3581" w:rsidRPr="004E28BB">
        <w:rPr>
          <w:sz w:val="36"/>
          <w:szCs w:val="36"/>
        </w:rPr>
        <w:t>20</w:t>
      </w:r>
      <w:r w:rsidR="008A3581">
        <w:rPr>
          <w:sz w:val="36"/>
          <w:szCs w:val="36"/>
        </w:rPr>
        <w:t>13</w:t>
      </w:r>
    </w:p>
    <w:p w:rsidR="008A3581" w:rsidRDefault="008A3581" w:rsidP="008A3581">
      <w:pPr>
        <w:pStyle w:val="Title1"/>
        <w:pBdr>
          <w:top w:val="single" w:sz="12" w:space="1" w:color="auto"/>
          <w:left w:val="single" w:sz="12" w:space="4" w:color="auto"/>
          <w:bottom w:val="single" w:sz="12" w:space="31" w:color="auto"/>
          <w:right w:val="single" w:sz="12" w:space="4" w:color="auto"/>
        </w:pBdr>
        <w:jc w:val="center"/>
        <w:rPr>
          <w:b w:val="0"/>
          <w:bCs w:val="0"/>
          <w:sz w:val="20"/>
          <w:szCs w:val="20"/>
        </w:rPr>
      </w:pPr>
      <w:r>
        <w:rPr>
          <w:b w:val="0"/>
          <w:bCs w:val="0"/>
          <w:sz w:val="20"/>
          <w:szCs w:val="20"/>
        </w:rPr>
        <w:t>Revised: September 29, 2005</w:t>
      </w:r>
      <w:r>
        <w:rPr>
          <w:b w:val="0"/>
          <w:bCs w:val="0"/>
          <w:sz w:val="20"/>
          <w:szCs w:val="20"/>
        </w:rPr>
        <w:tab/>
        <w:t>Effective: January 1, 2006</w:t>
      </w:r>
    </w:p>
    <w:p w:rsidR="00692A63" w:rsidRPr="004E28BB" w:rsidRDefault="008A3581" w:rsidP="008A3581">
      <w:pPr>
        <w:pStyle w:val="Title1"/>
        <w:pBdr>
          <w:top w:val="single" w:sz="12" w:space="1" w:color="auto"/>
          <w:left w:val="single" w:sz="12" w:space="4" w:color="auto"/>
          <w:bottom w:val="single" w:sz="12" w:space="31" w:color="auto"/>
          <w:right w:val="single" w:sz="12" w:space="4" w:color="auto"/>
        </w:pBdr>
        <w:jc w:val="center"/>
        <w:rPr>
          <w:b w:val="0"/>
          <w:bCs w:val="0"/>
          <w:sz w:val="20"/>
          <w:szCs w:val="20"/>
        </w:rPr>
      </w:pPr>
      <w:r>
        <w:rPr>
          <w:b w:val="0"/>
          <w:bCs w:val="0"/>
          <w:sz w:val="20"/>
          <w:szCs w:val="20"/>
        </w:rPr>
        <w:t>Revised</w:t>
      </w:r>
      <w:r w:rsidR="00692A63" w:rsidRPr="004E28BB">
        <w:rPr>
          <w:b w:val="0"/>
          <w:bCs w:val="0"/>
          <w:sz w:val="20"/>
          <w:szCs w:val="20"/>
        </w:rPr>
        <w:t>: January 8, 1998</w:t>
      </w:r>
      <w:r w:rsidR="00692A63" w:rsidRPr="004E28BB">
        <w:rPr>
          <w:b w:val="0"/>
          <w:bCs w:val="0"/>
          <w:sz w:val="20"/>
          <w:szCs w:val="20"/>
        </w:rPr>
        <w:tab/>
        <w:t>Effective: March 15, 1998</w:t>
      </w:r>
    </w:p>
    <w:p w:rsidR="00692A63" w:rsidRPr="004E28BB" w:rsidRDefault="00692A63" w:rsidP="008A3581">
      <w:pPr>
        <w:pStyle w:val="Title1"/>
        <w:pBdr>
          <w:top w:val="single" w:sz="12" w:space="1" w:color="auto"/>
          <w:left w:val="single" w:sz="12" w:space="4" w:color="auto"/>
          <w:bottom w:val="single" w:sz="12" w:space="31" w:color="auto"/>
          <w:right w:val="single" w:sz="12" w:space="4" w:color="auto"/>
        </w:pBdr>
        <w:spacing w:before="120"/>
        <w:jc w:val="center"/>
        <w:rPr>
          <w:b w:val="0"/>
          <w:bCs w:val="0"/>
          <w:sz w:val="20"/>
          <w:szCs w:val="20"/>
        </w:rPr>
      </w:pPr>
      <w:r w:rsidRPr="004E28BB">
        <w:rPr>
          <w:b w:val="0"/>
          <w:bCs w:val="0"/>
          <w:sz w:val="20"/>
          <w:szCs w:val="20"/>
        </w:rPr>
        <w:t>Revised: March 1, 2005</w:t>
      </w:r>
      <w:r w:rsidR="008A3581">
        <w:rPr>
          <w:b w:val="0"/>
          <w:bCs w:val="0"/>
          <w:sz w:val="20"/>
          <w:szCs w:val="20"/>
        </w:rPr>
        <w:tab/>
        <w:t xml:space="preserve">            </w:t>
      </w:r>
      <w:r w:rsidRPr="004E28BB">
        <w:rPr>
          <w:b w:val="0"/>
          <w:bCs w:val="0"/>
          <w:sz w:val="20"/>
          <w:szCs w:val="20"/>
        </w:rPr>
        <w:tab/>
        <w:t>Effective: May 1, 2005</w:t>
      </w:r>
    </w:p>
    <w:p w:rsidR="00692A63" w:rsidRPr="004E28BB" w:rsidRDefault="00692A63" w:rsidP="00692A63">
      <w:pPr>
        <w:pStyle w:val="Title1"/>
        <w:pBdr>
          <w:top w:val="single" w:sz="12" w:space="1" w:color="auto"/>
          <w:left w:val="single" w:sz="12" w:space="4" w:color="auto"/>
          <w:bottom w:val="single" w:sz="12" w:space="31" w:color="auto"/>
          <w:right w:val="single" w:sz="12" w:space="4" w:color="auto"/>
        </w:pBdr>
        <w:tabs>
          <w:tab w:val="left" w:pos="4110"/>
        </w:tabs>
        <w:spacing w:before="120"/>
        <w:rPr>
          <w:sz w:val="36"/>
          <w:szCs w:val="36"/>
        </w:rPr>
      </w:pPr>
      <w:r w:rsidRPr="004E28BB">
        <w:rPr>
          <w:sz w:val="36"/>
          <w:szCs w:val="36"/>
        </w:rPr>
        <w:tab/>
      </w:r>
      <w:r w:rsidRPr="004E28BB">
        <w:rPr>
          <w:sz w:val="36"/>
          <w:szCs w:val="36"/>
        </w:rPr>
        <w:tab/>
      </w:r>
      <w:r w:rsidRPr="004E28BB">
        <w:rPr>
          <w:sz w:val="36"/>
          <w:szCs w:val="36"/>
        </w:rPr>
        <w:tab/>
      </w:r>
      <w:r w:rsidRPr="004E28BB">
        <w:rPr>
          <w:sz w:val="36"/>
          <w:szCs w:val="36"/>
        </w:rPr>
        <w:tab/>
      </w:r>
    </w:p>
    <w:p w:rsidR="00692A63" w:rsidRPr="004E28BB" w:rsidRDefault="00692A63" w:rsidP="00692A63">
      <w:pPr>
        <w:pStyle w:val="Title1"/>
        <w:pBdr>
          <w:top w:val="single" w:sz="12" w:space="1" w:color="auto"/>
          <w:left w:val="single" w:sz="12" w:space="4" w:color="auto"/>
          <w:bottom w:val="single" w:sz="12" w:space="31" w:color="auto"/>
          <w:right w:val="single" w:sz="12" w:space="4" w:color="auto"/>
        </w:pBdr>
        <w:jc w:val="center"/>
        <w:rPr>
          <w:b w:val="0"/>
          <w:bCs w:val="0"/>
          <w:i/>
          <w:iCs/>
          <w:sz w:val="32"/>
          <w:szCs w:val="32"/>
        </w:rPr>
      </w:pPr>
      <w:r w:rsidRPr="004E28BB">
        <w:rPr>
          <w:b w:val="0"/>
          <w:bCs w:val="0"/>
          <w:i/>
          <w:iCs/>
          <w:sz w:val="32"/>
          <w:szCs w:val="32"/>
        </w:rPr>
        <w:t>Presented by:</w:t>
      </w:r>
    </w:p>
    <w:p w:rsidR="00692A63" w:rsidRPr="004E28BB" w:rsidRDefault="00692A63" w:rsidP="00692A63">
      <w:pPr>
        <w:pStyle w:val="Title1"/>
        <w:pBdr>
          <w:top w:val="single" w:sz="12" w:space="1" w:color="auto"/>
          <w:left w:val="single" w:sz="12" w:space="4" w:color="auto"/>
          <w:bottom w:val="single" w:sz="12" w:space="31" w:color="auto"/>
          <w:right w:val="single" w:sz="12" w:space="4" w:color="auto"/>
        </w:pBdr>
        <w:jc w:val="center"/>
        <w:rPr>
          <w:sz w:val="22"/>
          <w:szCs w:val="22"/>
        </w:rPr>
      </w:pPr>
    </w:p>
    <w:p w:rsidR="00692A63" w:rsidRPr="004E28BB" w:rsidRDefault="00692A63" w:rsidP="00692A63">
      <w:pPr>
        <w:pStyle w:val="Title1"/>
        <w:pBdr>
          <w:top w:val="single" w:sz="12" w:space="1" w:color="auto"/>
          <w:left w:val="single" w:sz="12" w:space="4" w:color="auto"/>
          <w:bottom w:val="single" w:sz="12" w:space="31" w:color="auto"/>
          <w:right w:val="single" w:sz="12" w:space="4" w:color="auto"/>
        </w:pBdr>
        <w:jc w:val="center"/>
        <w:rPr>
          <w:sz w:val="32"/>
          <w:szCs w:val="32"/>
        </w:rPr>
      </w:pPr>
      <w:r w:rsidRPr="004E28BB">
        <w:rPr>
          <w:sz w:val="32"/>
          <w:szCs w:val="32"/>
        </w:rPr>
        <w:t xml:space="preserve">State of </w:t>
      </w:r>
      <w:smartTag w:uri="urn:schemas-microsoft-com:office:smarttags" w:element="place">
        <w:smartTag w:uri="urn:schemas-microsoft-com:office:smarttags" w:element="State">
          <w:r w:rsidRPr="004E28BB">
            <w:rPr>
              <w:sz w:val="32"/>
              <w:szCs w:val="32"/>
            </w:rPr>
            <w:t>Colorado</w:t>
          </w:r>
        </w:smartTag>
      </w:smartTag>
    </w:p>
    <w:p w:rsidR="00692A63" w:rsidRPr="004E28BB" w:rsidRDefault="00692A63" w:rsidP="00692A63">
      <w:pPr>
        <w:pStyle w:val="Title1"/>
        <w:pBdr>
          <w:top w:val="single" w:sz="12" w:space="1" w:color="auto"/>
          <w:left w:val="single" w:sz="12" w:space="4" w:color="auto"/>
          <w:bottom w:val="single" w:sz="12" w:space="31" w:color="auto"/>
          <w:right w:val="single" w:sz="12" w:space="4" w:color="auto"/>
        </w:pBdr>
        <w:jc w:val="center"/>
        <w:rPr>
          <w:sz w:val="32"/>
          <w:szCs w:val="32"/>
        </w:rPr>
      </w:pPr>
      <w:r w:rsidRPr="004E28BB">
        <w:rPr>
          <w:sz w:val="32"/>
          <w:szCs w:val="32"/>
        </w:rPr>
        <w:t>Department of Labor and Employment</w:t>
      </w:r>
    </w:p>
    <w:p w:rsidR="00692A63" w:rsidRPr="004E28BB" w:rsidRDefault="00692A63" w:rsidP="00692A63">
      <w:pPr>
        <w:pStyle w:val="Title1"/>
        <w:pBdr>
          <w:top w:val="single" w:sz="12" w:space="1" w:color="auto"/>
          <w:left w:val="single" w:sz="12" w:space="4" w:color="auto"/>
          <w:bottom w:val="single" w:sz="12" w:space="31" w:color="auto"/>
          <w:right w:val="single" w:sz="12" w:space="4" w:color="auto"/>
        </w:pBdr>
        <w:spacing w:before="0"/>
        <w:jc w:val="center"/>
        <w:rPr>
          <w:sz w:val="32"/>
          <w:szCs w:val="32"/>
        </w:rPr>
      </w:pPr>
      <w:bookmarkStart w:id="0" w:name="_Toc41795613"/>
      <w:bookmarkStart w:id="1" w:name="_Toc41808371"/>
      <w:r w:rsidRPr="004E28BB">
        <w:rPr>
          <w:sz w:val="32"/>
          <w:szCs w:val="32"/>
        </w:rPr>
        <w:t>DIVISION OF WORKERS’ COMPENSATION</w:t>
      </w:r>
      <w:bookmarkEnd w:id="0"/>
      <w:bookmarkEnd w:id="1"/>
    </w:p>
    <w:p w:rsidR="00692A63" w:rsidRPr="004E28BB" w:rsidRDefault="00AF4148" w:rsidP="00692A63">
      <w:pPr>
        <w:pStyle w:val="Title1"/>
        <w:pBdr>
          <w:top w:val="single" w:sz="12" w:space="1" w:color="auto"/>
          <w:left w:val="single" w:sz="12" w:space="4" w:color="auto"/>
          <w:bottom w:val="single" w:sz="12" w:space="31" w:color="auto"/>
          <w:right w:val="single" w:sz="12" w:space="4" w:color="auto"/>
        </w:pBdr>
        <w:jc w:val="center"/>
        <w:rPr>
          <w:sz w:val="20"/>
          <w:szCs w:val="20"/>
        </w:rPr>
      </w:pPr>
      <w:r>
        <w:rPr>
          <w:noProof/>
        </w:rPr>
        <w:drawing>
          <wp:anchor distT="0" distB="0" distL="114300" distR="114300" simplePos="0" relativeHeight="251645952" behindDoc="1" locked="0" layoutInCell="1" allowOverlap="1">
            <wp:simplePos x="0" y="0"/>
            <wp:positionH relativeFrom="column">
              <wp:align>center</wp:align>
            </wp:positionH>
            <wp:positionV relativeFrom="paragraph">
              <wp:posOffset>90170</wp:posOffset>
            </wp:positionV>
            <wp:extent cx="1496695" cy="1396365"/>
            <wp:effectExtent l="0" t="0" r="0" b="0"/>
            <wp:wrapNone/>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6695" cy="1396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2A63" w:rsidRPr="004E28BB" w:rsidRDefault="00692A63" w:rsidP="00692A63">
      <w:pPr>
        <w:pStyle w:val="Title1"/>
        <w:pBdr>
          <w:top w:val="single" w:sz="12" w:space="1" w:color="auto"/>
          <w:left w:val="single" w:sz="12" w:space="4" w:color="auto"/>
          <w:bottom w:val="single" w:sz="12" w:space="31" w:color="auto"/>
          <w:right w:val="single" w:sz="12" w:space="4" w:color="auto"/>
        </w:pBdr>
        <w:jc w:val="center"/>
        <w:rPr>
          <w:sz w:val="36"/>
          <w:szCs w:val="36"/>
        </w:rPr>
      </w:pPr>
    </w:p>
    <w:p w:rsidR="00692A63" w:rsidRPr="004E28BB" w:rsidRDefault="00692A63" w:rsidP="00692A63">
      <w:pPr>
        <w:pStyle w:val="Title1"/>
        <w:pBdr>
          <w:top w:val="single" w:sz="12" w:space="1" w:color="auto"/>
          <w:left w:val="single" w:sz="12" w:space="4" w:color="auto"/>
          <w:bottom w:val="single" w:sz="12" w:space="31" w:color="auto"/>
          <w:right w:val="single" w:sz="12" w:space="4" w:color="auto"/>
        </w:pBdr>
        <w:jc w:val="center"/>
        <w:rPr>
          <w:sz w:val="36"/>
          <w:szCs w:val="36"/>
        </w:rPr>
      </w:pPr>
    </w:p>
    <w:p w:rsidR="00E268ED" w:rsidRPr="004E28BB" w:rsidRDefault="00E268ED" w:rsidP="00E268ED">
      <w:pPr>
        <w:jc w:val="center"/>
        <w:rPr>
          <w:b/>
          <w:bCs/>
          <w:caps/>
        </w:rPr>
      </w:pPr>
      <w:r w:rsidRPr="004E28BB">
        <w:br w:type="page"/>
      </w:r>
      <w:r w:rsidRPr="004E28BB">
        <w:rPr>
          <w:b/>
          <w:bCs/>
          <w:caps/>
        </w:rPr>
        <w:lastRenderedPageBreak/>
        <w:t>tABLE OF CONTENTS</w:t>
      </w:r>
    </w:p>
    <w:tbl>
      <w:tblPr>
        <w:tblW w:w="0" w:type="auto"/>
        <w:tblBorders>
          <w:bottom w:val="single" w:sz="4" w:space="0" w:color="auto"/>
        </w:tblBorders>
        <w:tblLook w:val="01E0" w:firstRow="1" w:lastRow="1" w:firstColumn="1" w:lastColumn="1" w:noHBand="0" w:noVBand="0"/>
      </w:tblPr>
      <w:tblGrid>
        <w:gridCol w:w="3192"/>
        <w:gridCol w:w="3192"/>
        <w:gridCol w:w="3192"/>
      </w:tblGrid>
      <w:tr w:rsidR="00E268ED" w:rsidRPr="00623A35" w:rsidTr="00623A35">
        <w:tc>
          <w:tcPr>
            <w:tcW w:w="3192" w:type="dxa"/>
          </w:tcPr>
          <w:p w:rsidR="00E268ED" w:rsidRPr="00623A35" w:rsidRDefault="00E268ED" w:rsidP="00E268ED">
            <w:pPr>
              <w:rPr>
                <w:b/>
                <w:bCs/>
                <w:caps/>
              </w:rPr>
            </w:pPr>
            <w:r w:rsidRPr="00623A35">
              <w:rPr>
                <w:b/>
                <w:bCs/>
                <w:caps/>
              </w:rPr>
              <w:t>sECTION</w:t>
            </w:r>
          </w:p>
        </w:tc>
        <w:tc>
          <w:tcPr>
            <w:tcW w:w="3192" w:type="dxa"/>
          </w:tcPr>
          <w:p w:rsidR="00E268ED" w:rsidRPr="00623A35" w:rsidRDefault="00E268ED" w:rsidP="00623A35">
            <w:pPr>
              <w:jc w:val="center"/>
              <w:rPr>
                <w:b/>
                <w:bCs/>
                <w:caps/>
              </w:rPr>
            </w:pPr>
            <w:r w:rsidRPr="00623A35">
              <w:rPr>
                <w:b/>
                <w:bCs/>
                <w:caps/>
              </w:rPr>
              <w:t>DESCRIPTION</w:t>
            </w:r>
          </w:p>
        </w:tc>
        <w:tc>
          <w:tcPr>
            <w:tcW w:w="3192" w:type="dxa"/>
          </w:tcPr>
          <w:p w:rsidR="00E268ED" w:rsidRPr="00623A35" w:rsidRDefault="00E268ED" w:rsidP="00623A35">
            <w:pPr>
              <w:jc w:val="right"/>
              <w:rPr>
                <w:b/>
                <w:bCs/>
                <w:caps/>
              </w:rPr>
            </w:pPr>
            <w:r w:rsidRPr="00623A35">
              <w:rPr>
                <w:b/>
                <w:bCs/>
                <w:caps/>
              </w:rPr>
              <w:t>PAGE</w:t>
            </w:r>
          </w:p>
        </w:tc>
      </w:tr>
    </w:tbl>
    <w:bookmarkStart w:id="2" w:name="_GoBack"/>
    <w:bookmarkEnd w:id="2"/>
    <w:p w:rsidR="00203DF3" w:rsidRDefault="00E268ED">
      <w:pPr>
        <w:pStyle w:val="TOC1"/>
        <w:tabs>
          <w:tab w:val="right" w:leader="dot" w:pos="9350"/>
        </w:tabs>
        <w:rPr>
          <w:rFonts w:asciiTheme="minorHAnsi" w:eastAsiaTheme="minorEastAsia" w:hAnsiTheme="minorHAnsi" w:cstheme="minorBidi"/>
          <w:b w:val="0"/>
          <w:bCs w:val="0"/>
          <w:caps w:val="0"/>
          <w:noProof/>
          <w:sz w:val="22"/>
          <w:szCs w:val="22"/>
        </w:rPr>
      </w:pPr>
      <w:r w:rsidRPr="004E28BB">
        <w:fldChar w:fldCharType="begin"/>
      </w:r>
      <w:r w:rsidRPr="004E28BB">
        <w:instrText xml:space="preserve"> TOC \h \z \t "Guide 1 - ABC,1,Guide 3 - abcd,3,Guide 2-123,2" </w:instrText>
      </w:r>
      <w:r w:rsidRPr="004E28BB">
        <w:fldChar w:fldCharType="separate"/>
      </w:r>
      <w:hyperlink w:anchor="_Toc394643161" w:history="1">
        <w:r w:rsidR="00203DF3" w:rsidRPr="00FA7B33">
          <w:rPr>
            <w:rStyle w:val="Hyperlink"/>
            <w:noProof/>
          </w:rPr>
          <w:t>a.</w:t>
        </w:r>
        <w:r w:rsidR="00203DF3">
          <w:rPr>
            <w:rFonts w:asciiTheme="minorHAnsi" w:eastAsiaTheme="minorEastAsia" w:hAnsiTheme="minorHAnsi" w:cstheme="minorBidi"/>
            <w:b w:val="0"/>
            <w:bCs w:val="0"/>
            <w:caps w:val="0"/>
            <w:noProof/>
            <w:sz w:val="22"/>
            <w:szCs w:val="22"/>
          </w:rPr>
          <w:tab/>
        </w:r>
        <w:r w:rsidR="00203DF3" w:rsidRPr="00FA7B33">
          <w:rPr>
            <w:rStyle w:val="Hyperlink"/>
            <w:noProof/>
          </w:rPr>
          <w:t>INTRODUCTION</w:t>
        </w:r>
        <w:r w:rsidR="00203DF3">
          <w:rPr>
            <w:noProof/>
            <w:webHidden/>
          </w:rPr>
          <w:tab/>
        </w:r>
        <w:r w:rsidR="00203DF3">
          <w:rPr>
            <w:noProof/>
            <w:webHidden/>
          </w:rPr>
          <w:fldChar w:fldCharType="begin"/>
        </w:r>
        <w:r w:rsidR="00203DF3">
          <w:rPr>
            <w:noProof/>
            <w:webHidden/>
          </w:rPr>
          <w:instrText xml:space="preserve"> PAGEREF _Toc394643161 \h </w:instrText>
        </w:r>
        <w:r w:rsidR="00203DF3">
          <w:rPr>
            <w:noProof/>
            <w:webHidden/>
          </w:rPr>
        </w:r>
        <w:r w:rsidR="00203DF3">
          <w:rPr>
            <w:noProof/>
            <w:webHidden/>
          </w:rPr>
          <w:fldChar w:fldCharType="separate"/>
        </w:r>
        <w:r w:rsidR="00203DF3">
          <w:rPr>
            <w:noProof/>
            <w:webHidden/>
          </w:rPr>
          <w:t>1</w:t>
        </w:r>
        <w:r w:rsidR="00203DF3">
          <w:rPr>
            <w:noProof/>
            <w:webHidden/>
          </w:rPr>
          <w:fldChar w:fldCharType="end"/>
        </w:r>
      </w:hyperlink>
    </w:p>
    <w:p w:rsidR="00203DF3" w:rsidRDefault="00203DF3">
      <w:pPr>
        <w:pStyle w:val="TOC1"/>
        <w:tabs>
          <w:tab w:val="right" w:leader="dot" w:pos="9350"/>
        </w:tabs>
        <w:rPr>
          <w:rFonts w:asciiTheme="minorHAnsi" w:eastAsiaTheme="minorEastAsia" w:hAnsiTheme="minorHAnsi" w:cstheme="minorBidi"/>
          <w:b w:val="0"/>
          <w:bCs w:val="0"/>
          <w:caps w:val="0"/>
          <w:noProof/>
          <w:sz w:val="22"/>
          <w:szCs w:val="22"/>
        </w:rPr>
      </w:pPr>
      <w:hyperlink w:anchor="_Toc394643162" w:history="1">
        <w:r w:rsidRPr="00FA7B33">
          <w:rPr>
            <w:rStyle w:val="Hyperlink"/>
            <w:noProof/>
          </w:rPr>
          <w:t>b.</w:t>
        </w:r>
        <w:r>
          <w:rPr>
            <w:rFonts w:asciiTheme="minorHAnsi" w:eastAsiaTheme="minorEastAsia" w:hAnsiTheme="minorHAnsi" w:cstheme="minorBidi"/>
            <w:b w:val="0"/>
            <w:bCs w:val="0"/>
            <w:caps w:val="0"/>
            <w:noProof/>
            <w:sz w:val="22"/>
            <w:szCs w:val="22"/>
          </w:rPr>
          <w:tab/>
        </w:r>
        <w:r w:rsidRPr="00FA7B33">
          <w:rPr>
            <w:rStyle w:val="Hyperlink"/>
            <w:noProof/>
          </w:rPr>
          <w:t>GENERAL GUIDELINE PRINCIPLES</w:t>
        </w:r>
        <w:r>
          <w:rPr>
            <w:noProof/>
            <w:webHidden/>
          </w:rPr>
          <w:tab/>
        </w:r>
        <w:r>
          <w:rPr>
            <w:noProof/>
            <w:webHidden/>
          </w:rPr>
          <w:fldChar w:fldCharType="begin"/>
        </w:r>
        <w:r>
          <w:rPr>
            <w:noProof/>
            <w:webHidden/>
          </w:rPr>
          <w:instrText xml:space="preserve"> PAGEREF _Toc394643162 \h </w:instrText>
        </w:r>
        <w:r>
          <w:rPr>
            <w:noProof/>
            <w:webHidden/>
          </w:rPr>
        </w:r>
        <w:r>
          <w:rPr>
            <w:noProof/>
            <w:webHidden/>
          </w:rPr>
          <w:fldChar w:fldCharType="separate"/>
        </w:r>
        <w:r>
          <w:rPr>
            <w:noProof/>
            <w:webHidden/>
          </w:rPr>
          <w:t>2</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163" w:history="1">
        <w:r w:rsidRPr="00FA7B33">
          <w:rPr>
            <w:rStyle w:val="Hyperlink"/>
            <w:noProof/>
          </w:rPr>
          <w:t>1.</w:t>
        </w:r>
        <w:r>
          <w:rPr>
            <w:rFonts w:asciiTheme="minorHAnsi" w:eastAsiaTheme="minorEastAsia" w:hAnsiTheme="minorHAnsi" w:cstheme="minorBidi"/>
            <w:caps w:val="0"/>
            <w:noProof/>
            <w:sz w:val="22"/>
            <w:szCs w:val="22"/>
          </w:rPr>
          <w:tab/>
        </w:r>
        <w:r w:rsidRPr="00FA7B33">
          <w:rPr>
            <w:rStyle w:val="Hyperlink"/>
            <w:noProof/>
          </w:rPr>
          <w:t>APPLICATION OF GUIDELINES</w:t>
        </w:r>
        <w:r>
          <w:rPr>
            <w:noProof/>
            <w:webHidden/>
          </w:rPr>
          <w:tab/>
        </w:r>
        <w:r>
          <w:rPr>
            <w:noProof/>
            <w:webHidden/>
          </w:rPr>
          <w:fldChar w:fldCharType="begin"/>
        </w:r>
        <w:r>
          <w:rPr>
            <w:noProof/>
            <w:webHidden/>
          </w:rPr>
          <w:instrText xml:space="preserve"> PAGEREF _Toc394643163 \h </w:instrText>
        </w:r>
        <w:r>
          <w:rPr>
            <w:noProof/>
            <w:webHidden/>
          </w:rPr>
        </w:r>
        <w:r>
          <w:rPr>
            <w:noProof/>
            <w:webHidden/>
          </w:rPr>
          <w:fldChar w:fldCharType="separate"/>
        </w:r>
        <w:r>
          <w:rPr>
            <w:noProof/>
            <w:webHidden/>
          </w:rPr>
          <w:t>2</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164" w:history="1">
        <w:r w:rsidRPr="00FA7B33">
          <w:rPr>
            <w:rStyle w:val="Hyperlink"/>
            <w:noProof/>
          </w:rPr>
          <w:t>2.</w:t>
        </w:r>
        <w:r>
          <w:rPr>
            <w:rFonts w:asciiTheme="minorHAnsi" w:eastAsiaTheme="minorEastAsia" w:hAnsiTheme="minorHAnsi" w:cstheme="minorBidi"/>
            <w:caps w:val="0"/>
            <w:noProof/>
            <w:sz w:val="22"/>
            <w:szCs w:val="22"/>
          </w:rPr>
          <w:tab/>
        </w:r>
        <w:r w:rsidRPr="00FA7B33">
          <w:rPr>
            <w:rStyle w:val="Hyperlink"/>
            <w:noProof/>
          </w:rPr>
          <w:t>EDUCATION</w:t>
        </w:r>
        <w:r>
          <w:rPr>
            <w:noProof/>
            <w:webHidden/>
          </w:rPr>
          <w:tab/>
        </w:r>
        <w:r>
          <w:rPr>
            <w:noProof/>
            <w:webHidden/>
          </w:rPr>
          <w:fldChar w:fldCharType="begin"/>
        </w:r>
        <w:r>
          <w:rPr>
            <w:noProof/>
            <w:webHidden/>
          </w:rPr>
          <w:instrText xml:space="preserve"> PAGEREF _Toc394643164 \h </w:instrText>
        </w:r>
        <w:r>
          <w:rPr>
            <w:noProof/>
            <w:webHidden/>
          </w:rPr>
        </w:r>
        <w:r>
          <w:rPr>
            <w:noProof/>
            <w:webHidden/>
          </w:rPr>
          <w:fldChar w:fldCharType="separate"/>
        </w:r>
        <w:r>
          <w:rPr>
            <w:noProof/>
            <w:webHidden/>
          </w:rPr>
          <w:t>2</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165" w:history="1">
        <w:r w:rsidRPr="00FA7B33">
          <w:rPr>
            <w:rStyle w:val="Hyperlink"/>
            <w:noProof/>
          </w:rPr>
          <w:t>3.</w:t>
        </w:r>
        <w:r>
          <w:rPr>
            <w:rFonts w:asciiTheme="minorHAnsi" w:eastAsiaTheme="minorEastAsia" w:hAnsiTheme="minorHAnsi" w:cstheme="minorBidi"/>
            <w:caps w:val="0"/>
            <w:noProof/>
            <w:sz w:val="22"/>
            <w:szCs w:val="22"/>
          </w:rPr>
          <w:tab/>
        </w:r>
        <w:r w:rsidRPr="00FA7B33">
          <w:rPr>
            <w:rStyle w:val="Hyperlink"/>
            <w:noProof/>
          </w:rPr>
          <w:t>TREATMENT PARAMETER DURATION</w:t>
        </w:r>
        <w:r>
          <w:rPr>
            <w:noProof/>
            <w:webHidden/>
          </w:rPr>
          <w:tab/>
        </w:r>
        <w:r>
          <w:rPr>
            <w:noProof/>
            <w:webHidden/>
          </w:rPr>
          <w:fldChar w:fldCharType="begin"/>
        </w:r>
        <w:r>
          <w:rPr>
            <w:noProof/>
            <w:webHidden/>
          </w:rPr>
          <w:instrText xml:space="preserve"> PAGEREF _Toc394643165 \h </w:instrText>
        </w:r>
        <w:r>
          <w:rPr>
            <w:noProof/>
            <w:webHidden/>
          </w:rPr>
        </w:r>
        <w:r>
          <w:rPr>
            <w:noProof/>
            <w:webHidden/>
          </w:rPr>
          <w:fldChar w:fldCharType="separate"/>
        </w:r>
        <w:r>
          <w:rPr>
            <w:noProof/>
            <w:webHidden/>
          </w:rPr>
          <w:t>2</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166" w:history="1">
        <w:r w:rsidRPr="00FA7B33">
          <w:rPr>
            <w:rStyle w:val="Hyperlink"/>
            <w:noProof/>
          </w:rPr>
          <w:t>4.</w:t>
        </w:r>
        <w:r>
          <w:rPr>
            <w:rFonts w:asciiTheme="minorHAnsi" w:eastAsiaTheme="minorEastAsia" w:hAnsiTheme="minorHAnsi" w:cstheme="minorBidi"/>
            <w:caps w:val="0"/>
            <w:noProof/>
            <w:sz w:val="22"/>
            <w:szCs w:val="22"/>
          </w:rPr>
          <w:tab/>
        </w:r>
        <w:r w:rsidRPr="00FA7B33">
          <w:rPr>
            <w:rStyle w:val="Hyperlink"/>
            <w:noProof/>
          </w:rPr>
          <w:t>ACTIVE INTERVENTIONS</w:t>
        </w:r>
        <w:r>
          <w:rPr>
            <w:noProof/>
            <w:webHidden/>
          </w:rPr>
          <w:tab/>
        </w:r>
        <w:r>
          <w:rPr>
            <w:noProof/>
            <w:webHidden/>
          </w:rPr>
          <w:fldChar w:fldCharType="begin"/>
        </w:r>
        <w:r>
          <w:rPr>
            <w:noProof/>
            <w:webHidden/>
          </w:rPr>
          <w:instrText xml:space="preserve"> PAGEREF _Toc394643166 \h </w:instrText>
        </w:r>
        <w:r>
          <w:rPr>
            <w:noProof/>
            <w:webHidden/>
          </w:rPr>
        </w:r>
        <w:r>
          <w:rPr>
            <w:noProof/>
            <w:webHidden/>
          </w:rPr>
          <w:fldChar w:fldCharType="separate"/>
        </w:r>
        <w:r>
          <w:rPr>
            <w:noProof/>
            <w:webHidden/>
          </w:rPr>
          <w:t>2</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167" w:history="1">
        <w:r w:rsidRPr="00FA7B33">
          <w:rPr>
            <w:rStyle w:val="Hyperlink"/>
            <w:noProof/>
          </w:rPr>
          <w:t>5.</w:t>
        </w:r>
        <w:r>
          <w:rPr>
            <w:rFonts w:asciiTheme="minorHAnsi" w:eastAsiaTheme="minorEastAsia" w:hAnsiTheme="minorHAnsi" w:cstheme="minorBidi"/>
            <w:caps w:val="0"/>
            <w:noProof/>
            <w:sz w:val="22"/>
            <w:szCs w:val="22"/>
          </w:rPr>
          <w:tab/>
        </w:r>
        <w:r w:rsidRPr="00FA7B33">
          <w:rPr>
            <w:rStyle w:val="Hyperlink"/>
            <w:noProof/>
          </w:rPr>
          <w:t>ACTIVE THERAPEUTIC EXERCISE PROGRAM</w:t>
        </w:r>
        <w:r>
          <w:rPr>
            <w:noProof/>
            <w:webHidden/>
          </w:rPr>
          <w:tab/>
        </w:r>
        <w:r>
          <w:rPr>
            <w:noProof/>
            <w:webHidden/>
          </w:rPr>
          <w:fldChar w:fldCharType="begin"/>
        </w:r>
        <w:r>
          <w:rPr>
            <w:noProof/>
            <w:webHidden/>
          </w:rPr>
          <w:instrText xml:space="preserve"> PAGEREF _Toc394643167 \h </w:instrText>
        </w:r>
        <w:r>
          <w:rPr>
            <w:noProof/>
            <w:webHidden/>
          </w:rPr>
        </w:r>
        <w:r>
          <w:rPr>
            <w:noProof/>
            <w:webHidden/>
          </w:rPr>
          <w:fldChar w:fldCharType="separate"/>
        </w:r>
        <w:r>
          <w:rPr>
            <w:noProof/>
            <w:webHidden/>
          </w:rPr>
          <w:t>2</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168" w:history="1">
        <w:r w:rsidRPr="00FA7B33">
          <w:rPr>
            <w:rStyle w:val="Hyperlink"/>
            <w:noProof/>
          </w:rPr>
          <w:t>6.</w:t>
        </w:r>
        <w:r>
          <w:rPr>
            <w:rFonts w:asciiTheme="minorHAnsi" w:eastAsiaTheme="minorEastAsia" w:hAnsiTheme="minorHAnsi" w:cstheme="minorBidi"/>
            <w:caps w:val="0"/>
            <w:noProof/>
            <w:sz w:val="22"/>
            <w:szCs w:val="22"/>
          </w:rPr>
          <w:tab/>
        </w:r>
        <w:r w:rsidRPr="00FA7B33">
          <w:rPr>
            <w:rStyle w:val="Hyperlink"/>
            <w:noProof/>
          </w:rPr>
          <w:t>POSITIVE PATIENT RESPONSE</w:t>
        </w:r>
        <w:r>
          <w:rPr>
            <w:noProof/>
            <w:webHidden/>
          </w:rPr>
          <w:tab/>
        </w:r>
        <w:r>
          <w:rPr>
            <w:noProof/>
            <w:webHidden/>
          </w:rPr>
          <w:fldChar w:fldCharType="begin"/>
        </w:r>
        <w:r>
          <w:rPr>
            <w:noProof/>
            <w:webHidden/>
          </w:rPr>
          <w:instrText xml:space="preserve"> PAGEREF _Toc394643168 \h </w:instrText>
        </w:r>
        <w:r>
          <w:rPr>
            <w:noProof/>
            <w:webHidden/>
          </w:rPr>
        </w:r>
        <w:r>
          <w:rPr>
            <w:noProof/>
            <w:webHidden/>
          </w:rPr>
          <w:fldChar w:fldCharType="separate"/>
        </w:r>
        <w:r>
          <w:rPr>
            <w:noProof/>
            <w:webHidden/>
          </w:rPr>
          <w:t>2</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169" w:history="1">
        <w:r w:rsidRPr="00FA7B33">
          <w:rPr>
            <w:rStyle w:val="Hyperlink"/>
            <w:noProof/>
          </w:rPr>
          <w:t>7.</w:t>
        </w:r>
        <w:r>
          <w:rPr>
            <w:rFonts w:asciiTheme="minorHAnsi" w:eastAsiaTheme="minorEastAsia" w:hAnsiTheme="minorHAnsi" w:cstheme="minorBidi"/>
            <w:caps w:val="0"/>
            <w:noProof/>
            <w:sz w:val="22"/>
            <w:szCs w:val="22"/>
          </w:rPr>
          <w:tab/>
        </w:r>
        <w:r w:rsidRPr="00FA7B33">
          <w:rPr>
            <w:rStyle w:val="Hyperlink"/>
            <w:noProof/>
          </w:rPr>
          <w:t>RE-EVALUATE TREATMENT EVERY THREE TO FOUR WEEKS</w:t>
        </w:r>
        <w:r>
          <w:rPr>
            <w:noProof/>
            <w:webHidden/>
          </w:rPr>
          <w:tab/>
        </w:r>
        <w:r>
          <w:rPr>
            <w:noProof/>
            <w:webHidden/>
          </w:rPr>
          <w:fldChar w:fldCharType="begin"/>
        </w:r>
        <w:r>
          <w:rPr>
            <w:noProof/>
            <w:webHidden/>
          </w:rPr>
          <w:instrText xml:space="preserve"> PAGEREF _Toc394643169 \h </w:instrText>
        </w:r>
        <w:r>
          <w:rPr>
            <w:noProof/>
            <w:webHidden/>
          </w:rPr>
        </w:r>
        <w:r>
          <w:rPr>
            <w:noProof/>
            <w:webHidden/>
          </w:rPr>
          <w:fldChar w:fldCharType="separate"/>
        </w:r>
        <w:r>
          <w:rPr>
            <w:noProof/>
            <w:webHidden/>
          </w:rPr>
          <w:t>2</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170" w:history="1">
        <w:r w:rsidRPr="00FA7B33">
          <w:rPr>
            <w:rStyle w:val="Hyperlink"/>
            <w:noProof/>
          </w:rPr>
          <w:t>8.</w:t>
        </w:r>
        <w:r>
          <w:rPr>
            <w:rFonts w:asciiTheme="minorHAnsi" w:eastAsiaTheme="minorEastAsia" w:hAnsiTheme="minorHAnsi" w:cstheme="minorBidi"/>
            <w:caps w:val="0"/>
            <w:noProof/>
            <w:sz w:val="22"/>
            <w:szCs w:val="22"/>
          </w:rPr>
          <w:tab/>
        </w:r>
        <w:r w:rsidRPr="00FA7B33">
          <w:rPr>
            <w:rStyle w:val="Hyperlink"/>
            <w:noProof/>
          </w:rPr>
          <w:t>SURGICAL INTERVENTIONS</w:t>
        </w:r>
        <w:r>
          <w:rPr>
            <w:noProof/>
            <w:webHidden/>
          </w:rPr>
          <w:tab/>
        </w:r>
        <w:r>
          <w:rPr>
            <w:noProof/>
            <w:webHidden/>
          </w:rPr>
          <w:fldChar w:fldCharType="begin"/>
        </w:r>
        <w:r>
          <w:rPr>
            <w:noProof/>
            <w:webHidden/>
          </w:rPr>
          <w:instrText xml:space="preserve"> PAGEREF _Toc394643170 \h </w:instrText>
        </w:r>
        <w:r>
          <w:rPr>
            <w:noProof/>
            <w:webHidden/>
          </w:rPr>
        </w:r>
        <w:r>
          <w:rPr>
            <w:noProof/>
            <w:webHidden/>
          </w:rPr>
          <w:fldChar w:fldCharType="separate"/>
        </w:r>
        <w:r>
          <w:rPr>
            <w:noProof/>
            <w:webHidden/>
          </w:rPr>
          <w:t>3</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171" w:history="1">
        <w:r w:rsidRPr="00FA7B33">
          <w:rPr>
            <w:rStyle w:val="Hyperlink"/>
            <w:noProof/>
          </w:rPr>
          <w:t>9.</w:t>
        </w:r>
        <w:r>
          <w:rPr>
            <w:rFonts w:asciiTheme="minorHAnsi" w:eastAsiaTheme="minorEastAsia" w:hAnsiTheme="minorHAnsi" w:cstheme="minorBidi"/>
            <w:caps w:val="0"/>
            <w:noProof/>
            <w:sz w:val="22"/>
            <w:szCs w:val="22"/>
          </w:rPr>
          <w:tab/>
        </w:r>
        <w:r w:rsidRPr="00FA7B33">
          <w:rPr>
            <w:rStyle w:val="Hyperlink"/>
            <w:noProof/>
          </w:rPr>
          <w:t>RETURN TO WORK:</w:t>
        </w:r>
        <w:r>
          <w:rPr>
            <w:noProof/>
            <w:webHidden/>
          </w:rPr>
          <w:tab/>
        </w:r>
        <w:r>
          <w:rPr>
            <w:noProof/>
            <w:webHidden/>
          </w:rPr>
          <w:fldChar w:fldCharType="begin"/>
        </w:r>
        <w:r>
          <w:rPr>
            <w:noProof/>
            <w:webHidden/>
          </w:rPr>
          <w:instrText xml:space="preserve"> PAGEREF _Toc394643171 \h </w:instrText>
        </w:r>
        <w:r>
          <w:rPr>
            <w:noProof/>
            <w:webHidden/>
          </w:rPr>
        </w:r>
        <w:r>
          <w:rPr>
            <w:noProof/>
            <w:webHidden/>
          </w:rPr>
          <w:fldChar w:fldCharType="separate"/>
        </w:r>
        <w:r>
          <w:rPr>
            <w:noProof/>
            <w:webHidden/>
          </w:rPr>
          <w:t>3</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172" w:history="1">
        <w:r w:rsidRPr="00FA7B33">
          <w:rPr>
            <w:rStyle w:val="Hyperlink"/>
            <w:noProof/>
          </w:rPr>
          <w:t>10.</w:t>
        </w:r>
        <w:r>
          <w:rPr>
            <w:rFonts w:asciiTheme="minorHAnsi" w:eastAsiaTheme="minorEastAsia" w:hAnsiTheme="minorHAnsi" w:cstheme="minorBidi"/>
            <w:caps w:val="0"/>
            <w:noProof/>
            <w:sz w:val="22"/>
            <w:szCs w:val="22"/>
          </w:rPr>
          <w:tab/>
        </w:r>
        <w:r w:rsidRPr="00FA7B33">
          <w:rPr>
            <w:rStyle w:val="Hyperlink"/>
            <w:noProof/>
          </w:rPr>
          <w:t>DELAYED RECOVERY</w:t>
        </w:r>
        <w:r>
          <w:rPr>
            <w:noProof/>
            <w:webHidden/>
          </w:rPr>
          <w:tab/>
        </w:r>
        <w:r>
          <w:rPr>
            <w:noProof/>
            <w:webHidden/>
          </w:rPr>
          <w:fldChar w:fldCharType="begin"/>
        </w:r>
        <w:r>
          <w:rPr>
            <w:noProof/>
            <w:webHidden/>
          </w:rPr>
          <w:instrText xml:space="preserve"> PAGEREF _Toc394643172 \h </w:instrText>
        </w:r>
        <w:r>
          <w:rPr>
            <w:noProof/>
            <w:webHidden/>
          </w:rPr>
        </w:r>
        <w:r>
          <w:rPr>
            <w:noProof/>
            <w:webHidden/>
          </w:rPr>
          <w:fldChar w:fldCharType="separate"/>
        </w:r>
        <w:r>
          <w:rPr>
            <w:noProof/>
            <w:webHidden/>
          </w:rPr>
          <w:t>3</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173" w:history="1">
        <w:r w:rsidRPr="00FA7B33">
          <w:rPr>
            <w:rStyle w:val="Hyperlink"/>
            <w:noProof/>
          </w:rPr>
          <w:t>11.</w:t>
        </w:r>
        <w:r>
          <w:rPr>
            <w:rFonts w:asciiTheme="minorHAnsi" w:eastAsiaTheme="minorEastAsia" w:hAnsiTheme="minorHAnsi" w:cstheme="minorBidi"/>
            <w:caps w:val="0"/>
            <w:noProof/>
            <w:sz w:val="22"/>
            <w:szCs w:val="22"/>
          </w:rPr>
          <w:tab/>
        </w:r>
        <w:r w:rsidRPr="00FA7B33">
          <w:rPr>
            <w:rStyle w:val="Hyperlink"/>
            <w:noProof/>
          </w:rPr>
          <w:t>GUIDELINE RECOMMENDATIONS AND INCLUSION OF MEDICAL EVIDENCE</w:t>
        </w:r>
        <w:r>
          <w:rPr>
            <w:noProof/>
            <w:webHidden/>
          </w:rPr>
          <w:tab/>
        </w:r>
        <w:r>
          <w:rPr>
            <w:noProof/>
            <w:webHidden/>
          </w:rPr>
          <w:fldChar w:fldCharType="begin"/>
        </w:r>
        <w:r>
          <w:rPr>
            <w:noProof/>
            <w:webHidden/>
          </w:rPr>
          <w:instrText xml:space="preserve"> PAGEREF _Toc394643173 \h </w:instrText>
        </w:r>
        <w:r>
          <w:rPr>
            <w:noProof/>
            <w:webHidden/>
          </w:rPr>
        </w:r>
        <w:r>
          <w:rPr>
            <w:noProof/>
            <w:webHidden/>
          </w:rPr>
          <w:fldChar w:fldCharType="separate"/>
        </w:r>
        <w:r>
          <w:rPr>
            <w:noProof/>
            <w:webHidden/>
          </w:rPr>
          <w:t>3</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174" w:history="1">
        <w:r w:rsidRPr="00FA7B33">
          <w:rPr>
            <w:rStyle w:val="Hyperlink"/>
            <w:noProof/>
          </w:rPr>
          <w:t>12.</w:t>
        </w:r>
        <w:r>
          <w:rPr>
            <w:rFonts w:asciiTheme="minorHAnsi" w:eastAsiaTheme="minorEastAsia" w:hAnsiTheme="minorHAnsi" w:cstheme="minorBidi"/>
            <w:caps w:val="0"/>
            <w:noProof/>
            <w:sz w:val="22"/>
            <w:szCs w:val="22"/>
          </w:rPr>
          <w:tab/>
        </w:r>
        <w:r w:rsidRPr="00FA7B33">
          <w:rPr>
            <w:rStyle w:val="Hyperlink"/>
            <w:noProof/>
          </w:rPr>
          <w:t>PoST MAXIMUM MEDICAL IMPROVEMENT (MMI) CARE</w:t>
        </w:r>
        <w:r>
          <w:rPr>
            <w:noProof/>
            <w:webHidden/>
          </w:rPr>
          <w:tab/>
        </w:r>
        <w:r>
          <w:rPr>
            <w:noProof/>
            <w:webHidden/>
          </w:rPr>
          <w:fldChar w:fldCharType="begin"/>
        </w:r>
        <w:r>
          <w:rPr>
            <w:noProof/>
            <w:webHidden/>
          </w:rPr>
          <w:instrText xml:space="preserve"> PAGEREF _Toc394643174 \h </w:instrText>
        </w:r>
        <w:r>
          <w:rPr>
            <w:noProof/>
            <w:webHidden/>
          </w:rPr>
        </w:r>
        <w:r>
          <w:rPr>
            <w:noProof/>
            <w:webHidden/>
          </w:rPr>
          <w:fldChar w:fldCharType="separate"/>
        </w:r>
        <w:r>
          <w:rPr>
            <w:noProof/>
            <w:webHidden/>
          </w:rPr>
          <w:t>4</w:t>
        </w:r>
        <w:r>
          <w:rPr>
            <w:noProof/>
            <w:webHidden/>
          </w:rPr>
          <w:fldChar w:fldCharType="end"/>
        </w:r>
      </w:hyperlink>
    </w:p>
    <w:p w:rsidR="00203DF3" w:rsidRDefault="00203DF3">
      <w:pPr>
        <w:pStyle w:val="TOC1"/>
        <w:tabs>
          <w:tab w:val="right" w:leader="dot" w:pos="9350"/>
        </w:tabs>
        <w:rPr>
          <w:rFonts w:asciiTheme="minorHAnsi" w:eastAsiaTheme="minorEastAsia" w:hAnsiTheme="minorHAnsi" w:cstheme="minorBidi"/>
          <w:b w:val="0"/>
          <w:bCs w:val="0"/>
          <w:caps w:val="0"/>
          <w:noProof/>
          <w:sz w:val="22"/>
          <w:szCs w:val="22"/>
        </w:rPr>
      </w:pPr>
      <w:hyperlink w:anchor="_Toc394643175" w:history="1">
        <w:r w:rsidRPr="00FA7B33">
          <w:rPr>
            <w:rStyle w:val="Hyperlink"/>
            <w:noProof/>
          </w:rPr>
          <w:t>c.</w:t>
        </w:r>
        <w:r>
          <w:rPr>
            <w:rFonts w:asciiTheme="minorHAnsi" w:eastAsiaTheme="minorEastAsia" w:hAnsiTheme="minorHAnsi" w:cstheme="minorBidi"/>
            <w:b w:val="0"/>
            <w:bCs w:val="0"/>
            <w:caps w:val="0"/>
            <w:noProof/>
            <w:sz w:val="22"/>
            <w:szCs w:val="22"/>
          </w:rPr>
          <w:tab/>
        </w:r>
        <w:r w:rsidRPr="00FA7B33">
          <w:rPr>
            <w:rStyle w:val="Hyperlink"/>
            <w:noProof/>
          </w:rPr>
          <w:t>INTRODUCTION TO TRAUMATIC BRAIN INJURY AND PHILOSOPHY OF CARE</w:t>
        </w:r>
        <w:r>
          <w:rPr>
            <w:noProof/>
            <w:webHidden/>
          </w:rPr>
          <w:tab/>
        </w:r>
        <w:r>
          <w:rPr>
            <w:noProof/>
            <w:webHidden/>
          </w:rPr>
          <w:fldChar w:fldCharType="begin"/>
        </w:r>
        <w:r>
          <w:rPr>
            <w:noProof/>
            <w:webHidden/>
          </w:rPr>
          <w:instrText xml:space="preserve"> PAGEREF _Toc394643175 \h </w:instrText>
        </w:r>
        <w:r>
          <w:rPr>
            <w:noProof/>
            <w:webHidden/>
          </w:rPr>
        </w:r>
        <w:r>
          <w:rPr>
            <w:noProof/>
            <w:webHidden/>
          </w:rPr>
          <w:fldChar w:fldCharType="separate"/>
        </w:r>
        <w:r>
          <w:rPr>
            <w:noProof/>
            <w:webHidden/>
          </w:rPr>
          <w:t>5</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176" w:history="1">
        <w:r w:rsidRPr="00FA7B33">
          <w:rPr>
            <w:rStyle w:val="Hyperlink"/>
            <w:noProof/>
          </w:rPr>
          <w:t>1.</w:t>
        </w:r>
        <w:r>
          <w:rPr>
            <w:rFonts w:asciiTheme="minorHAnsi" w:eastAsiaTheme="minorEastAsia" w:hAnsiTheme="minorHAnsi" w:cstheme="minorBidi"/>
            <w:caps w:val="0"/>
            <w:noProof/>
            <w:sz w:val="22"/>
            <w:szCs w:val="22"/>
          </w:rPr>
          <w:tab/>
        </w:r>
        <w:r w:rsidRPr="00FA7B33">
          <w:rPr>
            <w:rStyle w:val="Hyperlink"/>
            <w:noProof/>
          </w:rPr>
          <w:t>DEFINITIONS AND DIAGNOSIS OF TRAUMATIC BRAIN INJURY</w:t>
        </w:r>
        <w:r>
          <w:rPr>
            <w:noProof/>
            <w:webHidden/>
          </w:rPr>
          <w:tab/>
        </w:r>
        <w:r>
          <w:rPr>
            <w:noProof/>
            <w:webHidden/>
          </w:rPr>
          <w:fldChar w:fldCharType="begin"/>
        </w:r>
        <w:r>
          <w:rPr>
            <w:noProof/>
            <w:webHidden/>
          </w:rPr>
          <w:instrText xml:space="preserve"> PAGEREF _Toc394643176 \h </w:instrText>
        </w:r>
        <w:r>
          <w:rPr>
            <w:noProof/>
            <w:webHidden/>
          </w:rPr>
        </w:r>
        <w:r>
          <w:rPr>
            <w:noProof/>
            <w:webHidden/>
          </w:rPr>
          <w:fldChar w:fldCharType="separate"/>
        </w:r>
        <w:r>
          <w:rPr>
            <w:noProof/>
            <w:webHidden/>
          </w:rPr>
          <w:t>5</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177"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Mild TBI (MTBI)</w:t>
        </w:r>
        <w:r>
          <w:rPr>
            <w:noProof/>
            <w:webHidden/>
          </w:rPr>
          <w:tab/>
        </w:r>
        <w:r>
          <w:rPr>
            <w:noProof/>
            <w:webHidden/>
          </w:rPr>
          <w:fldChar w:fldCharType="begin"/>
        </w:r>
        <w:r>
          <w:rPr>
            <w:noProof/>
            <w:webHidden/>
          </w:rPr>
          <w:instrText xml:space="preserve"> PAGEREF _Toc394643177 \h </w:instrText>
        </w:r>
        <w:r>
          <w:rPr>
            <w:noProof/>
            <w:webHidden/>
          </w:rPr>
        </w:r>
        <w:r>
          <w:rPr>
            <w:noProof/>
            <w:webHidden/>
          </w:rPr>
          <w:fldChar w:fldCharType="separate"/>
        </w:r>
        <w:r>
          <w:rPr>
            <w:noProof/>
            <w:webHidden/>
          </w:rPr>
          <w:t>5</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178"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Moderate/Severe TBI</w:t>
        </w:r>
        <w:r>
          <w:rPr>
            <w:noProof/>
            <w:webHidden/>
          </w:rPr>
          <w:tab/>
        </w:r>
        <w:r>
          <w:rPr>
            <w:noProof/>
            <w:webHidden/>
          </w:rPr>
          <w:fldChar w:fldCharType="begin"/>
        </w:r>
        <w:r>
          <w:rPr>
            <w:noProof/>
            <w:webHidden/>
          </w:rPr>
          <w:instrText xml:space="preserve"> PAGEREF _Toc394643178 \h </w:instrText>
        </w:r>
        <w:r>
          <w:rPr>
            <w:noProof/>
            <w:webHidden/>
          </w:rPr>
        </w:r>
        <w:r>
          <w:rPr>
            <w:noProof/>
            <w:webHidden/>
          </w:rPr>
          <w:fldChar w:fldCharType="separate"/>
        </w:r>
        <w:r>
          <w:rPr>
            <w:noProof/>
            <w:webHidden/>
          </w:rPr>
          <w:t>5</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179" w:history="1">
        <w:r w:rsidRPr="00FA7B33">
          <w:rPr>
            <w:rStyle w:val="Hyperlink"/>
            <w:rFonts w:ascii="Arial Bold" w:hAnsi="Arial Bold"/>
            <w:noProof/>
          </w:rPr>
          <w:t>c.</w:t>
        </w:r>
        <w:r>
          <w:rPr>
            <w:rFonts w:asciiTheme="minorHAnsi" w:eastAsiaTheme="minorEastAsia" w:hAnsiTheme="minorHAnsi" w:cstheme="minorBidi"/>
            <w:iCs w:val="0"/>
            <w:noProof/>
            <w:sz w:val="22"/>
            <w:szCs w:val="22"/>
          </w:rPr>
          <w:tab/>
        </w:r>
        <w:r w:rsidRPr="00FA7B33">
          <w:rPr>
            <w:rStyle w:val="Hyperlink"/>
            <w:noProof/>
          </w:rPr>
          <w:t>Other Terminology</w:t>
        </w:r>
        <w:r>
          <w:rPr>
            <w:noProof/>
            <w:webHidden/>
          </w:rPr>
          <w:tab/>
        </w:r>
        <w:r>
          <w:rPr>
            <w:noProof/>
            <w:webHidden/>
          </w:rPr>
          <w:fldChar w:fldCharType="begin"/>
        </w:r>
        <w:r>
          <w:rPr>
            <w:noProof/>
            <w:webHidden/>
          </w:rPr>
          <w:instrText xml:space="preserve"> PAGEREF _Toc394643179 \h </w:instrText>
        </w:r>
        <w:r>
          <w:rPr>
            <w:noProof/>
            <w:webHidden/>
          </w:rPr>
        </w:r>
        <w:r>
          <w:rPr>
            <w:noProof/>
            <w:webHidden/>
          </w:rPr>
          <w:fldChar w:fldCharType="separate"/>
        </w:r>
        <w:r>
          <w:rPr>
            <w:noProof/>
            <w:webHidden/>
          </w:rPr>
          <w:t>6</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180" w:history="1">
        <w:r w:rsidRPr="00FA7B33">
          <w:rPr>
            <w:rStyle w:val="Hyperlink"/>
            <w:noProof/>
          </w:rPr>
          <w:t>2.</w:t>
        </w:r>
        <w:r>
          <w:rPr>
            <w:rFonts w:asciiTheme="minorHAnsi" w:eastAsiaTheme="minorEastAsia" w:hAnsiTheme="minorHAnsi" w:cstheme="minorBidi"/>
            <w:caps w:val="0"/>
            <w:noProof/>
            <w:sz w:val="22"/>
            <w:szCs w:val="22"/>
          </w:rPr>
          <w:tab/>
        </w:r>
        <w:r w:rsidRPr="00FA7B33">
          <w:rPr>
            <w:rStyle w:val="Hyperlink"/>
            <w:noProof/>
          </w:rPr>
          <w:t>INTERVENTION</w:t>
        </w:r>
        <w:r>
          <w:rPr>
            <w:noProof/>
            <w:webHidden/>
          </w:rPr>
          <w:tab/>
        </w:r>
        <w:r>
          <w:rPr>
            <w:noProof/>
            <w:webHidden/>
          </w:rPr>
          <w:fldChar w:fldCharType="begin"/>
        </w:r>
        <w:r>
          <w:rPr>
            <w:noProof/>
            <w:webHidden/>
          </w:rPr>
          <w:instrText xml:space="preserve"> PAGEREF _Toc394643180 \h </w:instrText>
        </w:r>
        <w:r>
          <w:rPr>
            <w:noProof/>
            <w:webHidden/>
          </w:rPr>
        </w:r>
        <w:r>
          <w:rPr>
            <w:noProof/>
            <w:webHidden/>
          </w:rPr>
          <w:fldChar w:fldCharType="separate"/>
        </w:r>
        <w:r>
          <w:rPr>
            <w:noProof/>
            <w:webHidden/>
          </w:rPr>
          <w:t>6</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181" w:history="1">
        <w:r w:rsidRPr="00FA7B33">
          <w:rPr>
            <w:rStyle w:val="Hyperlink"/>
            <w:noProof/>
          </w:rPr>
          <w:t>3.</w:t>
        </w:r>
        <w:r>
          <w:rPr>
            <w:rFonts w:asciiTheme="minorHAnsi" w:eastAsiaTheme="minorEastAsia" w:hAnsiTheme="minorHAnsi" w:cstheme="minorBidi"/>
            <w:caps w:val="0"/>
            <w:noProof/>
            <w:sz w:val="22"/>
            <w:szCs w:val="22"/>
          </w:rPr>
          <w:tab/>
        </w:r>
        <w:r w:rsidRPr="00FA7B33">
          <w:rPr>
            <w:rStyle w:val="Hyperlink"/>
            <w:noProof/>
          </w:rPr>
          <w:t>EDUCATION</w:t>
        </w:r>
        <w:r>
          <w:rPr>
            <w:noProof/>
            <w:webHidden/>
          </w:rPr>
          <w:tab/>
        </w:r>
        <w:r>
          <w:rPr>
            <w:noProof/>
            <w:webHidden/>
          </w:rPr>
          <w:fldChar w:fldCharType="begin"/>
        </w:r>
        <w:r>
          <w:rPr>
            <w:noProof/>
            <w:webHidden/>
          </w:rPr>
          <w:instrText xml:space="preserve"> PAGEREF _Toc394643181 \h </w:instrText>
        </w:r>
        <w:r>
          <w:rPr>
            <w:noProof/>
            <w:webHidden/>
          </w:rPr>
        </w:r>
        <w:r>
          <w:rPr>
            <w:noProof/>
            <w:webHidden/>
          </w:rPr>
          <w:fldChar w:fldCharType="separate"/>
        </w:r>
        <w:r>
          <w:rPr>
            <w:noProof/>
            <w:webHidden/>
          </w:rPr>
          <w:t>6</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182" w:history="1">
        <w:r w:rsidRPr="00FA7B33">
          <w:rPr>
            <w:rStyle w:val="Hyperlink"/>
            <w:noProof/>
          </w:rPr>
          <w:t>4.</w:t>
        </w:r>
        <w:r>
          <w:rPr>
            <w:rFonts w:asciiTheme="minorHAnsi" w:eastAsiaTheme="minorEastAsia" w:hAnsiTheme="minorHAnsi" w:cstheme="minorBidi"/>
            <w:caps w:val="0"/>
            <w:noProof/>
            <w:sz w:val="22"/>
            <w:szCs w:val="22"/>
          </w:rPr>
          <w:tab/>
        </w:r>
        <w:r w:rsidRPr="00FA7B33">
          <w:rPr>
            <w:rStyle w:val="Hyperlink"/>
            <w:noProof/>
          </w:rPr>
          <w:t>RETURN TO WORK</w:t>
        </w:r>
        <w:r>
          <w:rPr>
            <w:noProof/>
            <w:webHidden/>
          </w:rPr>
          <w:tab/>
        </w:r>
        <w:r>
          <w:rPr>
            <w:noProof/>
            <w:webHidden/>
          </w:rPr>
          <w:fldChar w:fldCharType="begin"/>
        </w:r>
        <w:r>
          <w:rPr>
            <w:noProof/>
            <w:webHidden/>
          </w:rPr>
          <w:instrText xml:space="preserve"> PAGEREF _Toc394643182 \h </w:instrText>
        </w:r>
        <w:r>
          <w:rPr>
            <w:noProof/>
            <w:webHidden/>
          </w:rPr>
        </w:r>
        <w:r>
          <w:rPr>
            <w:noProof/>
            <w:webHidden/>
          </w:rPr>
          <w:fldChar w:fldCharType="separate"/>
        </w:r>
        <w:r>
          <w:rPr>
            <w:noProof/>
            <w:webHidden/>
          </w:rPr>
          <w:t>7</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183" w:history="1">
        <w:r w:rsidRPr="00FA7B33">
          <w:rPr>
            <w:rStyle w:val="Hyperlink"/>
            <w:noProof/>
          </w:rPr>
          <w:t>5.</w:t>
        </w:r>
        <w:r>
          <w:rPr>
            <w:rFonts w:asciiTheme="minorHAnsi" w:eastAsiaTheme="minorEastAsia" w:hAnsiTheme="minorHAnsi" w:cstheme="minorBidi"/>
            <w:caps w:val="0"/>
            <w:noProof/>
            <w:sz w:val="22"/>
            <w:szCs w:val="22"/>
          </w:rPr>
          <w:tab/>
        </w:r>
        <w:r w:rsidRPr="00FA7B33">
          <w:rPr>
            <w:rStyle w:val="Hyperlink"/>
            <w:noProof/>
          </w:rPr>
          <w:t>DISABILITY</w:t>
        </w:r>
        <w:r>
          <w:rPr>
            <w:noProof/>
            <w:webHidden/>
          </w:rPr>
          <w:tab/>
        </w:r>
        <w:r>
          <w:rPr>
            <w:noProof/>
            <w:webHidden/>
          </w:rPr>
          <w:fldChar w:fldCharType="begin"/>
        </w:r>
        <w:r>
          <w:rPr>
            <w:noProof/>
            <w:webHidden/>
          </w:rPr>
          <w:instrText xml:space="preserve"> PAGEREF _Toc394643183 \h </w:instrText>
        </w:r>
        <w:r>
          <w:rPr>
            <w:noProof/>
            <w:webHidden/>
          </w:rPr>
        </w:r>
        <w:r>
          <w:rPr>
            <w:noProof/>
            <w:webHidden/>
          </w:rPr>
          <w:fldChar w:fldCharType="separate"/>
        </w:r>
        <w:r>
          <w:rPr>
            <w:noProof/>
            <w:webHidden/>
          </w:rPr>
          <w:t>7</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184" w:history="1">
        <w:r w:rsidRPr="00FA7B33">
          <w:rPr>
            <w:rStyle w:val="Hyperlink"/>
            <w:noProof/>
          </w:rPr>
          <w:t>6.</w:t>
        </w:r>
        <w:r>
          <w:rPr>
            <w:rFonts w:asciiTheme="minorHAnsi" w:eastAsiaTheme="minorEastAsia" w:hAnsiTheme="minorHAnsi" w:cstheme="minorBidi"/>
            <w:caps w:val="0"/>
            <w:noProof/>
            <w:sz w:val="22"/>
            <w:szCs w:val="22"/>
          </w:rPr>
          <w:tab/>
        </w:r>
        <w:r w:rsidRPr="00FA7B33">
          <w:rPr>
            <w:rStyle w:val="Hyperlink"/>
            <w:noProof/>
          </w:rPr>
          <w:t>COURSE OF RECOVERY</w:t>
        </w:r>
        <w:r>
          <w:rPr>
            <w:noProof/>
            <w:webHidden/>
          </w:rPr>
          <w:tab/>
        </w:r>
        <w:r>
          <w:rPr>
            <w:noProof/>
            <w:webHidden/>
          </w:rPr>
          <w:fldChar w:fldCharType="begin"/>
        </w:r>
        <w:r>
          <w:rPr>
            <w:noProof/>
            <w:webHidden/>
          </w:rPr>
          <w:instrText xml:space="preserve"> PAGEREF _Toc394643184 \h </w:instrText>
        </w:r>
        <w:r>
          <w:rPr>
            <w:noProof/>
            <w:webHidden/>
          </w:rPr>
        </w:r>
        <w:r>
          <w:rPr>
            <w:noProof/>
            <w:webHidden/>
          </w:rPr>
          <w:fldChar w:fldCharType="separate"/>
        </w:r>
        <w:r>
          <w:rPr>
            <w:noProof/>
            <w:webHidden/>
          </w:rPr>
          <w:t>8</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185"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MTBI</w:t>
        </w:r>
        <w:r>
          <w:rPr>
            <w:noProof/>
            <w:webHidden/>
          </w:rPr>
          <w:tab/>
        </w:r>
        <w:r>
          <w:rPr>
            <w:noProof/>
            <w:webHidden/>
          </w:rPr>
          <w:fldChar w:fldCharType="begin"/>
        </w:r>
        <w:r>
          <w:rPr>
            <w:noProof/>
            <w:webHidden/>
          </w:rPr>
          <w:instrText xml:space="preserve"> PAGEREF _Toc394643185 \h </w:instrText>
        </w:r>
        <w:r>
          <w:rPr>
            <w:noProof/>
            <w:webHidden/>
          </w:rPr>
        </w:r>
        <w:r>
          <w:rPr>
            <w:noProof/>
            <w:webHidden/>
          </w:rPr>
          <w:fldChar w:fldCharType="separate"/>
        </w:r>
        <w:r>
          <w:rPr>
            <w:noProof/>
            <w:webHidden/>
          </w:rPr>
          <w:t>8</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186"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Moderate/Severe TBI</w:t>
        </w:r>
        <w:r>
          <w:rPr>
            <w:noProof/>
            <w:webHidden/>
          </w:rPr>
          <w:tab/>
        </w:r>
        <w:r>
          <w:rPr>
            <w:noProof/>
            <w:webHidden/>
          </w:rPr>
          <w:fldChar w:fldCharType="begin"/>
        </w:r>
        <w:r>
          <w:rPr>
            <w:noProof/>
            <w:webHidden/>
          </w:rPr>
          <w:instrText xml:space="preserve"> PAGEREF _Toc394643186 \h </w:instrText>
        </w:r>
        <w:r>
          <w:rPr>
            <w:noProof/>
            <w:webHidden/>
          </w:rPr>
        </w:r>
        <w:r>
          <w:rPr>
            <w:noProof/>
            <w:webHidden/>
          </w:rPr>
          <w:fldChar w:fldCharType="separate"/>
        </w:r>
        <w:r>
          <w:rPr>
            <w:noProof/>
            <w:webHidden/>
          </w:rPr>
          <w:t>8</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187" w:history="1">
        <w:r w:rsidRPr="00FA7B33">
          <w:rPr>
            <w:rStyle w:val="Hyperlink"/>
            <w:noProof/>
          </w:rPr>
          <w:t>7.</w:t>
        </w:r>
        <w:r>
          <w:rPr>
            <w:rFonts w:asciiTheme="minorHAnsi" w:eastAsiaTheme="minorEastAsia" w:hAnsiTheme="minorHAnsi" w:cstheme="minorBidi"/>
            <w:caps w:val="0"/>
            <w:noProof/>
            <w:sz w:val="22"/>
            <w:szCs w:val="22"/>
          </w:rPr>
          <w:tab/>
        </w:r>
        <w:r w:rsidRPr="00FA7B33">
          <w:rPr>
            <w:rStyle w:val="Hyperlink"/>
            <w:noProof/>
          </w:rPr>
          <w:t>GUARDIANSHIP AND CONSERVATORSHIP</w:t>
        </w:r>
        <w:r>
          <w:rPr>
            <w:noProof/>
            <w:webHidden/>
          </w:rPr>
          <w:tab/>
        </w:r>
        <w:r>
          <w:rPr>
            <w:noProof/>
            <w:webHidden/>
          </w:rPr>
          <w:fldChar w:fldCharType="begin"/>
        </w:r>
        <w:r>
          <w:rPr>
            <w:noProof/>
            <w:webHidden/>
          </w:rPr>
          <w:instrText xml:space="preserve"> PAGEREF _Toc394643187 \h </w:instrText>
        </w:r>
        <w:r>
          <w:rPr>
            <w:noProof/>
            <w:webHidden/>
          </w:rPr>
        </w:r>
        <w:r>
          <w:rPr>
            <w:noProof/>
            <w:webHidden/>
          </w:rPr>
          <w:fldChar w:fldCharType="separate"/>
        </w:r>
        <w:r>
          <w:rPr>
            <w:noProof/>
            <w:webHidden/>
          </w:rPr>
          <w:t>8</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188" w:history="1">
        <w:r w:rsidRPr="00FA7B33">
          <w:rPr>
            <w:rStyle w:val="Hyperlink"/>
            <w:noProof/>
          </w:rPr>
          <w:t>8.</w:t>
        </w:r>
        <w:r>
          <w:rPr>
            <w:rFonts w:asciiTheme="minorHAnsi" w:eastAsiaTheme="minorEastAsia" w:hAnsiTheme="minorHAnsi" w:cstheme="minorBidi"/>
            <w:caps w:val="0"/>
            <w:noProof/>
            <w:sz w:val="22"/>
            <w:szCs w:val="22"/>
          </w:rPr>
          <w:tab/>
        </w:r>
        <w:r w:rsidRPr="00FA7B33">
          <w:rPr>
            <w:rStyle w:val="Hyperlink"/>
            <w:noProof/>
          </w:rPr>
          <w:t>SYSTEMS OF CARE</w:t>
        </w:r>
        <w:r>
          <w:rPr>
            <w:noProof/>
            <w:webHidden/>
          </w:rPr>
          <w:tab/>
        </w:r>
        <w:r>
          <w:rPr>
            <w:noProof/>
            <w:webHidden/>
          </w:rPr>
          <w:fldChar w:fldCharType="begin"/>
        </w:r>
        <w:r>
          <w:rPr>
            <w:noProof/>
            <w:webHidden/>
          </w:rPr>
          <w:instrText xml:space="preserve"> PAGEREF _Toc394643188 \h </w:instrText>
        </w:r>
        <w:r>
          <w:rPr>
            <w:noProof/>
            <w:webHidden/>
          </w:rPr>
        </w:r>
        <w:r>
          <w:rPr>
            <w:noProof/>
            <w:webHidden/>
          </w:rPr>
          <w:fldChar w:fldCharType="separate"/>
        </w:r>
        <w:r>
          <w:rPr>
            <w:noProof/>
            <w:webHidden/>
          </w:rPr>
          <w:t>9</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189"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Acute Care</w:t>
        </w:r>
        <w:r>
          <w:rPr>
            <w:noProof/>
            <w:webHidden/>
          </w:rPr>
          <w:tab/>
        </w:r>
        <w:r>
          <w:rPr>
            <w:noProof/>
            <w:webHidden/>
          </w:rPr>
          <w:fldChar w:fldCharType="begin"/>
        </w:r>
        <w:r>
          <w:rPr>
            <w:noProof/>
            <w:webHidden/>
          </w:rPr>
          <w:instrText xml:space="preserve"> PAGEREF _Toc394643189 \h </w:instrText>
        </w:r>
        <w:r>
          <w:rPr>
            <w:noProof/>
            <w:webHidden/>
          </w:rPr>
        </w:r>
        <w:r>
          <w:rPr>
            <w:noProof/>
            <w:webHidden/>
          </w:rPr>
          <w:fldChar w:fldCharType="separate"/>
        </w:r>
        <w:r>
          <w:rPr>
            <w:noProof/>
            <w:webHidden/>
          </w:rPr>
          <w:t>10</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190"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Comprehensive Integrated Inpatient Rehabilitation Hospital or “Acute Rehabilitation”:</w:t>
        </w:r>
        <w:r>
          <w:rPr>
            <w:noProof/>
            <w:webHidden/>
          </w:rPr>
          <w:tab/>
        </w:r>
        <w:r>
          <w:rPr>
            <w:noProof/>
            <w:webHidden/>
          </w:rPr>
          <w:fldChar w:fldCharType="begin"/>
        </w:r>
        <w:r>
          <w:rPr>
            <w:noProof/>
            <w:webHidden/>
          </w:rPr>
          <w:instrText xml:space="preserve"> PAGEREF _Toc394643190 \h </w:instrText>
        </w:r>
        <w:r>
          <w:rPr>
            <w:noProof/>
            <w:webHidden/>
          </w:rPr>
        </w:r>
        <w:r>
          <w:rPr>
            <w:noProof/>
            <w:webHidden/>
          </w:rPr>
          <w:fldChar w:fldCharType="separate"/>
        </w:r>
        <w:r>
          <w:rPr>
            <w:noProof/>
            <w:webHidden/>
          </w:rPr>
          <w:t>11</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191" w:history="1">
        <w:r w:rsidRPr="00FA7B33">
          <w:rPr>
            <w:rStyle w:val="Hyperlink"/>
            <w:rFonts w:ascii="Arial Bold" w:hAnsi="Arial Bold"/>
            <w:noProof/>
          </w:rPr>
          <w:t>c.</w:t>
        </w:r>
        <w:r>
          <w:rPr>
            <w:rFonts w:asciiTheme="minorHAnsi" w:eastAsiaTheme="minorEastAsia" w:hAnsiTheme="minorHAnsi" w:cstheme="minorBidi"/>
            <w:iCs w:val="0"/>
            <w:noProof/>
            <w:sz w:val="22"/>
            <w:szCs w:val="22"/>
          </w:rPr>
          <w:tab/>
        </w:r>
        <w:r w:rsidRPr="00FA7B33">
          <w:rPr>
            <w:rStyle w:val="Hyperlink"/>
            <w:noProof/>
          </w:rPr>
          <w:t>Long-Term Acute Care (LTAC) Programs</w:t>
        </w:r>
        <w:r>
          <w:rPr>
            <w:noProof/>
            <w:webHidden/>
          </w:rPr>
          <w:tab/>
        </w:r>
        <w:r>
          <w:rPr>
            <w:noProof/>
            <w:webHidden/>
          </w:rPr>
          <w:fldChar w:fldCharType="begin"/>
        </w:r>
        <w:r>
          <w:rPr>
            <w:noProof/>
            <w:webHidden/>
          </w:rPr>
          <w:instrText xml:space="preserve"> PAGEREF _Toc394643191 \h </w:instrText>
        </w:r>
        <w:r>
          <w:rPr>
            <w:noProof/>
            <w:webHidden/>
          </w:rPr>
        </w:r>
        <w:r>
          <w:rPr>
            <w:noProof/>
            <w:webHidden/>
          </w:rPr>
          <w:fldChar w:fldCharType="separate"/>
        </w:r>
        <w:r>
          <w:rPr>
            <w:noProof/>
            <w:webHidden/>
          </w:rPr>
          <w:t>11</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192" w:history="1">
        <w:r w:rsidRPr="00FA7B33">
          <w:rPr>
            <w:rStyle w:val="Hyperlink"/>
            <w:rFonts w:ascii="Arial Bold" w:hAnsi="Arial Bold"/>
            <w:noProof/>
          </w:rPr>
          <w:t>d.</w:t>
        </w:r>
        <w:r>
          <w:rPr>
            <w:rFonts w:asciiTheme="minorHAnsi" w:eastAsiaTheme="minorEastAsia" w:hAnsiTheme="minorHAnsi" w:cstheme="minorBidi"/>
            <w:iCs w:val="0"/>
            <w:noProof/>
            <w:sz w:val="22"/>
            <w:szCs w:val="22"/>
          </w:rPr>
          <w:tab/>
        </w:r>
        <w:r w:rsidRPr="00FA7B33">
          <w:rPr>
            <w:rStyle w:val="Hyperlink"/>
            <w:noProof/>
          </w:rPr>
          <w:t>Sub-Acute Skilled Nursing Facility (SNF) Rehabilitation Programs</w:t>
        </w:r>
        <w:r>
          <w:rPr>
            <w:noProof/>
            <w:webHidden/>
          </w:rPr>
          <w:tab/>
        </w:r>
        <w:r>
          <w:rPr>
            <w:noProof/>
            <w:webHidden/>
          </w:rPr>
          <w:fldChar w:fldCharType="begin"/>
        </w:r>
        <w:r>
          <w:rPr>
            <w:noProof/>
            <w:webHidden/>
          </w:rPr>
          <w:instrText xml:space="preserve"> PAGEREF _Toc394643192 \h </w:instrText>
        </w:r>
        <w:r>
          <w:rPr>
            <w:noProof/>
            <w:webHidden/>
          </w:rPr>
        </w:r>
        <w:r>
          <w:rPr>
            <w:noProof/>
            <w:webHidden/>
          </w:rPr>
          <w:fldChar w:fldCharType="separate"/>
        </w:r>
        <w:r>
          <w:rPr>
            <w:noProof/>
            <w:webHidden/>
          </w:rPr>
          <w:t>11</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193" w:history="1">
        <w:r w:rsidRPr="00FA7B33">
          <w:rPr>
            <w:rStyle w:val="Hyperlink"/>
            <w:rFonts w:ascii="Arial Bold" w:hAnsi="Arial Bold"/>
            <w:noProof/>
          </w:rPr>
          <w:t>e.</w:t>
        </w:r>
        <w:r>
          <w:rPr>
            <w:rFonts w:asciiTheme="minorHAnsi" w:eastAsiaTheme="minorEastAsia" w:hAnsiTheme="minorHAnsi" w:cstheme="minorBidi"/>
            <w:iCs w:val="0"/>
            <w:noProof/>
            <w:sz w:val="22"/>
            <w:szCs w:val="22"/>
          </w:rPr>
          <w:tab/>
        </w:r>
        <w:r w:rsidRPr="00FA7B33">
          <w:rPr>
            <w:rStyle w:val="Hyperlink"/>
            <w:noProof/>
          </w:rPr>
          <w:t>Post-Acute Rehabilitation</w:t>
        </w:r>
        <w:r>
          <w:rPr>
            <w:noProof/>
            <w:webHidden/>
          </w:rPr>
          <w:tab/>
        </w:r>
        <w:r>
          <w:rPr>
            <w:noProof/>
            <w:webHidden/>
          </w:rPr>
          <w:fldChar w:fldCharType="begin"/>
        </w:r>
        <w:r>
          <w:rPr>
            <w:noProof/>
            <w:webHidden/>
          </w:rPr>
          <w:instrText xml:space="preserve"> PAGEREF _Toc394643193 \h </w:instrText>
        </w:r>
        <w:r>
          <w:rPr>
            <w:noProof/>
            <w:webHidden/>
          </w:rPr>
        </w:r>
        <w:r>
          <w:rPr>
            <w:noProof/>
            <w:webHidden/>
          </w:rPr>
          <w:fldChar w:fldCharType="separate"/>
        </w:r>
        <w:r>
          <w:rPr>
            <w:noProof/>
            <w:webHidden/>
          </w:rPr>
          <w:t>12</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194" w:history="1">
        <w:r w:rsidRPr="00FA7B33">
          <w:rPr>
            <w:rStyle w:val="Hyperlink"/>
            <w:rFonts w:ascii="Arial Bold" w:hAnsi="Arial Bold"/>
            <w:noProof/>
          </w:rPr>
          <w:t>f.</w:t>
        </w:r>
        <w:r>
          <w:rPr>
            <w:rFonts w:asciiTheme="minorHAnsi" w:eastAsiaTheme="minorEastAsia" w:hAnsiTheme="minorHAnsi" w:cstheme="minorBidi"/>
            <w:iCs w:val="0"/>
            <w:noProof/>
            <w:sz w:val="22"/>
            <w:szCs w:val="22"/>
          </w:rPr>
          <w:tab/>
        </w:r>
        <w:r w:rsidRPr="00FA7B33">
          <w:rPr>
            <w:rStyle w:val="Hyperlink"/>
            <w:noProof/>
          </w:rPr>
          <w:t>Long-Term Support Care</w:t>
        </w:r>
        <w:r>
          <w:rPr>
            <w:noProof/>
            <w:webHidden/>
          </w:rPr>
          <w:tab/>
        </w:r>
        <w:r>
          <w:rPr>
            <w:noProof/>
            <w:webHidden/>
          </w:rPr>
          <w:fldChar w:fldCharType="begin"/>
        </w:r>
        <w:r>
          <w:rPr>
            <w:noProof/>
            <w:webHidden/>
          </w:rPr>
          <w:instrText xml:space="preserve"> PAGEREF _Toc394643194 \h </w:instrText>
        </w:r>
        <w:r>
          <w:rPr>
            <w:noProof/>
            <w:webHidden/>
          </w:rPr>
        </w:r>
        <w:r>
          <w:rPr>
            <w:noProof/>
            <w:webHidden/>
          </w:rPr>
          <w:fldChar w:fldCharType="separate"/>
        </w:r>
        <w:r>
          <w:rPr>
            <w:noProof/>
            <w:webHidden/>
          </w:rPr>
          <w:t>12</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195" w:history="1">
        <w:r w:rsidRPr="00FA7B33">
          <w:rPr>
            <w:rStyle w:val="Hyperlink"/>
            <w:noProof/>
          </w:rPr>
          <w:t>9.</w:t>
        </w:r>
        <w:r>
          <w:rPr>
            <w:rFonts w:asciiTheme="minorHAnsi" w:eastAsiaTheme="minorEastAsia" w:hAnsiTheme="minorHAnsi" w:cstheme="minorBidi"/>
            <w:caps w:val="0"/>
            <w:noProof/>
            <w:sz w:val="22"/>
            <w:szCs w:val="22"/>
          </w:rPr>
          <w:tab/>
        </w:r>
        <w:r w:rsidRPr="00FA7B33">
          <w:rPr>
            <w:rStyle w:val="Hyperlink"/>
            <w:noProof/>
          </w:rPr>
          <w:t>INTERDISCIPLINARY TREATMENT TEAM</w:t>
        </w:r>
        <w:r>
          <w:rPr>
            <w:noProof/>
            <w:webHidden/>
          </w:rPr>
          <w:tab/>
        </w:r>
        <w:r>
          <w:rPr>
            <w:noProof/>
            <w:webHidden/>
          </w:rPr>
          <w:fldChar w:fldCharType="begin"/>
        </w:r>
        <w:r>
          <w:rPr>
            <w:noProof/>
            <w:webHidden/>
          </w:rPr>
          <w:instrText xml:space="preserve"> PAGEREF _Toc394643195 \h </w:instrText>
        </w:r>
        <w:r>
          <w:rPr>
            <w:noProof/>
            <w:webHidden/>
          </w:rPr>
        </w:r>
        <w:r>
          <w:rPr>
            <w:noProof/>
            <w:webHidden/>
          </w:rPr>
          <w:fldChar w:fldCharType="separate"/>
        </w:r>
        <w:r>
          <w:rPr>
            <w:noProof/>
            <w:webHidden/>
          </w:rPr>
          <w:t>12</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196"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Behavioral Psychologist</w:t>
        </w:r>
        <w:r>
          <w:rPr>
            <w:noProof/>
            <w:webHidden/>
          </w:rPr>
          <w:tab/>
        </w:r>
        <w:r>
          <w:rPr>
            <w:noProof/>
            <w:webHidden/>
          </w:rPr>
          <w:fldChar w:fldCharType="begin"/>
        </w:r>
        <w:r>
          <w:rPr>
            <w:noProof/>
            <w:webHidden/>
          </w:rPr>
          <w:instrText xml:space="preserve"> PAGEREF _Toc394643196 \h </w:instrText>
        </w:r>
        <w:r>
          <w:rPr>
            <w:noProof/>
            <w:webHidden/>
          </w:rPr>
        </w:r>
        <w:r>
          <w:rPr>
            <w:noProof/>
            <w:webHidden/>
          </w:rPr>
          <w:fldChar w:fldCharType="separate"/>
        </w:r>
        <w:r>
          <w:rPr>
            <w:noProof/>
            <w:webHidden/>
          </w:rPr>
          <w:t>13</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197"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Behavioral Analyst</w:t>
        </w:r>
        <w:r>
          <w:rPr>
            <w:noProof/>
            <w:webHidden/>
          </w:rPr>
          <w:tab/>
        </w:r>
        <w:r>
          <w:rPr>
            <w:noProof/>
            <w:webHidden/>
          </w:rPr>
          <w:fldChar w:fldCharType="begin"/>
        </w:r>
        <w:r>
          <w:rPr>
            <w:noProof/>
            <w:webHidden/>
          </w:rPr>
          <w:instrText xml:space="preserve"> PAGEREF _Toc394643197 \h </w:instrText>
        </w:r>
        <w:r>
          <w:rPr>
            <w:noProof/>
            <w:webHidden/>
          </w:rPr>
        </w:r>
        <w:r>
          <w:rPr>
            <w:noProof/>
            <w:webHidden/>
          </w:rPr>
          <w:fldChar w:fldCharType="separate"/>
        </w:r>
        <w:r>
          <w:rPr>
            <w:noProof/>
            <w:webHidden/>
          </w:rPr>
          <w:t>13</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198" w:history="1">
        <w:r w:rsidRPr="00FA7B33">
          <w:rPr>
            <w:rStyle w:val="Hyperlink"/>
            <w:rFonts w:ascii="Arial Bold" w:hAnsi="Arial Bold"/>
            <w:noProof/>
          </w:rPr>
          <w:t>c.</w:t>
        </w:r>
        <w:r>
          <w:rPr>
            <w:rFonts w:asciiTheme="minorHAnsi" w:eastAsiaTheme="minorEastAsia" w:hAnsiTheme="minorHAnsi" w:cstheme="minorBidi"/>
            <w:iCs w:val="0"/>
            <w:noProof/>
            <w:sz w:val="22"/>
            <w:szCs w:val="22"/>
          </w:rPr>
          <w:tab/>
        </w:r>
        <w:r w:rsidRPr="00FA7B33">
          <w:rPr>
            <w:rStyle w:val="Hyperlink"/>
            <w:noProof/>
          </w:rPr>
          <w:t>Case Manager</w:t>
        </w:r>
        <w:r>
          <w:rPr>
            <w:noProof/>
            <w:webHidden/>
          </w:rPr>
          <w:tab/>
        </w:r>
        <w:r>
          <w:rPr>
            <w:noProof/>
            <w:webHidden/>
          </w:rPr>
          <w:fldChar w:fldCharType="begin"/>
        </w:r>
        <w:r>
          <w:rPr>
            <w:noProof/>
            <w:webHidden/>
          </w:rPr>
          <w:instrText xml:space="preserve"> PAGEREF _Toc394643198 \h </w:instrText>
        </w:r>
        <w:r>
          <w:rPr>
            <w:noProof/>
            <w:webHidden/>
          </w:rPr>
        </w:r>
        <w:r>
          <w:rPr>
            <w:noProof/>
            <w:webHidden/>
          </w:rPr>
          <w:fldChar w:fldCharType="separate"/>
        </w:r>
        <w:r>
          <w:rPr>
            <w:noProof/>
            <w:webHidden/>
          </w:rPr>
          <w:t>13</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199" w:history="1">
        <w:r w:rsidRPr="00FA7B33">
          <w:rPr>
            <w:rStyle w:val="Hyperlink"/>
            <w:rFonts w:ascii="Arial Bold" w:hAnsi="Arial Bold"/>
            <w:noProof/>
          </w:rPr>
          <w:t>d.</w:t>
        </w:r>
        <w:r>
          <w:rPr>
            <w:rFonts w:asciiTheme="minorHAnsi" w:eastAsiaTheme="minorEastAsia" w:hAnsiTheme="minorHAnsi" w:cstheme="minorBidi"/>
            <w:iCs w:val="0"/>
            <w:noProof/>
            <w:sz w:val="22"/>
            <w:szCs w:val="22"/>
          </w:rPr>
          <w:tab/>
        </w:r>
        <w:r w:rsidRPr="00FA7B33">
          <w:rPr>
            <w:rStyle w:val="Hyperlink"/>
            <w:noProof/>
          </w:rPr>
          <w:t>Chiropractor</w:t>
        </w:r>
        <w:r>
          <w:rPr>
            <w:noProof/>
            <w:webHidden/>
          </w:rPr>
          <w:tab/>
        </w:r>
        <w:r>
          <w:rPr>
            <w:noProof/>
            <w:webHidden/>
          </w:rPr>
          <w:fldChar w:fldCharType="begin"/>
        </w:r>
        <w:r>
          <w:rPr>
            <w:noProof/>
            <w:webHidden/>
          </w:rPr>
          <w:instrText xml:space="preserve"> PAGEREF _Toc394643199 \h </w:instrText>
        </w:r>
        <w:r>
          <w:rPr>
            <w:noProof/>
            <w:webHidden/>
          </w:rPr>
        </w:r>
        <w:r>
          <w:rPr>
            <w:noProof/>
            <w:webHidden/>
          </w:rPr>
          <w:fldChar w:fldCharType="separate"/>
        </w:r>
        <w:r>
          <w:rPr>
            <w:noProof/>
            <w:webHidden/>
          </w:rPr>
          <w:t>13</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00" w:history="1">
        <w:r w:rsidRPr="00FA7B33">
          <w:rPr>
            <w:rStyle w:val="Hyperlink"/>
            <w:rFonts w:ascii="Arial Bold" w:hAnsi="Arial Bold"/>
            <w:noProof/>
          </w:rPr>
          <w:t>e.</w:t>
        </w:r>
        <w:r>
          <w:rPr>
            <w:rFonts w:asciiTheme="minorHAnsi" w:eastAsiaTheme="minorEastAsia" w:hAnsiTheme="minorHAnsi" w:cstheme="minorBidi"/>
            <w:iCs w:val="0"/>
            <w:noProof/>
            <w:sz w:val="22"/>
            <w:szCs w:val="22"/>
          </w:rPr>
          <w:tab/>
        </w:r>
        <w:r w:rsidRPr="00FA7B33">
          <w:rPr>
            <w:rStyle w:val="Hyperlink"/>
            <w:noProof/>
          </w:rPr>
          <w:t>Clinical Pharmacist</w:t>
        </w:r>
        <w:r>
          <w:rPr>
            <w:noProof/>
            <w:webHidden/>
          </w:rPr>
          <w:tab/>
        </w:r>
        <w:r>
          <w:rPr>
            <w:noProof/>
            <w:webHidden/>
          </w:rPr>
          <w:fldChar w:fldCharType="begin"/>
        </w:r>
        <w:r>
          <w:rPr>
            <w:noProof/>
            <w:webHidden/>
          </w:rPr>
          <w:instrText xml:space="preserve"> PAGEREF _Toc394643200 \h </w:instrText>
        </w:r>
        <w:r>
          <w:rPr>
            <w:noProof/>
            <w:webHidden/>
          </w:rPr>
        </w:r>
        <w:r>
          <w:rPr>
            <w:noProof/>
            <w:webHidden/>
          </w:rPr>
          <w:fldChar w:fldCharType="separate"/>
        </w:r>
        <w:r>
          <w:rPr>
            <w:noProof/>
            <w:webHidden/>
          </w:rPr>
          <w:t>14</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01" w:history="1">
        <w:r w:rsidRPr="00FA7B33">
          <w:rPr>
            <w:rStyle w:val="Hyperlink"/>
            <w:rFonts w:ascii="Arial Bold" w:hAnsi="Arial Bold"/>
            <w:noProof/>
          </w:rPr>
          <w:t>f.</w:t>
        </w:r>
        <w:r>
          <w:rPr>
            <w:rFonts w:asciiTheme="minorHAnsi" w:eastAsiaTheme="minorEastAsia" w:hAnsiTheme="minorHAnsi" w:cstheme="minorBidi"/>
            <w:iCs w:val="0"/>
            <w:noProof/>
            <w:sz w:val="22"/>
            <w:szCs w:val="22"/>
          </w:rPr>
          <w:tab/>
        </w:r>
        <w:r w:rsidRPr="00FA7B33">
          <w:rPr>
            <w:rStyle w:val="Hyperlink"/>
            <w:noProof/>
          </w:rPr>
          <w:t>Clinical Psychologist</w:t>
        </w:r>
        <w:r>
          <w:rPr>
            <w:noProof/>
            <w:webHidden/>
          </w:rPr>
          <w:tab/>
        </w:r>
        <w:r>
          <w:rPr>
            <w:noProof/>
            <w:webHidden/>
          </w:rPr>
          <w:fldChar w:fldCharType="begin"/>
        </w:r>
        <w:r>
          <w:rPr>
            <w:noProof/>
            <w:webHidden/>
          </w:rPr>
          <w:instrText xml:space="preserve"> PAGEREF _Toc394643201 \h </w:instrText>
        </w:r>
        <w:r>
          <w:rPr>
            <w:noProof/>
            <w:webHidden/>
          </w:rPr>
        </w:r>
        <w:r>
          <w:rPr>
            <w:noProof/>
            <w:webHidden/>
          </w:rPr>
          <w:fldChar w:fldCharType="separate"/>
        </w:r>
        <w:r>
          <w:rPr>
            <w:noProof/>
            <w:webHidden/>
          </w:rPr>
          <w:t>14</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02" w:history="1">
        <w:r w:rsidRPr="00FA7B33">
          <w:rPr>
            <w:rStyle w:val="Hyperlink"/>
            <w:rFonts w:ascii="Arial Bold" w:hAnsi="Arial Bold"/>
            <w:noProof/>
          </w:rPr>
          <w:t>g.</w:t>
        </w:r>
        <w:r>
          <w:rPr>
            <w:rFonts w:asciiTheme="minorHAnsi" w:eastAsiaTheme="minorEastAsia" w:hAnsiTheme="minorHAnsi" w:cstheme="minorBidi"/>
            <w:iCs w:val="0"/>
            <w:noProof/>
            <w:sz w:val="22"/>
            <w:szCs w:val="22"/>
          </w:rPr>
          <w:tab/>
        </w:r>
        <w:r w:rsidRPr="00FA7B33">
          <w:rPr>
            <w:rStyle w:val="Hyperlink"/>
            <w:noProof/>
          </w:rPr>
          <w:t>Driver Rehabilitation Specialist</w:t>
        </w:r>
        <w:r>
          <w:rPr>
            <w:noProof/>
            <w:webHidden/>
          </w:rPr>
          <w:tab/>
        </w:r>
        <w:r>
          <w:rPr>
            <w:noProof/>
            <w:webHidden/>
          </w:rPr>
          <w:fldChar w:fldCharType="begin"/>
        </w:r>
        <w:r>
          <w:rPr>
            <w:noProof/>
            <w:webHidden/>
          </w:rPr>
          <w:instrText xml:space="preserve"> PAGEREF _Toc394643202 \h </w:instrText>
        </w:r>
        <w:r>
          <w:rPr>
            <w:noProof/>
            <w:webHidden/>
          </w:rPr>
        </w:r>
        <w:r>
          <w:rPr>
            <w:noProof/>
            <w:webHidden/>
          </w:rPr>
          <w:fldChar w:fldCharType="separate"/>
        </w:r>
        <w:r>
          <w:rPr>
            <w:noProof/>
            <w:webHidden/>
          </w:rPr>
          <w:t>14</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03" w:history="1">
        <w:r w:rsidRPr="00FA7B33">
          <w:rPr>
            <w:rStyle w:val="Hyperlink"/>
            <w:rFonts w:ascii="Arial Bold" w:hAnsi="Arial Bold"/>
            <w:noProof/>
          </w:rPr>
          <w:t>h.</w:t>
        </w:r>
        <w:r>
          <w:rPr>
            <w:rFonts w:asciiTheme="minorHAnsi" w:eastAsiaTheme="minorEastAsia" w:hAnsiTheme="minorHAnsi" w:cstheme="minorBidi"/>
            <w:iCs w:val="0"/>
            <w:noProof/>
            <w:sz w:val="22"/>
            <w:szCs w:val="22"/>
          </w:rPr>
          <w:tab/>
        </w:r>
        <w:r w:rsidRPr="00FA7B33">
          <w:rPr>
            <w:rStyle w:val="Hyperlink"/>
            <w:noProof/>
          </w:rPr>
          <w:t>Independent Life Skills Trainer</w:t>
        </w:r>
        <w:r>
          <w:rPr>
            <w:noProof/>
            <w:webHidden/>
          </w:rPr>
          <w:tab/>
        </w:r>
        <w:r>
          <w:rPr>
            <w:noProof/>
            <w:webHidden/>
          </w:rPr>
          <w:fldChar w:fldCharType="begin"/>
        </w:r>
        <w:r>
          <w:rPr>
            <w:noProof/>
            <w:webHidden/>
          </w:rPr>
          <w:instrText xml:space="preserve"> PAGEREF _Toc394643203 \h </w:instrText>
        </w:r>
        <w:r>
          <w:rPr>
            <w:noProof/>
            <w:webHidden/>
          </w:rPr>
        </w:r>
        <w:r>
          <w:rPr>
            <w:noProof/>
            <w:webHidden/>
          </w:rPr>
          <w:fldChar w:fldCharType="separate"/>
        </w:r>
        <w:r>
          <w:rPr>
            <w:noProof/>
            <w:webHidden/>
          </w:rPr>
          <w:t>14</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04" w:history="1">
        <w:r w:rsidRPr="00FA7B33">
          <w:rPr>
            <w:rStyle w:val="Hyperlink"/>
            <w:rFonts w:ascii="Arial Bold" w:hAnsi="Arial Bold"/>
            <w:noProof/>
          </w:rPr>
          <w:t>i.</w:t>
        </w:r>
        <w:r>
          <w:rPr>
            <w:rFonts w:asciiTheme="minorHAnsi" w:eastAsiaTheme="minorEastAsia" w:hAnsiTheme="minorHAnsi" w:cstheme="minorBidi"/>
            <w:iCs w:val="0"/>
            <w:noProof/>
            <w:sz w:val="22"/>
            <w:szCs w:val="22"/>
          </w:rPr>
          <w:tab/>
        </w:r>
        <w:r w:rsidRPr="00FA7B33">
          <w:rPr>
            <w:rStyle w:val="Hyperlink"/>
            <w:noProof/>
          </w:rPr>
          <w:t>Music Therapist</w:t>
        </w:r>
        <w:r>
          <w:rPr>
            <w:noProof/>
            <w:webHidden/>
          </w:rPr>
          <w:tab/>
        </w:r>
        <w:r>
          <w:rPr>
            <w:noProof/>
            <w:webHidden/>
          </w:rPr>
          <w:fldChar w:fldCharType="begin"/>
        </w:r>
        <w:r>
          <w:rPr>
            <w:noProof/>
            <w:webHidden/>
          </w:rPr>
          <w:instrText xml:space="preserve"> PAGEREF _Toc394643204 \h </w:instrText>
        </w:r>
        <w:r>
          <w:rPr>
            <w:noProof/>
            <w:webHidden/>
          </w:rPr>
        </w:r>
        <w:r>
          <w:rPr>
            <w:noProof/>
            <w:webHidden/>
          </w:rPr>
          <w:fldChar w:fldCharType="separate"/>
        </w:r>
        <w:r>
          <w:rPr>
            <w:noProof/>
            <w:webHidden/>
          </w:rPr>
          <w:t>14</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05" w:history="1">
        <w:r w:rsidRPr="00FA7B33">
          <w:rPr>
            <w:rStyle w:val="Hyperlink"/>
            <w:rFonts w:ascii="Arial Bold" w:hAnsi="Arial Bold"/>
            <w:noProof/>
          </w:rPr>
          <w:t>j.</w:t>
        </w:r>
        <w:r>
          <w:rPr>
            <w:rFonts w:asciiTheme="minorHAnsi" w:eastAsiaTheme="minorEastAsia" w:hAnsiTheme="minorHAnsi" w:cstheme="minorBidi"/>
            <w:iCs w:val="0"/>
            <w:noProof/>
            <w:sz w:val="22"/>
            <w:szCs w:val="22"/>
          </w:rPr>
          <w:tab/>
        </w:r>
        <w:r w:rsidRPr="00FA7B33">
          <w:rPr>
            <w:rStyle w:val="Hyperlink"/>
            <w:noProof/>
          </w:rPr>
          <w:t>Neurologist</w:t>
        </w:r>
        <w:r>
          <w:rPr>
            <w:noProof/>
            <w:webHidden/>
          </w:rPr>
          <w:tab/>
        </w:r>
        <w:r>
          <w:rPr>
            <w:noProof/>
            <w:webHidden/>
          </w:rPr>
          <w:fldChar w:fldCharType="begin"/>
        </w:r>
        <w:r>
          <w:rPr>
            <w:noProof/>
            <w:webHidden/>
          </w:rPr>
          <w:instrText xml:space="preserve"> PAGEREF _Toc394643205 \h </w:instrText>
        </w:r>
        <w:r>
          <w:rPr>
            <w:noProof/>
            <w:webHidden/>
          </w:rPr>
        </w:r>
        <w:r>
          <w:rPr>
            <w:noProof/>
            <w:webHidden/>
          </w:rPr>
          <w:fldChar w:fldCharType="separate"/>
        </w:r>
        <w:r>
          <w:rPr>
            <w:noProof/>
            <w:webHidden/>
          </w:rPr>
          <w:t>14</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06" w:history="1">
        <w:r w:rsidRPr="00FA7B33">
          <w:rPr>
            <w:rStyle w:val="Hyperlink"/>
            <w:rFonts w:ascii="Arial Bold" w:hAnsi="Arial Bold"/>
            <w:noProof/>
          </w:rPr>
          <w:t>k.</w:t>
        </w:r>
        <w:r>
          <w:rPr>
            <w:rFonts w:asciiTheme="minorHAnsi" w:eastAsiaTheme="minorEastAsia" w:hAnsiTheme="minorHAnsi" w:cstheme="minorBidi"/>
            <w:iCs w:val="0"/>
            <w:noProof/>
            <w:sz w:val="22"/>
            <w:szCs w:val="22"/>
          </w:rPr>
          <w:tab/>
        </w:r>
        <w:r w:rsidRPr="00FA7B33">
          <w:rPr>
            <w:rStyle w:val="Hyperlink"/>
            <w:noProof/>
          </w:rPr>
          <w:t>Neuro-ophthalmologist</w:t>
        </w:r>
        <w:r>
          <w:rPr>
            <w:noProof/>
            <w:webHidden/>
          </w:rPr>
          <w:tab/>
        </w:r>
        <w:r>
          <w:rPr>
            <w:noProof/>
            <w:webHidden/>
          </w:rPr>
          <w:fldChar w:fldCharType="begin"/>
        </w:r>
        <w:r>
          <w:rPr>
            <w:noProof/>
            <w:webHidden/>
          </w:rPr>
          <w:instrText xml:space="preserve"> PAGEREF _Toc394643206 \h </w:instrText>
        </w:r>
        <w:r>
          <w:rPr>
            <w:noProof/>
            <w:webHidden/>
          </w:rPr>
        </w:r>
        <w:r>
          <w:rPr>
            <w:noProof/>
            <w:webHidden/>
          </w:rPr>
          <w:fldChar w:fldCharType="separate"/>
        </w:r>
        <w:r>
          <w:rPr>
            <w:noProof/>
            <w:webHidden/>
          </w:rPr>
          <w:t>14</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07" w:history="1">
        <w:r w:rsidRPr="00FA7B33">
          <w:rPr>
            <w:rStyle w:val="Hyperlink"/>
            <w:rFonts w:ascii="Arial Bold" w:hAnsi="Arial Bold"/>
            <w:noProof/>
          </w:rPr>
          <w:t>l.</w:t>
        </w:r>
        <w:r>
          <w:rPr>
            <w:rFonts w:asciiTheme="minorHAnsi" w:eastAsiaTheme="minorEastAsia" w:hAnsiTheme="minorHAnsi" w:cstheme="minorBidi"/>
            <w:iCs w:val="0"/>
            <w:noProof/>
            <w:sz w:val="22"/>
            <w:szCs w:val="22"/>
          </w:rPr>
          <w:tab/>
        </w:r>
        <w:r w:rsidRPr="00FA7B33">
          <w:rPr>
            <w:rStyle w:val="Hyperlink"/>
            <w:noProof/>
          </w:rPr>
          <w:t>Neuro-otologist</w:t>
        </w:r>
        <w:r>
          <w:rPr>
            <w:noProof/>
            <w:webHidden/>
          </w:rPr>
          <w:tab/>
        </w:r>
        <w:r>
          <w:rPr>
            <w:noProof/>
            <w:webHidden/>
          </w:rPr>
          <w:fldChar w:fldCharType="begin"/>
        </w:r>
        <w:r>
          <w:rPr>
            <w:noProof/>
            <w:webHidden/>
          </w:rPr>
          <w:instrText xml:space="preserve"> PAGEREF _Toc394643207 \h </w:instrText>
        </w:r>
        <w:r>
          <w:rPr>
            <w:noProof/>
            <w:webHidden/>
          </w:rPr>
        </w:r>
        <w:r>
          <w:rPr>
            <w:noProof/>
            <w:webHidden/>
          </w:rPr>
          <w:fldChar w:fldCharType="separate"/>
        </w:r>
        <w:r>
          <w:rPr>
            <w:noProof/>
            <w:webHidden/>
          </w:rPr>
          <w:t>14</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08" w:history="1">
        <w:r w:rsidRPr="00FA7B33">
          <w:rPr>
            <w:rStyle w:val="Hyperlink"/>
            <w:rFonts w:ascii="Arial Bold" w:hAnsi="Arial Bold"/>
            <w:noProof/>
          </w:rPr>
          <w:t>m.</w:t>
        </w:r>
        <w:r>
          <w:rPr>
            <w:rFonts w:asciiTheme="minorHAnsi" w:eastAsiaTheme="minorEastAsia" w:hAnsiTheme="minorHAnsi" w:cstheme="minorBidi"/>
            <w:iCs w:val="0"/>
            <w:noProof/>
            <w:sz w:val="22"/>
            <w:szCs w:val="22"/>
          </w:rPr>
          <w:tab/>
        </w:r>
        <w:r w:rsidRPr="00FA7B33">
          <w:rPr>
            <w:rStyle w:val="Hyperlink"/>
            <w:noProof/>
          </w:rPr>
          <w:t>Neuropsychologist</w:t>
        </w:r>
        <w:r>
          <w:rPr>
            <w:noProof/>
            <w:webHidden/>
          </w:rPr>
          <w:tab/>
        </w:r>
        <w:r>
          <w:rPr>
            <w:noProof/>
            <w:webHidden/>
          </w:rPr>
          <w:fldChar w:fldCharType="begin"/>
        </w:r>
        <w:r>
          <w:rPr>
            <w:noProof/>
            <w:webHidden/>
          </w:rPr>
          <w:instrText xml:space="preserve"> PAGEREF _Toc394643208 \h </w:instrText>
        </w:r>
        <w:r>
          <w:rPr>
            <w:noProof/>
            <w:webHidden/>
          </w:rPr>
        </w:r>
        <w:r>
          <w:rPr>
            <w:noProof/>
            <w:webHidden/>
          </w:rPr>
          <w:fldChar w:fldCharType="separate"/>
        </w:r>
        <w:r>
          <w:rPr>
            <w:noProof/>
            <w:webHidden/>
          </w:rPr>
          <w:t>14</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09" w:history="1">
        <w:r w:rsidRPr="00FA7B33">
          <w:rPr>
            <w:rStyle w:val="Hyperlink"/>
            <w:rFonts w:ascii="Arial Bold" w:hAnsi="Arial Bold"/>
            <w:noProof/>
          </w:rPr>
          <w:t>n.</w:t>
        </w:r>
        <w:r>
          <w:rPr>
            <w:rFonts w:asciiTheme="minorHAnsi" w:eastAsiaTheme="minorEastAsia" w:hAnsiTheme="minorHAnsi" w:cstheme="minorBidi"/>
            <w:iCs w:val="0"/>
            <w:noProof/>
            <w:sz w:val="22"/>
            <w:szCs w:val="22"/>
          </w:rPr>
          <w:tab/>
        </w:r>
        <w:r w:rsidRPr="00FA7B33">
          <w:rPr>
            <w:rStyle w:val="Hyperlink"/>
            <w:noProof/>
          </w:rPr>
          <w:t>Neuroscience Nurse</w:t>
        </w:r>
        <w:r>
          <w:rPr>
            <w:noProof/>
            <w:webHidden/>
          </w:rPr>
          <w:tab/>
        </w:r>
        <w:r>
          <w:rPr>
            <w:noProof/>
            <w:webHidden/>
          </w:rPr>
          <w:fldChar w:fldCharType="begin"/>
        </w:r>
        <w:r>
          <w:rPr>
            <w:noProof/>
            <w:webHidden/>
          </w:rPr>
          <w:instrText xml:space="preserve"> PAGEREF _Toc394643209 \h </w:instrText>
        </w:r>
        <w:r>
          <w:rPr>
            <w:noProof/>
            <w:webHidden/>
          </w:rPr>
        </w:r>
        <w:r>
          <w:rPr>
            <w:noProof/>
            <w:webHidden/>
          </w:rPr>
          <w:fldChar w:fldCharType="separate"/>
        </w:r>
        <w:r>
          <w:rPr>
            <w:noProof/>
            <w:webHidden/>
          </w:rPr>
          <w:t>14</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10" w:history="1">
        <w:r w:rsidRPr="00FA7B33">
          <w:rPr>
            <w:rStyle w:val="Hyperlink"/>
            <w:rFonts w:ascii="Arial Bold" w:hAnsi="Arial Bold"/>
            <w:noProof/>
          </w:rPr>
          <w:t>o.</w:t>
        </w:r>
        <w:r>
          <w:rPr>
            <w:rFonts w:asciiTheme="minorHAnsi" w:eastAsiaTheme="minorEastAsia" w:hAnsiTheme="minorHAnsi" w:cstheme="minorBidi"/>
            <w:iCs w:val="0"/>
            <w:noProof/>
            <w:sz w:val="22"/>
            <w:szCs w:val="22"/>
          </w:rPr>
          <w:tab/>
        </w:r>
        <w:r w:rsidRPr="00FA7B33">
          <w:rPr>
            <w:rStyle w:val="Hyperlink"/>
            <w:noProof/>
          </w:rPr>
          <w:t>Neurosurgeon (Neurological Surgeon)</w:t>
        </w:r>
        <w:r>
          <w:rPr>
            <w:noProof/>
            <w:webHidden/>
          </w:rPr>
          <w:tab/>
        </w:r>
        <w:r>
          <w:rPr>
            <w:noProof/>
            <w:webHidden/>
          </w:rPr>
          <w:fldChar w:fldCharType="begin"/>
        </w:r>
        <w:r>
          <w:rPr>
            <w:noProof/>
            <w:webHidden/>
          </w:rPr>
          <w:instrText xml:space="preserve"> PAGEREF _Toc394643210 \h </w:instrText>
        </w:r>
        <w:r>
          <w:rPr>
            <w:noProof/>
            <w:webHidden/>
          </w:rPr>
        </w:r>
        <w:r>
          <w:rPr>
            <w:noProof/>
            <w:webHidden/>
          </w:rPr>
          <w:fldChar w:fldCharType="separate"/>
        </w:r>
        <w:r>
          <w:rPr>
            <w:noProof/>
            <w:webHidden/>
          </w:rPr>
          <w:t>14</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11" w:history="1">
        <w:r w:rsidRPr="00FA7B33">
          <w:rPr>
            <w:rStyle w:val="Hyperlink"/>
            <w:rFonts w:ascii="Arial Bold" w:hAnsi="Arial Bold"/>
            <w:noProof/>
          </w:rPr>
          <w:t>p.</w:t>
        </w:r>
        <w:r>
          <w:rPr>
            <w:rFonts w:asciiTheme="minorHAnsi" w:eastAsiaTheme="minorEastAsia" w:hAnsiTheme="minorHAnsi" w:cstheme="minorBidi"/>
            <w:iCs w:val="0"/>
            <w:noProof/>
            <w:sz w:val="22"/>
            <w:szCs w:val="22"/>
          </w:rPr>
          <w:tab/>
        </w:r>
        <w:r w:rsidRPr="00FA7B33">
          <w:rPr>
            <w:rStyle w:val="Hyperlink"/>
            <w:noProof/>
          </w:rPr>
          <w:t>Nurse</w:t>
        </w:r>
        <w:r>
          <w:rPr>
            <w:noProof/>
            <w:webHidden/>
          </w:rPr>
          <w:tab/>
        </w:r>
        <w:r>
          <w:rPr>
            <w:noProof/>
            <w:webHidden/>
          </w:rPr>
          <w:fldChar w:fldCharType="begin"/>
        </w:r>
        <w:r>
          <w:rPr>
            <w:noProof/>
            <w:webHidden/>
          </w:rPr>
          <w:instrText xml:space="preserve"> PAGEREF _Toc394643211 \h </w:instrText>
        </w:r>
        <w:r>
          <w:rPr>
            <w:noProof/>
            <w:webHidden/>
          </w:rPr>
        </w:r>
        <w:r>
          <w:rPr>
            <w:noProof/>
            <w:webHidden/>
          </w:rPr>
          <w:fldChar w:fldCharType="separate"/>
        </w:r>
        <w:r>
          <w:rPr>
            <w:noProof/>
            <w:webHidden/>
          </w:rPr>
          <w:t>15</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12" w:history="1">
        <w:r w:rsidRPr="00FA7B33">
          <w:rPr>
            <w:rStyle w:val="Hyperlink"/>
            <w:rFonts w:ascii="Arial Bold" w:hAnsi="Arial Bold"/>
            <w:noProof/>
          </w:rPr>
          <w:t>q.</w:t>
        </w:r>
        <w:r>
          <w:rPr>
            <w:rFonts w:asciiTheme="minorHAnsi" w:eastAsiaTheme="minorEastAsia" w:hAnsiTheme="minorHAnsi" w:cstheme="minorBidi"/>
            <w:iCs w:val="0"/>
            <w:noProof/>
            <w:sz w:val="22"/>
            <w:szCs w:val="22"/>
          </w:rPr>
          <w:tab/>
        </w:r>
        <w:r w:rsidRPr="00FA7B33">
          <w:rPr>
            <w:rStyle w:val="Hyperlink"/>
            <w:noProof/>
          </w:rPr>
          <w:t>Occupational Therapist</w:t>
        </w:r>
        <w:r>
          <w:rPr>
            <w:noProof/>
            <w:webHidden/>
          </w:rPr>
          <w:tab/>
        </w:r>
        <w:r>
          <w:rPr>
            <w:noProof/>
            <w:webHidden/>
          </w:rPr>
          <w:fldChar w:fldCharType="begin"/>
        </w:r>
        <w:r>
          <w:rPr>
            <w:noProof/>
            <w:webHidden/>
          </w:rPr>
          <w:instrText xml:space="preserve"> PAGEREF _Toc394643212 \h </w:instrText>
        </w:r>
        <w:r>
          <w:rPr>
            <w:noProof/>
            <w:webHidden/>
          </w:rPr>
        </w:r>
        <w:r>
          <w:rPr>
            <w:noProof/>
            <w:webHidden/>
          </w:rPr>
          <w:fldChar w:fldCharType="separate"/>
        </w:r>
        <w:r>
          <w:rPr>
            <w:noProof/>
            <w:webHidden/>
          </w:rPr>
          <w:t>15</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13" w:history="1">
        <w:r w:rsidRPr="00FA7B33">
          <w:rPr>
            <w:rStyle w:val="Hyperlink"/>
            <w:rFonts w:ascii="Arial Bold" w:hAnsi="Arial Bold"/>
            <w:noProof/>
          </w:rPr>
          <w:t>r.</w:t>
        </w:r>
        <w:r>
          <w:rPr>
            <w:rFonts w:asciiTheme="minorHAnsi" w:eastAsiaTheme="minorEastAsia" w:hAnsiTheme="minorHAnsi" w:cstheme="minorBidi"/>
            <w:iCs w:val="0"/>
            <w:noProof/>
            <w:sz w:val="22"/>
            <w:szCs w:val="22"/>
          </w:rPr>
          <w:tab/>
        </w:r>
        <w:r w:rsidRPr="00FA7B33">
          <w:rPr>
            <w:rStyle w:val="Hyperlink"/>
            <w:noProof/>
          </w:rPr>
          <w:t>Occupational Medicine Physician</w:t>
        </w:r>
        <w:r>
          <w:rPr>
            <w:noProof/>
            <w:webHidden/>
          </w:rPr>
          <w:tab/>
        </w:r>
        <w:r>
          <w:rPr>
            <w:noProof/>
            <w:webHidden/>
          </w:rPr>
          <w:fldChar w:fldCharType="begin"/>
        </w:r>
        <w:r>
          <w:rPr>
            <w:noProof/>
            <w:webHidden/>
          </w:rPr>
          <w:instrText xml:space="preserve"> PAGEREF _Toc394643213 \h </w:instrText>
        </w:r>
        <w:r>
          <w:rPr>
            <w:noProof/>
            <w:webHidden/>
          </w:rPr>
        </w:r>
        <w:r>
          <w:rPr>
            <w:noProof/>
            <w:webHidden/>
          </w:rPr>
          <w:fldChar w:fldCharType="separate"/>
        </w:r>
        <w:r>
          <w:rPr>
            <w:noProof/>
            <w:webHidden/>
          </w:rPr>
          <w:t>15</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14" w:history="1">
        <w:r w:rsidRPr="00FA7B33">
          <w:rPr>
            <w:rStyle w:val="Hyperlink"/>
            <w:rFonts w:ascii="Arial Bold" w:hAnsi="Arial Bold"/>
            <w:noProof/>
          </w:rPr>
          <w:t>s.</w:t>
        </w:r>
        <w:r>
          <w:rPr>
            <w:rFonts w:asciiTheme="minorHAnsi" w:eastAsiaTheme="minorEastAsia" w:hAnsiTheme="minorHAnsi" w:cstheme="minorBidi"/>
            <w:iCs w:val="0"/>
            <w:noProof/>
            <w:sz w:val="22"/>
            <w:szCs w:val="22"/>
          </w:rPr>
          <w:tab/>
        </w:r>
        <w:r w:rsidRPr="00FA7B33">
          <w:rPr>
            <w:rStyle w:val="Hyperlink"/>
            <w:noProof/>
          </w:rPr>
          <w:t>Optometrist</w:t>
        </w:r>
        <w:r>
          <w:rPr>
            <w:noProof/>
            <w:webHidden/>
          </w:rPr>
          <w:tab/>
        </w:r>
        <w:r>
          <w:rPr>
            <w:noProof/>
            <w:webHidden/>
          </w:rPr>
          <w:fldChar w:fldCharType="begin"/>
        </w:r>
        <w:r>
          <w:rPr>
            <w:noProof/>
            <w:webHidden/>
          </w:rPr>
          <w:instrText xml:space="preserve"> PAGEREF _Toc394643214 \h </w:instrText>
        </w:r>
        <w:r>
          <w:rPr>
            <w:noProof/>
            <w:webHidden/>
          </w:rPr>
        </w:r>
        <w:r>
          <w:rPr>
            <w:noProof/>
            <w:webHidden/>
          </w:rPr>
          <w:fldChar w:fldCharType="separate"/>
        </w:r>
        <w:r>
          <w:rPr>
            <w:noProof/>
            <w:webHidden/>
          </w:rPr>
          <w:t>15</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15" w:history="1">
        <w:r w:rsidRPr="00FA7B33">
          <w:rPr>
            <w:rStyle w:val="Hyperlink"/>
            <w:rFonts w:ascii="Arial Bold" w:hAnsi="Arial Bold"/>
            <w:noProof/>
          </w:rPr>
          <w:t>t.</w:t>
        </w:r>
        <w:r>
          <w:rPr>
            <w:rFonts w:asciiTheme="minorHAnsi" w:eastAsiaTheme="minorEastAsia" w:hAnsiTheme="minorHAnsi" w:cstheme="minorBidi"/>
            <w:iCs w:val="0"/>
            <w:noProof/>
            <w:sz w:val="22"/>
            <w:szCs w:val="22"/>
          </w:rPr>
          <w:tab/>
        </w:r>
        <w:r w:rsidRPr="00FA7B33">
          <w:rPr>
            <w:rStyle w:val="Hyperlink"/>
            <w:noProof/>
          </w:rPr>
          <w:t>Ophthalmologist</w:t>
        </w:r>
        <w:r>
          <w:rPr>
            <w:noProof/>
            <w:webHidden/>
          </w:rPr>
          <w:tab/>
        </w:r>
        <w:r>
          <w:rPr>
            <w:noProof/>
            <w:webHidden/>
          </w:rPr>
          <w:fldChar w:fldCharType="begin"/>
        </w:r>
        <w:r>
          <w:rPr>
            <w:noProof/>
            <w:webHidden/>
          </w:rPr>
          <w:instrText xml:space="preserve"> PAGEREF _Toc394643215 \h </w:instrText>
        </w:r>
        <w:r>
          <w:rPr>
            <w:noProof/>
            <w:webHidden/>
          </w:rPr>
        </w:r>
        <w:r>
          <w:rPr>
            <w:noProof/>
            <w:webHidden/>
          </w:rPr>
          <w:fldChar w:fldCharType="separate"/>
        </w:r>
        <w:r>
          <w:rPr>
            <w:noProof/>
            <w:webHidden/>
          </w:rPr>
          <w:t>15</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16" w:history="1">
        <w:r w:rsidRPr="00FA7B33">
          <w:rPr>
            <w:rStyle w:val="Hyperlink"/>
            <w:rFonts w:ascii="Arial Bold" w:hAnsi="Arial Bold"/>
            <w:noProof/>
          </w:rPr>
          <w:t>u.</w:t>
        </w:r>
        <w:r>
          <w:rPr>
            <w:rFonts w:asciiTheme="minorHAnsi" w:eastAsiaTheme="minorEastAsia" w:hAnsiTheme="minorHAnsi" w:cstheme="minorBidi"/>
            <w:iCs w:val="0"/>
            <w:noProof/>
            <w:sz w:val="22"/>
            <w:szCs w:val="22"/>
          </w:rPr>
          <w:tab/>
        </w:r>
        <w:r w:rsidRPr="00FA7B33">
          <w:rPr>
            <w:rStyle w:val="Hyperlink"/>
            <w:noProof/>
          </w:rPr>
          <w:t>Otolaryngologist</w:t>
        </w:r>
        <w:r>
          <w:rPr>
            <w:noProof/>
            <w:webHidden/>
          </w:rPr>
          <w:tab/>
        </w:r>
        <w:r>
          <w:rPr>
            <w:noProof/>
            <w:webHidden/>
          </w:rPr>
          <w:fldChar w:fldCharType="begin"/>
        </w:r>
        <w:r>
          <w:rPr>
            <w:noProof/>
            <w:webHidden/>
          </w:rPr>
          <w:instrText xml:space="preserve"> PAGEREF _Toc394643216 \h </w:instrText>
        </w:r>
        <w:r>
          <w:rPr>
            <w:noProof/>
            <w:webHidden/>
          </w:rPr>
        </w:r>
        <w:r>
          <w:rPr>
            <w:noProof/>
            <w:webHidden/>
          </w:rPr>
          <w:fldChar w:fldCharType="separate"/>
        </w:r>
        <w:r>
          <w:rPr>
            <w:noProof/>
            <w:webHidden/>
          </w:rPr>
          <w:t>15</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17" w:history="1">
        <w:r w:rsidRPr="00FA7B33">
          <w:rPr>
            <w:rStyle w:val="Hyperlink"/>
            <w:rFonts w:ascii="Arial Bold" w:hAnsi="Arial Bold"/>
            <w:noProof/>
          </w:rPr>
          <w:t>v.</w:t>
        </w:r>
        <w:r>
          <w:rPr>
            <w:rFonts w:asciiTheme="minorHAnsi" w:eastAsiaTheme="minorEastAsia" w:hAnsiTheme="minorHAnsi" w:cstheme="minorBidi"/>
            <w:iCs w:val="0"/>
            <w:noProof/>
            <w:sz w:val="22"/>
            <w:szCs w:val="22"/>
          </w:rPr>
          <w:tab/>
        </w:r>
        <w:r w:rsidRPr="00FA7B33">
          <w:rPr>
            <w:rStyle w:val="Hyperlink"/>
            <w:noProof/>
          </w:rPr>
          <w:t>Physical Therapist</w:t>
        </w:r>
        <w:r>
          <w:rPr>
            <w:noProof/>
            <w:webHidden/>
          </w:rPr>
          <w:tab/>
        </w:r>
        <w:r>
          <w:rPr>
            <w:noProof/>
            <w:webHidden/>
          </w:rPr>
          <w:fldChar w:fldCharType="begin"/>
        </w:r>
        <w:r>
          <w:rPr>
            <w:noProof/>
            <w:webHidden/>
          </w:rPr>
          <w:instrText xml:space="preserve"> PAGEREF _Toc394643217 \h </w:instrText>
        </w:r>
        <w:r>
          <w:rPr>
            <w:noProof/>
            <w:webHidden/>
          </w:rPr>
        </w:r>
        <w:r>
          <w:rPr>
            <w:noProof/>
            <w:webHidden/>
          </w:rPr>
          <w:fldChar w:fldCharType="separate"/>
        </w:r>
        <w:r>
          <w:rPr>
            <w:noProof/>
            <w:webHidden/>
          </w:rPr>
          <w:t>15</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18" w:history="1">
        <w:r w:rsidRPr="00FA7B33">
          <w:rPr>
            <w:rStyle w:val="Hyperlink"/>
            <w:rFonts w:ascii="Arial Bold" w:hAnsi="Arial Bold"/>
            <w:noProof/>
          </w:rPr>
          <w:t>w.</w:t>
        </w:r>
        <w:r>
          <w:rPr>
            <w:rFonts w:asciiTheme="minorHAnsi" w:eastAsiaTheme="minorEastAsia" w:hAnsiTheme="minorHAnsi" w:cstheme="minorBidi"/>
            <w:iCs w:val="0"/>
            <w:noProof/>
            <w:sz w:val="22"/>
            <w:szCs w:val="22"/>
          </w:rPr>
          <w:tab/>
        </w:r>
        <w:r w:rsidRPr="00FA7B33">
          <w:rPr>
            <w:rStyle w:val="Hyperlink"/>
            <w:noProof/>
          </w:rPr>
          <w:t>Physiatrist</w:t>
        </w:r>
        <w:r>
          <w:rPr>
            <w:noProof/>
            <w:webHidden/>
          </w:rPr>
          <w:tab/>
        </w:r>
        <w:r>
          <w:rPr>
            <w:noProof/>
            <w:webHidden/>
          </w:rPr>
          <w:fldChar w:fldCharType="begin"/>
        </w:r>
        <w:r>
          <w:rPr>
            <w:noProof/>
            <w:webHidden/>
          </w:rPr>
          <w:instrText xml:space="preserve"> PAGEREF _Toc394643218 \h </w:instrText>
        </w:r>
        <w:r>
          <w:rPr>
            <w:noProof/>
            <w:webHidden/>
          </w:rPr>
        </w:r>
        <w:r>
          <w:rPr>
            <w:noProof/>
            <w:webHidden/>
          </w:rPr>
          <w:fldChar w:fldCharType="separate"/>
        </w:r>
        <w:r>
          <w:rPr>
            <w:noProof/>
            <w:webHidden/>
          </w:rPr>
          <w:t>15</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19" w:history="1">
        <w:r w:rsidRPr="00FA7B33">
          <w:rPr>
            <w:rStyle w:val="Hyperlink"/>
            <w:rFonts w:ascii="Arial Bold" w:hAnsi="Arial Bold"/>
            <w:noProof/>
          </w:rPr>
          <w:t>x.</w:t>
        </w:r>
        <w:r>
          <w:rPr>
            <w:rFonts w:asciiTheme="minorHAnsi" w:eastAsiaTheme="minorEastAsia" w:hAnsiTheme="minorHAnsi" w:cstheme="minorBidi"/>
            <w:iCs w:val="0"/>
            <w:noProof/>
            <w:sz w:val="22"/>
            <w:szCs w:val="22"/>
          </w:rPr>
          <w:tab/>
        </w:r>
        <w:r w:rsidRPr="00FA7B33">
          <w:rPr>
            <w:rStyle w:val="Hyperlink"/>
            <w:noProof/>
          </w:rPr>
          <w:t>Psychiatrist/Neuropsychiatrist</w:t>
        </w:r>
        <w:r>
          <w:rPr>
            <w:noProof/>
            <w:webHidden/>
          </w:rPr>
          <w:tab/>
        </w:r>
        <w:r>
          <w:rPr>
            <w:noProof/>
            <w:webHidden/>
          </w:rPr>
          <w:fldChar w:fldCharType="begin"/>
        </w:r>
        <w:r>
          <w:rPr>
            <w:noProof/>
            <w:webHidden/>
          </w:rPr>
          <w:instrText xml:space="preserve"> PAGEREF _Toc394643219 \h </w:instrText>
        </w:r>
        <w:r>
          <w:rPr>
            <w:noProof/>
            <w:webHidden/>
          </w:rPr>
        </w:r>
        <w:r>
          <w:rPr>
            <w:noProof/>
            <w:webHidden/>
          </w:rPr>
          <w:fldChar w:fldCharType="separate"/>
        </w:r>
        <w:r>
          <w:rPr>
            <w:noProof/>
            <w:webHidden/>
          </w:rPr>
          <w:t>15</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20" w:history="1">
        <w:r w:rsidRPr="00FA7B33">
          <w:rPr>
            <w:rStyle w:val="Hyperlink"/>
            <w:rFonts w:ascii="Arial Bold" w:hAnsi="Arial Bold"/>
            <w:noProof/>
          </w:rPr>
          <w:t>y.</w:t>
        </w:r>
        <w:r>
          <w:rPr>
            <w:rFonts w:asciiTheme="minorHAnsi" w:eastAsiaTheme="minorEastAsia" w:hAnsiTheme="minorHAnsi" w:cstheme="minorBidi"/>
            <w:iCs w:val="0"/>
            <w:noProof/>
            <w:sz w:val="22"/>
            <w:szCs w:val="22"/>
          </w:rPr>
          <w:tab/>
        </w:r>
        <w:r w:rsidRPr="00FA7B33">
          <w:rPr>
            <w:rStyle w:val="Hyperlink"/>
            <w:noProof/>
          </w:rPr>
          <w:t>Rehabilitation Counselor</w:t>
        </w:r>
        <w:r>
          <w:rPr>
            <w:noProof/>
            <w:webHidden/>
          </w:rPr>
          <w:tab/>
        </w:r>
        <w:r>
          <w:rPr>
            <w:noProof/>
            <w:webHidden/>
          </w:rPr>
          <w:fldChar w:fldCharType="begin"/>
        </w:r>
        <w:r>
          <w:rPr>
            <w:noProof/>
            <w:webHidden/>
          </w:rPr>
          <w:instrText xml:space="preserve"> PAGEREF _Toc394643220 \h </w:instrText>
        </w:r>
        <w:r>
          <w:rPr>
            <w:noProof/>
            <w:webHidden/>
          </w:rPr>
        </w:r>
        <w:r>
          <w:rPr>
            <w:noProof/>
            <w:webHidden/>
          </w:rPr>
          <w:fldChar w:fldCharType="separate"/>
        </w:r>
        <w:r>
          <w:rPr>
            <w:noProof/>
            <w:webHidden/>
          </w:rPr>
          <w:t>15</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21" w:history="1">
        <w:r w:rsidRPr="00FA7B33">
          <w:rPr>
            <w:rStyle w:val="Hyperlink"/>
            <w:rFonts w:ascii="Arial Bold" w:hAnsi="Arial Bold"/>
            <w:noProof/>
          </w:rPr>
          <w:t>z.</w:t>
        </w:r>
        <w:r>
          <w:rPr>
            <w:rFonts w:asciiTheme="minorHAnsi" w:eastAsiaTheme="minorEastAsia" w:hAnsiTheme="minorHAnsi" w:cstheme="minorBidi"/>
            <w:iCs w:val="0"/>
            <w:noProof/>
            <w:sz w:val="22"/>
            <w:szCs w:val="22"/>
          </w:rPr>
          <w:tab/>
        </w:r>
        <w:r w:rsidRPr="00FA7B33">
          <w:rPr>
            <w:rStyle w:val="Hyperlink"/>
            <w:noProof/>
          </w:rPr>
          <w:t>Rehabilitation Nurse</w:t>
        </w:r>
        <w:r>
          <w:rPr>
            <w:noProof/>
            <w:webHidden/>
          </w:rPr>
          <w:tab/>
        </w:r>
        <w:r>
          <w:rPr>
            <w:noProof/>
            <w:webHidden/>
          </w:rPr>
          <w:fldChar w:fldCharType="begin"/>
        </w:r>
        <w:r>
          <w:rPr>
            <w:noProof/>
            <w:webHidden/>
          </w:rPr>
          <w:instrText xml:space="preserve"> PAGEREF _Toc394643221 \h </w:instrText>
        </w:r>
        <w:r>
          <w:rPr>
            <w:noProof/>
            <w:webHidden/>
          </w:rPr>
        </w:r>
        <w:r>
          <w:rPr>
            <w:noProof/>
            <w:webHidden/>
          </w:rPr>
          <w:fldChar w:fldCharType="separate"/>
        </w:r>
        <w:r>
          <w:rPr>
            <w:noProof/>
            <w:webHidden/>
          </w:rPr>
          <w:t>16</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22" w:history="1">
        <w:r w:rsidRPr="00FA7B33">
          <w:rPr>
            <w:rStyle w:val="Hyperlink"/>
            <w:rFonts w:ascii="Arial Bold" w:hAnsi="Arial Bold"/>
            <w:noProof/>
          </w:rPr>
          <w:t>aa.</w:t>
        </w:r>
        <w:r>
          <w:rPr>
            <w:rFonts w:asciiTheme="minorHAnsi" w:eastAsiaTheme="minorEastAsia" w:hAnsiTheme="minorHAnsi" w:cstheme="minorBidi"/>
            <w:iCs w:val="0"/>
            <w:noProof/>
            <w:sz w:val="22"/>
            <w:szCs w:val="22"/>
          </w:rPr>
          <w:tab/>
        </w:r>
        <w:r w:rsidRPr="00FA7B33">
          <w:rPr>
            <w:rStyle w:val="Hyperlink"/>
            <w:noProof/>
          </w:rPr>
          <w:t>Social Worker</w:t>
        </w:r>
        <w:r>
          <w:rPr>
            <w:noProof/>
            <w:webHidden/>
          </w:rPr>
          <w:tab/>
        </w:r>
        <w:r>
          <w:rPr>
            <w:noProof/>
            <w:webHidden/>
          </w:rPr>
          <w:fldChar w:fldCharType="begin"/>
        </w:r>
        <w:r>
          <w:rPr>
            <w:noProof/>
            <w:webHidden/>
          </w:rPr>
          <w:instrText xml:space="preserve"> PAGEREF _Toc394643222 \h </w:instrText>
        </w:r>
        <w:r>
          <w:rPr>
            <w:noProof/>
            <w:webHidden/>
          </w:rPr>
        </w:r>
        <w:r>
          <w:rPr>
            <w:noProof/>
            <w:webHidden/>
          </w:rPr>
          <w:fldChar w:fldCharType="separate"/>
        </w:r>
        <w:r>
          <w:rPr>
            <w:noProof/>
            <w:webHidden/>
          </w:rPr>
          <w:t>16</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23" w:history="1">
        <w:r w:rsidRPr="00FA7B33">
          <w:rPr>
            <w:rStyle w:val="Hyperlink"/>
            <w:rFonts w:ascii="Arial Bold" w:hAnsi="Arial Bold"/>
            <w:noProof/>
          </w:rPr>
          <w:t>bb.</w:t>
        </w:r>
        <w:r>
          <w:rPr>
            <w:rFonts w:asciiTheme="minorHAnsi" w:eastAsiaTheme="minorEastAsia" w:hAnsiTheme="minorHAnsi" w:cstheme="minorBidi"/>
            <w:iCs w:val="0"/>
            <w:noProof/>
            <w:sz w:val="22"/>
            <w:szCs w:val="22"/>
          </w:rPr>
          <w:tab/>
        </w:r>
        <w:r w:rsidRPr="00FA7B33">
          <w:rPr>
            <w:rStyle w:val="Hyperlink"/>
            <w:noProof/>
          </w:rPr>
          <w:t>Speech-Language Pathologist</w:t>
        </w:r>
        <w:r>
          <w:rPr>
            <w:noProof/>
            <w:webHidden/>
          </w:rPr>
          <w:tab/>
        </w:r>
        <w:r>
          <w:rPr>
            <w:noProof/>
            <w:webHidden/>
          </w:rPr>
          <w:fldChar w:fldCharType="begin"/>
        </w:r>
        <w:r>
          <w:rPr>
            <w:noProof/>
            <w:webHidden/>
          </w:rPr>
          <w:instrText xml:space="preserve"> PAGEREF _Toc394643223 \h </w:instrText>
        </w:r>
        <w:r>
          <w:rPr>
            <w:noProof/>
            <w:webHidden/>
          </w:rPr>
        </w:r>
        <w:r>
          <w:rPr>
            <w:noProof/>
            <w:webHidden/>
          </w:rPr>
          <w:fldChar w:fldCharType="separate"/>
        </w:r>
        <w:r>
          <w:rPr>
            <w:noProof/>
            <w:webHidden/>
          </w:rPr>
          <w:t>16</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24" w:history="1">
        <w:r w:rsidRPr="00FA7B33">
          <w:rPr>
            <w:rStyle w:val="Hyperlink"/>
            <w:rFonts w:ascii="Arial Bold" w:hAnsi="Arial Bold"/>
            <w:noProof/>
          </w:rPr>
          <w:t>cc.</w:t>
        </w:r>
        <w:r>
          <w:rPr>
            <w:rFonts w:asciiTheme="minorHAnsi" w:eastAsiaTheme="minorEastAsia" w:hAnsiTheme="minorHAnsi" w:cstheme="minorBidi"/>
            <w:iCs w:val="0"/>
            <w:noProof/>
            <w:sz w:val="22"/>
            <w:szCs w:val="22"/>
          </w:rPr>
          <w:tab/>
        </w:r>
        <w:r w:rsidRPr="00FA7B33">
          <w:rPr>
            <w:rStyle w:val="Hyperlink"/>
            <w:noProof/>
          </w:rPr>
          <w:t>Therapeutic Recreation Specialist</w:t>
        </w:r>
        <w:r>
          <w:rPr>
            <w:noProof/>
            <w:webHidden/>
          </w:rPr>
          <w:tab/>
        </w:r>
        <w:r>
          <w:rPr>
            <w:noProof/>
            <w:webHidden/>
          </w:rPr>
          <w:fldChar w:fldCharType="begin"/>
        </w:r>
        <w:r>
          <w:rPr>
            <w:noProof/>
            <w:webHidden/>
          </w:rPr>
          <w:instrText xml:space="preserve"> PAGEREF _Toc394643224 \h </w:instrText>
        </w:r>
        <w:r>
          <w:rPr>
            <w:noProof/>
            <w:webHidden/>
          </w:rPr>
        </w:r>
        <w:r>
          <w:rPr>
            <w:noProof/>
            <w:webHidden/>
          </w:rPr>
          <w:fldChar w:fldCharType="separate"/>
        </w:r>
        <w:r>
          <w:rPr>
            <w:noProof/>
            <w:webHidden/>
          </w:rPr>
          <w:t>16</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225" w:history="1">
        <w:r w:rsidRPr="00FA7B33">
          <w:rPr>
            <w:rStyle w:val="Hyperlink"/>
            <w:noProof/>
          </w:rPr>
          <w:t>10.</w:t>
        </w:r>
        <w:r>
          <w:rPr>
            <w:rFonts w:asciiTheme="minorHAnsi" w:eastAsiaTheme="minorEastAsia" w:hAnsiTheme="minorHAnsi" w:cstheme="minorBidi"/>
            <w:caps w:val="0"/>
            <w:noProof/>
            <w:sz w:val="22"/>
            <w:szCs w:val="22"/>
          </w:rPr>
          <w:tab/>
        </w:r>
        <w:r w:rsidRPr="00FA7B33">
          <w:rPr>
            <w:rStyle w:val="Hyperlink"/>
            <w:noProof/>
          </w:rPr>
          <w:t>PREVENTION</w:t>
        </w:r>
        <w:r>
          <w:rPr>
            <w:noProof/>
            <w:webHidden/>
          </w:rPr>
          <w:tab/>
        </w:r>
        <w:r>
          <w:rPr>
            <w:noProof/>
            <w:webHidden/>
          </w:rPr>
          <w:fldChar w:fldCharType="begin"/>
        </w:r>
        <w:r>
          <w:rPr>
            <w:noProof/>
            <w:webHidden/>
          </w:rPr>
          <w:instrText xml:space="preserve"> PAGEREF _Toc394643225 \h </w:instrText>
        </w:r>
        <w:r>
          <w:rPr>
            <w:noProof/>
            <w:webHidden/>
          </w:rPr>
        </w:r>
        <w:r>
          <w:rPr>
            <w:noProof/>
            <w:webHidden/>
          </w:rPr>
          <w:fldChar w:fldCharType="separate"/>
        </w:r>
        <w:r>
          <w:rPr>
            <w:noProof/>
            <w:webHidden/>
          </w:rPr>
          <w:t>16</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26"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Primary Prevention</w:t>
        </w:r>
        <w:r>
          <w:rPr>
            <w:noProof/>
            <w:webHidden/>
          </w:rPr>
          <w:tab/>
        </w:r>
        <w:r>
          <w:rPr>
            <w:noProof/>
            <w:webHidden/>
          </w:rPr>
          <w:fldChar w:fldCharType="begin"/>
        </w:r>
        <w:r>
          <w:rPr>
            <w:noProof/>
            <w:webHidden/>
          </w:rPr>
          <w:instrText xml:space="preserve"> PAGEREF _Toc394643226 \h </w:instrText>
        </w:r>
        <w:r>
          <w:rPr>
            <w:noProof/>
            <w:webHidden/>
          </w:rPr>
        </w:r>
        <w:r>
          <w:rPr>
            <w:noProof/>
            <w:webHidden/>
          </w:rPr>
          <w:fldChar w:fldCharType="separate"/>
        </w:r>
        <w:r>
          <w:rPr>
            <w:noProof/>
            <w:webHidden/>
          </w:rPr>
          <w:t>16</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27"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Secondary Prevention</w:t>
        </w:r>
        <w:r>
          <w:rPr>
            <w:noProof/>
            <w:webHidden/>
          </w:rPr>
          <w:tab/>
        </w:r>
        <w:r>
          <w:rPr>
            <w:noProof/>
            <w:webHidden/>
          </w:rPr>
          <w:fldChar w:fldCharType="begin"/>
        </w:r>
        <w:r>
          <w:rPr>
            <w:noProof/>
            <w:webHidden/>
          </w:rPr>
          <w:instrText xml:space="preserve"> PAGEREF _Toc394643227 \h </w:instrText>
        </w:r>
        <w:r>
          <w:rPr>
            <w:noProof/>
            <w:webHidden/>
          </w:rPr>
        </w:r>
        <w:r>
          <w:rPr>
            <w:noProof/>
            <w:webHidden/>
          </w:rPr>
          <w:fldChar w:fldCharType="separate"/>
        </w:r>
        <w:r>
          <w:rPr>
            <w:noProof/>
            <w:webHidden/>
          </w:rPr>
          <w:t>17</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28" w:history="1">
        <w:r w:rsidRPr="00FA7B33">
          <w:rPr>
            <w:rStyle w:val="Hyperlink"/>
            <w:rFonts w:ascii="Arial Bold" w:hAnsi="Arial Bold"/>
            <w:noProof/>
          </w:rPr>
          <w:t>c.</w:t>
        </w:r>
        <w:r>
          <w:rPr>
            <w:rFonts w:asciiTheme="minorHAnsi" w:eastAsiaTheme="minorEastAsia" w:hAnsiTheme="minorHAnsi" w:cstheme="minorBidi"/>
            <w:iCs w:val="0"/>
            <w:noProof/>
            <w:sz w:val="22"/>
            <w:szCs w:val="22"/>
          </w:rPr>
          <w:tab/>
        </w:r>
        <w:r w:rsidRPr="00FA7B33">
          <w:rPr>
            <w:rStyle w:val="Hyperlink"/>
            <w:noProof/>
          </w:rPr>
          <w:t>Tertiary Prevention</w:t>
        </w:r>
        <w:r>
          <w:rPr>
            <w:noProof/>
            <w:webHidden/>
          </w:rPr>
          <w:tab/>
        </w:r>
        <w:r>
          <w:rPr>
            <w:noProof/>
            <w:webHidden/>
          </w:rPr>
          <w:fldChar w:fldCharType="begin"/>
        </w:r>
        <w:r>
          <w:rPr>
            <w:noProof/>
            <w:webHidden/>
          </w:rPr>
          <w:instrText xml:space="preserve"> PAGEREF _Toc394643228 \h </w:instrText>
        </w:r>
        <w:r>
          <w:rPr>
            <w:noProof/>
            <w:webHidden/>
          </w:rPr>
        </w:r>
        <w:r>
          <w:rPr>
            <w:noProof/>
            <w:webHidden/>
          </w:rPr>
          <w:fldChar w:fldCharType="separate"/>
        </w:r>
        <w:r>
          <w:rPr>
            <w:noProof/>
            <w:webHidden/>
          </w:rPr>
          <w:t>18</w:t>
        </w:r>
        <w:r>
          <w:rPr>
            <w:noProof/>
            <w:webHidden/>
          </w:rPr>
          <w:fldChar w:fldCharType="end"/>
        </w:r>
      </w:hyperlink>
    </w:p>
    <w:p w:rsidR="00203DF3" w:rsidRDefault="00203DF3">
      <w:pPr>
        <w:pStyle w:val="TOC1"/>
        <w:tabs>
          <w:tab w:val="right" w:leader="dot" w:pos="9350"/>
        </w:tabs>
        <w:rPr>
          <w:rFonts w:asciiTheme="minorHAnsi" w:eastAsiaTheme="minorEastAsia" w:hAnsiTheme="minorHAnsi" w:cstheme="minorBidi"/>
          <w:b w:val="0"/>
          <w:bCs w:val="0"/>
          <w:caps w:val="0"/>
          <w:noProof/>
          <w:sz w:val="22"/>
          <w:szCs w:val="22"/>
        </w:rPr>
      </w:pPr>
      <w:hyperlink w:anchor="_Toc394643229" w:history="1">
        <w:r w:rsidRPr="00FA7B33">
          <w:rPr>
            <w:rStyle w:val="Hyperlink"/>
            <w:noProof/>
          </w:rPr>
          <w:t>d.</w:t>
        </w:r>
        <w:r>
          <w:rPr>
            <w:rFonts w:asciiTheme="minorHAnsi" w:eastAsiaTheme="minorEastAsia" w:hAnsiTheme="minorHAnsi" w:cstheme="minorBidi"/>
            <w:b w:val="0"/>
            <w:bCs w:val="0"/>
            <w:caps w:val="0"/>
            <w:noProof/>
            <w:sz w:val="22"/>
            <w:szCs w:val="22"/>
          </w:rPr>
          <w:tab/>
        </w:r>
        <w:r w:rsidRPr="00FA7B33">
          <w:rPr>
            <w:rStyle w:val="Hyperlink"/>
            <w:noProof/>
          </w:rPr>
          <w:t>INITIAL DIAGNOSTIC PROCEDURES</w:t>
        </w:r>
        <w:r>
          <w:rPr>
            <w:noProof/>
            <w:webHidden/>
          </w:rPr>
          <w:tab/>
        </w:r>
        <w:r>
          <w:rPr>
            <w:noProof/>
            <w:webHidden/>
          </w:rPr>
          <w:fldChar w:fldCharType="begin"/>
        </w:r>
        <w:r>
          <w:rPr>
            <w:noProof/>
            <w:webHidden/>
          </w:rPr>
          <w:instrText xml:space="preserve"> PAGEREF _Toc394643229 \h </w:instrText>
        </w:r>
        <w:r>
          <w:rPr>
            <w:noProof/>
            <w:webHidden/>
          </w:rPr>
        </w:r>
        <w:r>
          <w:rPr>
            <w:noProof/>
            <w:webHidden/>
          </w:rPr>
          <w:fldChar w:fldCharType="separate"/>
        </w:r>
        <w:r>
          <w:rPr>
            <w:noProof/>
            <w:webHidden/>
          </w:rPr>
          <w:t>19</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230" w:history="1">
        <w:r w:rsidRPr="00FA7B33">
          <w:rPr>
            <w:rStyle w:val="Hyperlink"/>
            <w:noProof/>
          </w:rPr>
          <w:t>1.</w:t>
        </w:r>
        <w:r>
          <w:rPr>
            <w:rFonts w:asciiTheme="minorHAnsi" w:eastAsiaTheme="minorEastAsia" w:hAnsiTheme="minorHAnsi" w:cstheme="minorBidi"/>
            <w:caps w:val="0"/>
            <w:noProof/>
            <w:sz w:val="22"/>
            <w:szCs w:val="22"/>
          </w:rPr>
          <w:tab/>
        </w:r>
        <w:r w:rsidRPr="00FA7B33">
          <w:rPr>
            <w:rStyle w:val="Hyperlink"/>
            <w:noProof/>
          </w:rPr>
          <w:t>HISTORY OF INJURY</w:t>
        </w:r>
        <w:r>
          <w:rPr>
            <w:noProof/>
            <w:webHidden/>
          </w:rPr>
          <w:tab/>
        </w:r>
        <w:r>
          <w:rPr>
            <w:noProof/>
            <w:webHidden/>
          </w:rPr>
          <w:fldChar w:fldCharType="begin"/>
        </w:r>
        <w:r>
          <w:rPr>
            <w:noProof/>
            <w:webHidden/>
          </w:rPr>
          <w:instrText xml:space="preserve"> PAGEREF _Toc394643230 \h </w:instrText>
        </w:r>
        <w:r>
          <w:rPr>
            <w:noProof/>
            <w:webHidden/>
          </w:rPr>
        </w:r>
        <w:r>
          <w:rPr>
            <w:noProof/>
            <w:webHidden/>
          </w:rPr>
          <w:fldChar w:fldCharType="separate"/>
        </w:r>
        <w:r>
          <w:rPr>
            <w:noProof/>
            <w:webHidden/>
          </w:rPr>
          <w:t>19</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31"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Identification Data</w:t>
        </w:r>
        <w:r>
          <w:rPr>
            <w:noProof/>
            <w:webHidden/>
          </w:rPr>
          <w:tab/>
        </w:r>
        <w:r>
          <w:rPr>
            <w:noProof/>
            <w:webHidden/>
          </w:rPr>
          <w:fldChar w:fldCharType="begin"/>
        </w:r>
        <w:r>
          <w:rPr>
            <w:noProof/>
            <w:webHidden/>
          </w:rPr>
          <w:instrText xml:space="preserve"> PAGEREF _Toc394643231 \h </w:instrText>
        </w:r>
        <w:r>
          <w:rPr>
            <w:noProof/>
            <w:webHidden/>
          </w:rPr>
        </w:r>
        <w:r>
          <w:rPr>
            <w:noProof/>
            <w:webHidden/>
          </w:rPr>
          <w:fldChar w:fldCharType="separate"/>
        </w:r>
        <w:r>
          <w:rPr>
            <w:noProof/>
            <w:webHidden/>
          </w:rPr>
          <w:t>19</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32"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Precipitating Event</w:t>
        </w:r>
        <w:r>
          <w:rPr>
            <w:noProof/>
            <w:webHidden/>
          </w:rPr>
          <w:tab/>
        </w:r>
        <w:r>
          <w:rPr>
            <w:noProof/>
            <w:webHidden/>
          </w:rPr>
          <w:fldChar w:fldCharType="begin"/>
        </w:r>
        <w:r>
          <w:rPr>
            <w:noProof/>
            <w:webHidden/>
          </w:rPr>
          <w:instrText xml:space="preserve"> PAGEREF _Toc394643232 \h </w:instrText>
        </w:r>
        <w:r>
          <w:rPr>
            <w:noProof/>
            <w:webHidden/>
          </w:rPr>
        </w:r>
        <w:r>
          <w:rPr>
            <w:noProof/>
            <w:webHidden/>
          </w:rPr>
          <w:fldChar w:fldCharType="separate"/>
        </w:r>
        <w:r>
          <w:rPr>
            <w:noProof/>
            <w:webHidden/>
          </w:rPr>
          <w:t>19</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33" w:history="1">
        <w:r w:rsidRPr="00FA7B33">
          <w:rPr>
            <w:rStyle w:val="Hyperlink"/>
            <w:rFonts w:ascii="Arial Bold" w:hAnsi="Arial Bold"/>
            <w:noProof/>
          </w:rPr>
          <w:t>c.</w:t>
        </w:r>
        <w:r>
          <w:rPr>
            <w:rFonts w:asciiTheme="minorHAnsi" w:eastAsiaTheme="minorEastAsia" w:hAnsiTheme="minorHAnsi" w:cstheme="minorBidi"/>
            <w:iCs w:val="0"/>
            <w:noProof/>
            <w:sz w:val="22"/>
            <w:szCs w:val="22"/>
          </w:rPr>
          <w:tab/>
        </w:r>
        <w:r w:rsidRPr="00FA7B33">
          <w:rPr>
            <w:rStyle w:val="Hyperlink"/>
            <w:noProof/>
          </w:rPr>
          <w:t>Neurological History</w:t>
        </w:r>
        <w:r>
          <w:rPr>
            <w:noProof/>
            <w:webHidden/>
          </w:rPr>
          <w:tab/>
        </w:r>
        <w:r>
          <w:rPr>
            <w:noProof/>
            <w:webHidden/>
          </w:rPr>
          <w:fldChar w:fldCharType="begin"/>
        </w:r>
        <w:r>
          <w:rPr>
            <w:noProof/>
            <w:webHidden/>
          </w:rPr>
          <w:instrText xml:space="preserve"> PAGEREF _Toc394643233 \h </w:instrText>
        </w:r>
        <w:r>
          <w:rPr>
            <w:noProof/>
            <w:webHidden/>
          </w:rPr>
        </w:r>
        <w:r>
          <w:rPr>
            <w:noProof/>
            <w:webHidden/>
          </w:rPr>
          <w:fldChar w:fldCharType="separate"/>
        </w:r>
        <w:r>
          <w:rPr>
            <w:noProof/>
            <w:webHidden/>
          </w:rPr>
          <w:t>19</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34" w:history="1">
        <w:r w:rsidRPr="00FA7B33">
          <w:rPr>
            <w:rStyle w:val="Hyperlink"/>
            <w:rFonts w:ascii="Arial Bold" w:hAnsi="Arial Bold"/>
            <w:noProof/>
          </w:rPr>
          <w:t>d.</w:t>
        </w:r>
        <w:r>
          <w:rPr>
            <w:rFonts w:asciiTheme="minorHAnsi" w:eastAsiaTheme="minorEastAsia" w:hAnsiTheme="minorHAnsi" w:cstheme="minorBidi"/>
            <w:iCs w:val="0"/>
            <w:noProof/>
            <w:sz w:val="22"/>
            <w:szCs w:val="22"/>
          </w:rPr>
          <w:tab/>
        </w:r>
        <w:r w:rsidRPr="00FA7B33">
          <w:rPr>
            <w:rStyle w:val="Hyperlink"/>
            <w:noProof/>
          </w:rPr>
          <w:t>Review of Medical Records</w:t>
        </w:r>
        <w:r>
          <w:rPr>
            <w:noProof/>
            <w:webHidden/>
          </w:rPr>
          <w:tab/>
        </w:r>
        <w:r>
          <w:rPr>
            <w:noProof/>
            <w:webHidden/>
          </w:rPr>
          <w:fldChar w:fldCharType="begin"/>
        </w:r>
        <w:r>
          <w:rPr>
            <w:noProof/>
            <w:webHidden/>
          </w:rPr>
          <w:instrText xml:space="preserve"> PAGEREF _Toc394643234 \h </w:instrText>
        </w:r>
        <w:r>
          <w:rPr>
            <w:noProof/>
            <w:webHidden/>
          </w:rPr>
        </w:r>
        <w:r>
          <w:rPr>
            <w:noProof/>
            <w:webHidden/>
          </w:rPr>
          <w:fldChar w:fldCharType="separate"/>
        </w:r>
        <w:r>
          <w:rPr>
            <w:noProof/>
            <w:webHidden/>
          </w:rPr>
          <w:t>20</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35" w:history="1">
        <w:r w:rsidRPr="00FA7B33">
          <w:rPr>
            <w:rStyle w:val="Hyperlink"/>
            <w:rFonts w:ascii="Arial Bold" w:hAnsi="Arial Bold"/>
            <w:noProof/>
          </w:rPr>
          <w:t>e.</w:t>
        </w:r>
        <w:r>
          <w:rPr>
            <w:rFonts w:asciiTheme="minorHAnsi" w:eastAsiaTheme="minorEastAsia" w:hAnsiTheme="minorHAnsi" w:cstheme="minorBidi"/>
            <w:iCs w:val="0"/>
            <w:noProof/>
            <w:sz w:val="22"/>
            <w:szCs w:val="22"/>
          </w:rPr>
          <w:tab/>
        </w:r>
        <w:r w:rsidRPr="00FA7B33">
          <w:rPr>
            <w:rStyle w:val="Hyperlink"/>
            <w:noProof/>
          </w:rPr>
          <w:t>Medical/Health History</w:t>
        </w:r>
        <w:r>
          <w:rPr>
            <w:noProof/>
            <w:webHidden/>
          </w:rPr>
          <w:tab/>
        </w:r>
        <w:r>
          <w:rPr>
            <w:noProof/>
            <w:webHidden/>
          </w:rPr>
          <w:fldChar w:fldCharType="begin"/>
        </w:r>
        <w:r>
          <w:rPr>
            <w:noProof/>
            <w:webHidden/>
          </w:rPr>
          <w:instrText xml:space="preserve"> PAGEREF _Toc394643235 \h </w:instrText>
        </w:r>
        <w:r>
          <w:rPr>
            <w:noProof/>
            <w:webHidden/>
          </w:rPr>
        </w:r>
        <w:r>
          <w:rPr>
            <w:noProof/>
            <w:webHidden/>
          </w:rPr>
          <w:fldChar w:fldCharType="separate"/>
        </w:r>
        <w:r>
          <w:rPr>
            <w:noProof/>
            <w:webHidden/>
          </w:rPr>
          <w:t>20</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36" w:history="1">
        <w:r w:rsidRPr="00FA7B33">
          <w:rPr>
            <w:rStyle w:val="Hyperlink"/>
            <w:rFonts w:ascii="Arial Bold" w:hAnsi="Arial Bold"/>
            <w:noProof/>
          </w:rPr>
          <w:t>f.</w:t>
        </w:r>
        <w:r>
          <w:rPr>
            <w:rFonts w:asciiTheme="minorHAnsi" w:eastAsiaTheme="minorEastAsia" w:hAnsiTheme="minorHAnsi" w:cstheme="minorBidi"/>
            <w:iCs w:val="0"/>
            <w:noProof/>
            <w:sz w:val="22"/>
            <w:szCs w:val="22"/>
          </w:rPr>
          <w:tab/>
        </w:r>
        <w:r w:rsidRPr="00FA7B33">
          <w:rPr>
            <w:rStyle w:val="Hyperlink"/>
            <w:noProof/>
          </w:rPr>
          <w:t>Activities of Daily Living (ADLs):</w:t>
        </w:r>
        <w:r>
          <w:rPr>
            <w:noProof/>
            <w:webHidden/>
          </w:rPr>
          <w:tab/>
        </w:r>
        <w:r>
          <w:rPr>
            <w:noProof/>
            <w:webHidden/>
          </w:rPr>
          <w:fldChar w:fldCharType="begin"/>
        </w:r>
        <w:r>
          <w:rPr>
            <w:noProof/>
            <w:webHidden/>
          </w:rPr>
          <w:instrText xml:space="preserve"> PAGEREF _Toc394643236 \h </w:instrText>
        </w:r>
        <w:r>
          <w:rPr>
            <w:noProof/>
            <w:webHidden/>
          </w:rPr>
        </w:r>
        <w:r>
          <w:rPr>
            <w:noProof/>
            <w:webHidden/>
          </w:rPr>
          <w:fldChar w:fldCharType="separate"/>
        </w:r>
        <w:r>
          <w:rPr>
            <w:noProof/>
            <w:webHidden/>
          </w:rPr>
          <w:t>20</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37" w:history="1">
        <w:r w:rsidRPr="00FA7B33">
          <w:rPr>
            <w:rStyle w:val="Hyperlink"/>
            <w:rFonts w:ascii="Arial Bold" w:hAnsi="Arial Bold"/>
            <w:noProof/>
          </w:rPr>
          <w:t>g.</w:t>
        </w:r>
        <w:r>
          <w:rPr>
            <w:rFonts w:asciiTheme="minorHAnsi" w:eastAsiaTheme="minorEastAsia" w:hAnsiTheme="minorHAnsi" w:cstheme="minorBidi"/>
            <w:iCs w:val="0"/>
            <w:noProof/>
            <w:sz w:val="22"/>
            <w:szCs w:val="22"/>
          </w:rPr>
          <w:tab/>
        </w:r>
        <w:r w:rsidRPr="00FA7B33">
          <w:rPr>
            <w:rStyle w:val="Hyperlink"/>
            <w:noProof/>
          </w:rPr>
          <w:t>Family History</w:t>
        </w:r>
        <w:r>
          <w:rPr>
            <w:noProof/>
            <w:webHidden/>
          </w:rPr>
          <w:tab/>
        </w:r>
        <w:r>
          <w:rPr>
            <w:noProof/>
            <w:webHidden/>
          </w:rPr>
          <w:fldChar w:fldCharType="begin"/>
        </w:r>
        <w:r>
          <w:rPr>
            <w:noProof/>
            <w:webHidden/>
          </w:rPr>
          <w:instrText xml:space="preserve"> PAGEREF _Toc394643237 \h </w:instrText>
        </w:r>
        <w:r>
          <w:rPr>
            <w:noProof/>
            <w:webHidden/>
          </w:rPr>
        </w:r>
        <w:r>
          <w:rPr>
            <w:noProof/>
            <w:webHidden/>
          </w:rPr>
          <w:fldChar w:fldCharType="separate"/>
        </w:r>
        <w:r>
          <w:rPr>
            <w:noProof/>
            <w:webHidden/>
          </w:rPr>
          <w:t>21</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38" w:history="1">
        <w:r w:rsidRPr="00FA7B33">
          <w:rPr>
            <w:rStyle w:val="Hyperlink"/>
            <w:rFonts w:ascii="Arial Bold" w:hAnsi="Arial Bold"/>
            <w:noProof/>
          </w:rPr>
          <w:t>h.</w:t>
        </w:r>
        <w:r>
          <w:rPr>
            <w:rFonts w:asciiTheme="minorHAnsi" w:eastAsiaTheme="minorEastAsia" w:hAnsiTheme="minorHAnsi" w:cstheme="minorBidi"/>
            <w:iCs w:val="0"/>
            <w:noProof/>
            <w:sz w:val="22"/>
            <w:szCs w:val="22"/>
          </w:rPr>
          <w:tab/>
        </w:r>
        <w:r w:rsidRPr="00FA7B33">
          <w:rPr>
            <w:rStyle w:val="Hyperlink"/>
            <w:noProof/>
          </w:rPr>
          <w:t>Social History</w:t>
        </w:r>
        <w:r>
          <w:rPr>
            <w:noProof/>
            <w:webHidden/>
          </w:rPr>
          <w:tab/>
        </w:r>
        <w:r>
          <w:rPr>
            <w:noProof/>
            <w:webHidden/>
          </w:rPr>
          <w:fldChar w:fldCharType="begin"/>
        </w:r>
        <w:r>
          <w:rPr>
            <w:noProof/>
            <w:webHidden/>
          </w:rPr>
          <w:instrText xml:space="preserve"> PAGEREF _Toc394643238 \h </w:instrText>
        </w:r>
        <w:r>
          <w:rPr>
            <w:noProof/>
            <w:webHidden/>
          </w:rPr>
        </w:r>
        <w:r>
          <w:rPr>
            <w:noProof/>
            <w:webHidden/>
          </w:rPr>
          <w:fldChar w:fldCharType="separate"/>
        </w:r>
        <w:r>
          <w:rPr>
            <w:noProof/>
            <w:webHidden/>
          </w:rPr>
          <w:t>21</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39" w:history="1">
        <w:r w:rsidRPr="00FA7B33">
          <w:rPr>
            <w:rStyle w:val="Hyperlink"/>
            <w:rFonts w:ascii="Arial Bold" w:hAnsi="Arial Bold"/>
            <w:noProof/>
          </w:rPr>
          <w:t>i.</w:t>
        </w:r>
        <w:r>
          <w:rPr>
            <w:rFonts w:asciiTheme="minorHAnsi" w:eastAsiaTheme="minorEastAsia" w:hAnsiTheme="minorHAnsi" w:cstheme="minorBidi"/>
            <w:iCs w:val="0"/>
            <w:noProof/>
            <w:sz w:val="22"/>
            <w:szCs w:val="22"/>
          </w:rPr>
          <w:tab/>
        </w:r>
        <w:r w:rsidRPr="00FA7B33">
          <w:rPr>
            <w:rStyle w:val="Hyperlink"/>
            <w:noProof/>
          </w:rPr>
          <w:t>Review of Systems</w:t>
        </w:r>
        <w:r>
          <w:rPr>
            <w:noProof/>
            <w:webHidden/>
          </w:rPr>
          <w:tab/>
        </w:r>
        <w:r>
          <w:rPr>
            <w:noProof/>
            <w:webHidden/>
          </w:rPr>
          <w:fldChar w:fldCharType="begin"/>
        </w:r>
        <w:r>
          <w:rPr>
            <w:noProof/>
            <w:webHidden/>
          </w:rPr>
          <w:instrText xml:space="preserve"> PAGEREF _Toc394643239 \h </w:instrText>
        </w:r>
        <w:r>
          <w:rPr>
            <w:noProof/>
            <w:webHidden/>
          </w:rPr>
        </w:r>
        <w:r>
          <w:rPr>
            <w:noProof/>
            <w:webHidden/>
          </w:rPr>
          <w:fldChar w:fldCharType="separate"/>
        </w:r>
        <w:r>
          <w:rPr>
            <w:noProof/>
            <w:webHidden/>
          </w:rPr>
          <w:t>21</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40" w:history="1">
        <w:r w:rsidRPr="00FA7B33">
          <w:rPr>
            <w:rStyle w:val="Hyperlink"/>
            <w:rFonts w:ascii="Arial Bold" w:hAnsi="Arial Bold"/>
            <w:noProof/>
          </w:rPr>
          <w:t>j.</w:t>
        </w:r>
        <w:r>
          <w:rPr>
            <w:rFonts w:asciiTheme="minorHAnsi" w:eastAsiaTheme="minorEastAsia" w:hAnsiTheme="minorHAnsi" w:cstheme="minorBidi"/>
            <w:iCs w:val="0"/>
            <w:noProof/>
            <w:sz w:val="22"/>
            <w:szCs w:val="22"/>
          </w:rPr>
          <w:tab/>
        </w:r>
        <w:r w:rsidRPr="00FA7B33">
          <w:rPr>
            <w:rStyle w:val="Hyperlink"/>
            <w:noProof/>
          </w:rPr>
          <w:t>Pain Diagnosis</w:t>
        </w:r>
        <w:r>
          <w:rPr>
            <w:noProof/>
            <w:webHidden/>
          </w:rPr>
          <w:tab/>
        </w:r>
        <w:r>
          <w:rPr>
            <w:noProof/>
            <w:webHidden/>
          </w:rPr>
          <w:fldChar w:fldCharType="begin"/>
        </w:r>
        <w:r>
          <w:rPr>
            <w:noProof/>
            <w:webHidden/>
          </w:rPr>
          <w:instrText xml:space="preserve"> PAGEREF _Toc394643240 \h </w:instrText>
        </w:r>
        <w:r>
          <w:rPr>
            <w:noProof/>
            <w:webHidden/>
          </w:rPr>
        </w:r>
        <w:r>
          <w:rPr>
            <w:noProof/>
            <w:webHidden/>
          </w:rPr>
          <w:fldChar w:fldCharType="separate"/>
        </w:r>
        <w:r>
          <w:rPr>
            <w:noProof/>
            <w:webHidden/>
          </w:rPr>
          <w:t>21</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41" w:history="1">
        <w:r w:rsidRPr="00FA7B33">
          <w:rPr>
            <w:rStyle w:val="Hyperlink"/>
            <w:rFonts w:ascii="Arial Bold" w:hAnsi="Arial Bold"/>
            <w:noProof/>
          </w:rPr>
          <w:t>k.</w:t>
        </w:r>
        <w:r>
          <w:rPr>
            <w:rFonts w:asciiTheme="minorHAnsi" w:eastAsiaTheme="minorEastAsia" w:hAnsiTheme="minorHAnsi" w:cstheme="minorBidi"/>
            <w:iCs w:val="0"/>
            <w:noProof/>
            <w:sz w:val="22"/>
            <w:szCs w:val="22"/>
          </w:rPr>
          <w:tab/>
        </w:r>
        <w:r w:rsidRPr="00FA7B33">
          <w:rPr>
            <w:rStyle w:val="Hyperlink"/>
            <w:noProof/>
          </w:rPr>
          <w:t>Psychiatric History</w:t>
        </w:r>
        <w:r>
          <w:rPr>
            <w:noProof/>
            <w:webHidden/>
          </w:rPr>
          <w:tab/>
        </w:r>
        <w:r>
          <w:rPr>
            <w:noProof/>
            <w:webHidden/>
          </w:rPr>
          <w:fldChar w:fldCharType="begin"/>
        </w:r>
        <w:r>
          <w:rPr>
            <w:noProof/>
            <w:webHidden/>
          </w:rPr>
          <w:instrText xml:space="preserve"> PAGEREF _Toc394643241 \h </w:instrText>
        </w:r>
        <w:r>
          <w:rPr>
            <w:noProof/>
            <w:webHidden/>
          </w:rPr>
        </w:r>
        <w:r>
          <w:rPr>
            <w:noProof/>
            <w:webHidden/>
          </w:rPr>
          <w:fldChar w:fldCharType="separate"/>
        </w:r>
        <w:r>
          <w:rPr>
            <w:noProof/>
            <w:webHidden/>
          </w:rPr>
          <w:t>21</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242" w:history="1">
        <w:r w:rsidRPr="00FA7B33">
          <w:rPr>
            <w:rStyle w:val="Hyperlink"/>
            <w:noProof/>
          </w:rPr>
          <w:t>2.</w:t>
        </w:r>
        <w:r>
          <w:rPr>
            <w:rFonts w:asciiTheme="minorHAnsi" w:eastAsiaTheme="minorEastAsia" w:hAnsiTheme="minorHAnsi" w:cstheme="minorBidi"/>
            <w:caps w:val="0"/>
            <w:noProof/>
            <w:sz w:val="22"/>
            <w:szCs w:val="22"/>
          </w:rPr>
          <w:tab/>
        </w:r>
        <w:r w:rsidRPr="00FA7B33">
          <w:rPr>
            <w:rStyle w:val="Hyperlink"/>
            <w:noProof/>
          </w:rPr>
          <w:t>PHYSICAL EXAMINATION</w:t>
        </w:r>
        <w:r>
          <w:rPr>
            <w:noProof/>
            <w:webHidden/>
          </w:rPr>
          <w:tab/>
        </w:r>
        <w:r>
          <w:rPr>
            <w:noProof/>
            <w:webHidden/>
          </w:rPr>
          <w:fldChar w:fldCharType="begin"/>
        </w:r>
        <w:r>
          <w:rPr>
            <w:noProof/>
            <w:webHidden/>
          </w:rPr>
          <w:instrText xml:space="preserve"> PAGEREF _Toc394643242 \h </w:instrText>
        </w:r>
        <w:r>
          <w:rPr>
            <w:noProof/>
            <w:webHidden/>
          </w:rPr>
        </w:r>
        <w:r>
          <w:rPr>
            <w:noProof/>
            <w:webHidden/>
          </w:rPr>
          <w:fldChar w:fldCharType="separate"/>
        </w:r>
        <w:r>
          <w:rPr>
            <w:noProof/>
            <w:webHidden/>
          </w:rPr>
          <w:t>21</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243" w:history="1">
        <w:r w:rsidRPr="00FA7B33">
          <w:rPr>
            <w:rStyle w:val="Hyperlink"/>
            <w:noProof/>
          </w:rPr>
          <w:t>3.</w:t>
        </w:r>
        <w:r>
          <w:rPr>
            <w:rFonts w:asciiTheme="minorHAnsi" w:eastAsiaTheme="minorEastAsia" w:hAnsiTheme="minorHAnsi" w:cstheme="minorBidi"/>
            <w:caps w:val="0"/>
            <w:noProof/>
            <w:sz w:val="22"/>
            <w:szCs w:val="22"/>
          </w:rPr>
          <w:tab/>
        </w:r>
        <w:r w:rsidRPr="00FA7B33">
          <w:rPr>
            <w:rStyle w:val="Hyperlink"/>
            <w:noProof/>
          </w:rPr>
          <w:t>NEUROLOGICAL EXAMINATION</w:t>
        </w:r>
        <w:r>
          <w:rPr>
            <w:noProof/>
            <w:webHidden/>
          </w:rPr>
          <w:tab/>
        </w:r>
        <w:r>
          <w:rPr>
            <w:noProof/>
            <w:webHidden/>
          </w:rPr>
          <w:fldChar w:fldCharType="begin"/>
        </w:r>
        <w:r>
          <w:rPr>
            <w:noProof/>
            <w:webHidden/>
          </w:rPr>
          <w:instrText xml:space="preserve"> PAGEREF _Toc394643243 \h </w:instrText>
        </w:r>
        <w:r>
          <w:rPr>
            <w:noProof/>
            <w:webHidden/>
          </w:rPr>
        </w:r>
        <w:r>
          <w:rPr>
            <w:noProof/>
            <w:webHidden/>
          </w:rPr>
          <w:fldChar w:fldCharType="separate"/>
        </w:r>
        <w:r>
          <w:rPr>
            <w:noProof/>
            <w:webHidden/>
          </w:rPr>
          <w:t>21</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244" w:history="1">
        <w:r w:rsidRPr="00FA7B33">
          <w:rPr>
            <w:rStyle w:val="Hyperlink"/>
            <w:noProof/>
          </w:rPr>
          <w:t>4.</w:t>
        </w:r>
        <w:r>
          <w:rPr>
            <w:rFonts w:asciiTheme="minorHAnsi" w:eastAsiaTheme="minorEastAsia" w:hAnsiTheme="minorHAnsi" w:cstheme="minorBidi"/>
            <w:caps w:val="0"/>
            <w:noProof/>
            <w:sz w:val="22"/>
            <w:szCs w:val="22"/>
          </w:rPr>
          <w:tab/>
        </w:r>
        <w:r w:rsidRPr="00FA7B33">
          <w:rPr>
            <w:rStyle w:val="Hyperlink"/>
            <w:noProof/>
          </w:rPr>
          <w:t>INITIAL NEUROPSYCHOLOGICAL ASSESSMENT</w:t>
        </w:r>
        <w:r>
          <w:rPr>
            <w:noProof/>
            <w:webHidden/>
          </w:rPr>
          <w:tab/>
        </w:r>
        <w:r>
          <w:rPr>
            <w:noProof/>
            <w:webHidden/>
          </w:rPr>
          <w:fldChar w:fldCharType="begin"/>
        </w:r>
        <w:r>
          <w:rPr>
            <w:noProof/>
            <w:webHidden/>
          </w:rPr>
          <w:instrText xml:space="preserve"> PAGEREF _Toc394643244 \h </w:instrText>
        </w:r>
        <w:r>
          <w:rPr>
            <w:noProof/>
            <w:webHidden/>
          </w:rPr>
        </w:r>
        <w:r>
          <w:rPr>
            <w:noProof/>
            <w:webHidden/>
          </w:rPr>
          <w:fldChar w:fldCharType="separate"/>
        </w:r>
        <w:r>
          <w:rPr>
            <w:noProof/>
            <w:webHidden/>
          </w:rPr>
          <w:t>22</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45"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Initial Neuropsychological Assessment – MTBI</w:t>
        </w:r>
        <w:r>
          <w:rPr>
            <w:noProof/>
            <w:webHidden/>
          </w:rPr>
          <w:tab/>
        </w:r>
        <w:r>
          <w:rPr>
            <w:noProof/>
            <w:webHidden/>
          </w:rPr>
          <w:fldChar w:fldCharType="begin"/>
        </w:r>
        <w:r>
          <w:rPr>
            <w:noProof/>
            <w:webHidden/>
          </w:rPr>
          <w:instrText xml:space="preserve"> PAGEREF _Toc394643245 \h </w:instrText>
        </w:r>
        <w:r>
          <w:rPr>
            <w:noProof/>
            <w:webHidden/>
          </w:rPr>
        </w:r>
        <w:r>
          <w:rPr>
            <w:noProof/>
            <w:webHidden/>
          </w:rPr>
          <w:fldChar w:fldCharType="separate"/>
        </w:r>
        <w:r>
          <w:rPr>
            <w:noProof/>
            <w:webHidden/>
          </w:rPr>
          <w:t>22</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46"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Initial Neuropsychological Assessment – Moderate/Severe Traumatic Brain Injury</w:t>
        </w:r>
        <w:r>
          <w:rPr>
            <w:noProof/>
            <w:webHidden/>
          </w:rPr>
          <w:tab/>
        </w:r>
        <w:r>
          <w:rPr>
            <w:noProof/>
            <w:webHidden/>
          </w:rPr>
          <w:fldChar w:fldCharType="begin"/>
        </w:r>
        <w:r>
          <w:rPr>
            <w:noProof/>
            <w:webHidden/>
          </w:rPr>
          <w:instrText xml:space="preserve"> PAGEREF _Toc394643246 \h </w:instrText>
        </w:r>
        <w:r>
          <w:rPr>
            <w:noProof/>
            <w:webHidden/>
          </w:rPr>
        </w:r>
        <w:r>
          <w:rPr>
            <w:noProof/>
            <w:webHidden/>
          </w:rPr>
          <w:fldChar w:fldCharType="separate"/>
        </w:r>
        <w:r>
          <w:rPr>
            <w:noProof/>
            <w:webHidden/>
          </w:rPr>
          <w:t>23</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47" w:history="1">
        <w:r w:rsidRPr="00FA7B33">
          <w:rPr>
            <w:rStyle w:val="Hyperlink"/>
            <w:rFonts w:ascii="Arial Bold" w:hAnsi="Arial Bold"/>
            <w:noProof/>
          </w:rPr>
          <w:t>c.</w:t>
        </w:r>
        <w:r>
          <w:rPr>
            <w:rFonts w:asciiTheme="minorHAnsi" w:eastAsiaTheme="minorEastAsia" w:hAnsiTheme="minorHAnsi" w:cstheme="minorBidi"/>
            <w:iCs w:val="0"/>
            <w:noProof/>
            <w:sz w:val="22"/>
            <w:szCs w:val="22"/>
          </w:rPr>
          <w:tab/>
        </w:r>
        <w:r w:rsidRPr="00FA7B33">
          <w:rPr>
            <w:rStyle w:val="Hyperlink"/>
            <w:noProof/>
          </w:rPr>
          <w:t>Post-Acute Testing</w:t>
        </w:r>
        <w:r>
          <w:rPr>
            <w:noProof/>
            <w:webHidden/>
          </w:rPr>
          <w:tab/>
        </w:r>
        <w:r>
          <w:rPr>
            <w:noProof/>
            <w:webHidden/>
          </w:rPr>
          <w:fldChar w:fldCharType="begin"/>
        </w:r>
        <w:r>
          <w:rPr>
            <w:noProof/>
            <w:webHidden/>
          </w:rPr>
          <w:instrText xml:space="preserve"> PAGEREF _Toc394643247 \h </w:instrText>
        </w:r>
        <w:r>
          <w:rPr>
            <w:noProof/>
            <w:webHidden/>
          </w:rPr>
        </w:r>
        <w:r>
          <w:rPr>
            <w:noProof/>
            <w:webHidden/>
          </w:rPr>
          <w:fldChar w:fldCharType="separate"/>
        </w:r>
        <w:r>
          <w:rPr>
            <w:noProof/>
            <w:webHidden/>
          </w:rPr>
          <w:t>24</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248" w:history="1">
        <w:r w:rsidRPr="00FA7B33">
          <w:rPr>
            <w:rStyle w:val="Hyperlink"/>
            <w:noProof/>
          </w:rPr>
          <w:t>5.</w:t>
        </w:r>
        <w:r>
          <w:rPr>
            <w:rFonts w:asciiTheme="minorHAnsi" w:eastAsiaTheme="minorEastAsia" w:hAnsiTheme="minorHAnsi" w:cstheme="minorBidi"/>
            <w:caps w:val="0"/>
            <w:noProof/>
            <w:sz w:val="22"/>
            <w:szCs w:val="22"/>
          </w:rPr>
          <w:tab/>
        </w:r>
        <w:r w:rsidRPr="00FA7B33">
          <w:rPr>
            <w:rStyle w:val="Hyperlink"/>
            <w:noProof/>
          </w:rPr>
          <w:t>Initial IMAGING PROCEDURES</w:t>
        </w:r>
        <w:r>
          <w:rPr>
            <w:noProof/>
            <w:webHidden/>
          </w:rPr>
          <w:tab/>
        </w:r>
        <w:r>
          <w:rPr>
            <w:noProof/>
            <w:webHidden/>
          </w:rPr>
          <w:fldChar w:fldCharType="begin"/>
        </w:r>
        <w:r>
          <w:rPr>
            <w:noProof/>
            <w:webHidden/>
          </w:rPr>
          <w:instrText xml:space="preserve"> PAGEREF _Toc394643248 \h </w:instrText>
        </w:r>
        <w:r>
          <w:rPr>
            <w:noProof/>
            <w:webHidden/>
          </w:rPr>
        </w:r>
        <w:r>
          <w:rPr>
            <w:noProof/>
            <w:webHidden/>
          </w:rPr>
          <w:fldChar w:fldCharType="separate"/>
        </w:r>
        <w:r>
          <w:rPr>
            <w:noProof/>
            <w:webHidden/>
          </w:rPr>
          <w:t>25</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49"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Skull X-Rays</w:t>
        </w:r>
        <w:r>
          <w:rPr>
            <w:noProof/>
            <w:webHidden/>
          </w:rPr>
          <w:tab/>
        </w:r>
        <w:r>
          <w:rPr>
            <w:noProof/>
            <w:webHidden/>
          </w:rPr>
          <w:fldChar w:fldCharType="begin"/>
        </w:r>
        <w:r>
          <w:rPr>
            <w:noProof/>
            <w:webHidden/>
          </w:rPr>
          <w:instrText xml:space="preserve"> PAGEREF _Toc394643249 \h </w:instrText>
        </w:r>
        <w:r>
          <w:rPr>
            <w:noProof/>
            <w:webHidden/>
          </w:rPr>
        </w:r>
        <w:r>
          <w:rPr>
            <w:noProof/>
            <w:webHidden/>
          </w:rPr>
          <w:fldChar w:fldCharType="separate"/>
        </w:r>
        <w:r>
          <w:rPr>
            <w:noProof/>
            <w:webHidden/>
          </w:rPr>
          <w:t>25</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50"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Computed Axial Tomography (CT)</w:t>
        </w:r>
        <w:r>
          <w:rPr>
            <w:noProof/>
            <w:webHidden/>
          </w:rPr>
          <w:tab/>
        </w:r>
        <w:r>
          <w:rPr>
            <w:noProof/>
            <w:webHidden/>
          </w:rPr>
          <w:fldChar w:fldCharType="begin"/>
        </w:r>
        <w:r>
          <w:rPr>
            <w:noProof/>
            <w:webHidden/>
          </w:rPr>
          <w:instrText xml:space="preserve"> PAGEREF _Toc394643250 \h </w:instrText>
        </w:r>
        <w:r>
          <w:rPr>
            <w:noProof/>
            <w:webHidden/>
          </w:rPr>
        </w:r>
        <w:r>
          <w:rPr>
            <w:noProof/>
            <w:webHidden/>
          </w:rPr>
          <w:fldChar w:fldCharType="separate"/>
        </w:r>
        <w:r>
          <w:rPr>
            <w:noProof/>
            <w:webHidden/>
          </w:rPr>
          <w:t>25</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51" w:history="1">
        <w:r w:rsidRPr="00FA7B33">
          <w:rPr>
            <w:rStyle w:val="Hyperlink"/>
            <w:rFonts w:ascii="Arial Bold" w:hAnsi="Arial Bold"/>
            <w:noProof/>
          </w:rPr>
          <w:t>c.</w:t>
        </w:r>
        <w:r>
          <w:rPr>
            <w:rFonts w:asciiTheme="minorHAnsi" w:eastAsiaTheme="minorEastAsia" w:hAnsiTheme="minorHAnsi" w:cstheme="minorBidi"/>
            <w:iCs w:val="0"/>
            <w:noProof/>
            <w:sz w:val="22"/>
            <w:szCs w:val="22"/>
          </w:rPr>
          <w:tab/>
        </w:r>
        <w:r w:rsidRPr="00FA7B33">
          <w:rPr>
            <w:rStyle w:val="Hyperlink"/>
            <w:noProof/>
          </w:rPr>
          <w:t>Magnetic Resonance Imaging (MRI)</w:t>
        </w:r>
        <w:r>
          <w:rPr>
            <w:noProof/>
            <w:webHidden/>
          </w:rPr>
          <w:tab/>
        </w:r>
        <w:r>
          <w:rPr>
            <w:noProof/>
            <w:webHidden/>
          </w:rPr>
          <w:fldChar w:fldCharType="begin"/>
        </w:r>
        <w:r>
          <w:rPr>
            <w:noProof/>
            <w:webHidden/>
          </w:rPr>
          <w:instrText xml:space="preserve"> PAGEREF _Toc394643251 \h </w:instrText>
        </w:r>
        <w:r>
          <w:rPr>
            <w:noProof/>
            <w:webHidden/>
          </w:rPr>
        </w:r>
        <w:r>
          <w:rPr>
            <w:noProof/>
            <w:webHidden/>
          </w:rPr>
          <w:fldChar w:fldCharType="separate"/>
        </w:r>
        <w:r>
          <w:rPr>
            <w:noProof/>
            <w:webHidden/>
          </w:rPr>
          <w:t>26</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252" w:history="1">
        <w:r w:rsidRPr="00FA7B33">
          <w:rPr>
            <w:rStyle w:val="Hyperlink"/>
            <w:noProof/>
          </w:rPr>
          <w:t>6.</w:t>
        </w:r>
        <w:r>
          <w:rPr>
            <w:rFonts w:asciiTheme="minorHAnsi" w:eastAsiaTheme="minorEastAsia" w:hAnsiTheme="minorHAnsi" w:cstheme="minorBidi"/>
            <w:caps w:val="0"/>
            <w:noProof/>
            <w:sz w:val="22"/>
            <w:szCs w:val="22"/>
          </w:rPr>
          <w:tab/>
        </w:r>
        <w:r w:rsidRPr="00FA7B33">
          <w:rPr>
            <w:rStyle w:val="Hyperlink"/>
            <w:noProof/>
          </w:rPr>
          <w:t>VASCULAR IMAGING TESTS</w:t>
        </w:r>
        <w:r>
          <w:rPr>
            <w:noProof/>
            <w:webHidden/>
          </w:rPr>
          <w:tab/>
        </w:r>
        <w:r>
          <w:rPr>
            <w:noProof/>
            <w:webHidden/>
          </w:rPr>
          <w:fldChar w:fldCharType="begin"/>
        </w:r>
        <w:r>
          <w:rPr>
            <w:noProof/>
            <w:webHidden/>
          </w:rPr>
          <w:instrText xml:space="preserve"> PAGEREF _Toc394643252 \h </w:instrText>
        </w:r>
        <w:r>
          <w:rPr>
            <w:noProof/>
            <w:webHidden/>
          </w:rPr>
        </w:r>
        <w:r>
          <w:rPr>
            <w:noProof/>
            <w:webHidden/>
          </w:rPr>
          <w:fldChar w:fldCharType="separate"/>
        </w:r>
        <w:r>
          <w:rPr>
            <w:noProof/>
            <w:webHidden/>
          </w:rPr>
          <w:t>26</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53"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CT Angiography (CTA):</w:t>
        </w:r>
        <w:r>
          <w:rPr>
            <w:noProof/>
            <w:webHidden/>
          </w:rPr>
          <w:tab/>
        </w:r>
        <w:r>
          <w:rPr>
            <w:noProof/>
            <w:webHidden/>
          </w:rPr>
          <w:fldChar w:fldCharType="begin"/>
        </w:r>
        <w:r>
          <w:rPr>
            <w:noProof/>
            <w:webHidden/>
          </w:rPr>
          <w:instrText xml:space="preserve"> PAGEREF _Toc394643253 \h </w:instrText>
        </w:r>
        <w:r>
          <w:rPr>
            <w:noProof/>
            <w:webHidden/>
          </w:rPr>
        </w:r>
        <w:r>
          <w:rPr>
            <w:noProof/>
            <w:webHidden/>
          </w:rPr>
          <w:fldChar w:fldCharType="separate"/>
        </w:r>
        <w:r>
          <w:rPr>
            <w:noProof/>
            <w:webHidden/>
          </w:rPr>
          <w:t>26</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54"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Arteriography</w:t>
        </w:r>
        <w:r>
          <w:rPr>
            <w:noProof/>
            <w:webHidden/>
          </w:rPr>
          <w:tab/>
        </w:r>
        <w:r>
          <w:rPr>
            <w:noProof/>
            <w:webHidden/>
          </w:rPr>
          <w:fldChar w:fldCharType="begin"/>
        </w:r>
        <w:r>
          <w:rPr>
            <w:noProof/>
            <w:webHidden/>
          </w:rPr>
          <w:instrText xml:space="preserve"> PAGEREF _Toc394643254 \h </w:instrText>
        </w:r>
        <w:r>
          <w:rPr>
            <w:noProof/>
            <w:webHidden/>
          </w:rPr>
        </w:r>
        <w:r>
          <w:rPr>
            <w:noProof/>
            <w:webHidden/>
          </w:rPr>
          <w:fldChar w:fldCharType="separate"/>
        </w:r>
        <w:r>
          <w:rPr>
            <w:noProof/>
            <w:webHidden/>
          </w:rPr>
          <w:t>27</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55" w:history="1">
        <w:r w:rsidRPr="00FA7B33">
          <w:rPr>
            <w:rStyle w:val="Hyperlink"/>
            <w:rFonts w:ascii="Arial Bold" w:hAnsi="Arial Bold"/>
            <w:noProof/>
          </w:rPr>
          <w:t>c.</w:t>
        </w:r>
        <w:r>
          <w:rPr>
            <w:rFonts w:asciiTheme="minorHAnsi" w:eastAsiaTheme="minorEastAsia" w:hAnsiTheme="minorHAnsi" w:cstheme="minorBidi"/>
            <w:iCs w:val="0"/>
            <w:noProof/>
            <w:sz w:val="22"/>
            <w:szCs w:val="22"/>
          </w:rPr>
          <w:tab/>
        </w:r>
        <w:r w:rsidRPr="00FA7B33">
          <w:rPr>
            <w:rStyle w:val="Hyperlink"/>
            <w:noProof/>
          </w:rPr>
          <w:t>Venography</w:t>
        </w:r>
        <w:r>
          <w:rPr>
            <w:noProof/>
            <w:webHidden/>
          </w:rPr>
          <w:tab/>
        </w:r>
        <w:r>
          <w:rPr>
            <w:noProof/>
            <w:webHidden/>
          </w:rPr>
          <w:fldChar w:fldCharType="begin"/>
        </w:r>
        <w:r>
          <w:rPr>
            <w:noProof/>
            <w:webHidden/>
          </w:rPr>
          <w:instrText xml:space="preserve"> PAGEREF _Toc394643255 \h </w:instrText>
        </w:r>
        <w:r>
          <w:rPr>
            <w:noProof/>
            <w:webHidden/>
          </w:rPr>
        </w:r>
        <w:r>
          <w:rPr>
            <w:noProof/>
            <w:webHidden/>
          </w:rPr>
          <w:fldChar w:fldCharType="separate"/>
        </w:r>
        <w:r>
          <w:rPr>
            <w:noProof/>
            <w:webHidden/>
          </w:rPr>
          <w:t>27</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56" w:history="1">
        <w:r w:rsidRPr="00FA7B33">
          <w:rPr>
            <w:rStyle w:val="Hyperlink"/>
            <w:rFonts w:ascii="Arial Bold" w:hAnsi="Arial Bold"/>
            <w:noProof/>
          </w:rPr>
          <w:t>d.</w:t>
        </w:r>
        <w:r>
          <w:rPr>
            <w:rFonts w:asciiTheme="minorHAnsi" w:eastAsiaTheme="minorEastAsia" w:hAnsiTheme="minorHAnsi" w:cstheme="minorBidi"/>
            <w:iCs w:val="0"/>
            <w:noProof/>
            <w:sz w:val="22"/>
            <w:szCs w:val="22"/>
          </w:rPr>
          <w:tab/>
        </w:r>
        <w:r w:rsidRPr="00FA7B33">
          <w:rPr>
            <w:rStyle w:val="Hyperlink"/>
            <w:noProof/>
          </w:rPr>
          <w:t>Noninvasive Vascular Assessment (NIVA)</w:t>
        </w:r>
        <w:r>
          <w:rPr>
            <w:noProof/>
            <w:webHidden/>
          </w:rPr>
          <w:tab/>
        </w:r>
        <w:r>
          <w:rPr>
            <w:noProof/>
            <w:webHidden/>
          </w:rPr>
          <w:fldChar w:fldCharType="begin"/>
        </w:r>
        <w:r>
          <w:rPr>
            <w:noProof/>
            <w:webHidden/>
          </w:rPr>
          <w:instrText xml:space="preserve"> PAGEREF _Toc394643256 \h </w:instrText>
        </w:r>
        <w:r>
          <w:rPr>
            <w:noProof/>
            <w:webHidden/>
          </w:rPr>
        </w:r>
        <w:r>
          <w:rPr>
            <w:noProof/>
            <w:webHidden/>
          </w:rPr>
          <w:fldChar w:fldCharType="separate"/>
        </w:r>
        <w:r>
          <w:rPr>
            <w:noProof/>
            <w:webHidden/>
          </w:rPr>
          <w:t>27</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57" w:history="1">
        <w:r w:rsidRPr="00FA7B33">
          <w:rPr>
            <w:rStyle w:val="Hyperlink"/>
            <w:rFonts w:ascii="Arial Bold" w:hAnsi="Arial Bold"/>
            <w:noProof/>
          </w:rPr>
          <w:t>e.</w:t>
        </w:r>
        <w:r>
          <w:rPr>
            <w:rFonts w:asciiTheme="minorHAnsi" w:eastAsiaTheme="minorEastAsia" w:hAnsiTheme="minorHAnsi" w:cstheme="minorBidi"/>
            <w:iCs w:val="0"/>
            <w:noProof/>
            <w:sz w:val="22"/>
            <w:szCs w:val="22"/>
          </w:rPr>
          <w:tab/>
        </w:r>
        <w:r w:rsidRPr="00FA7B33">
          <w:rPr>
            <w:rStyle w:val="Hyperlink"/>
            <w:noProof/>
          </w:rPr>
          <w:t>Magnetic Resonance Angiography (Magnetic Resonance Arteriography (MRA)/Magnetic Resonance Venography (MVA))</w:t>
        </w:r>
        <w:r>
          <w:rPr>
            <w:noProof/>
            <w:webHidden/>
          </w:rPr>
          <w:tab/>
        </w:r>
        <w:r>
          <w:rPr>
            <w:noProof/>
            <w:webHidden/>
          </w:rPr>
          <w:fldChar w:fldCharType="begin"/>
        </w:r>
        <w:r>
          <w:rPr>
            <w:noProof/>
            <w:webHidden/>
          </w:rPr>
          <w:instrText xml:space="preserve"> PAGEREF _Toc394643257 \h </w:instrText>
        </w:r>
        <w:r>
          <w:rPr>
            <w:noProof/>
            <w:webHidden/>
          </w:rPr>
        </w:r>
        <w:r>
          <w:rPr>
            <w:noProof/>
            <w:webHidden/>
          </w:rPr>
          <w:fldChar w:fldCharType="separate"/>
        </w:r>
        <w:r>
          <w:rPr>
            <w:noProof/>
            <w:webHidden/>
          </w:rPr>
          <w:t>27</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58" w:history="1">
        <w:r w:rsidRPr="00FA7B33">
          <w:rPr>
            <w:rStyle w:val="Hyperlink"/>
            <w:rFonts w:ascii="Arial Bold" w:hAnsi="Arial Bold"/>
            <w:noProof/>
          </w:rPr>
          <w:t>f.</w:t>
        </w:r>
        <w:r>
          <w:rPr>
            <w:rFonts w:asciiTheme="minorHAnsi" w:eastAsiaTheme="minorEastAsia" w:hAnsiTheme="minorHAnsi" w:cstheme="minorBidi"/>
            <w:iCs w:val="0"/>
            <w:noProof/>
            <w:sz w:val="22"/>
            <w:szCs w:val="22"/>
          </w:rPr>
          <w:tab/>
        </w:r>
        <w:r w:rsidRPr="00FA7B33">
          <w:rPr>
            <w:rStyle w:val="Hyperlink"/>
            <w:noProof/>
          </w:rPr>
          <w:t>Brain Acoustic Monitor</w:t>
        </w:r>
        <w:r>
          <w:rPr>
            <w:noProof/>
            <w:webHidden/>
          </w:rPr>
          <w:tab/>
        </w:r>
        <w:r>
          <w:rPr>
            <w:noProof/>
            <w:webHidden/>
          </w:rPr>
          <w:fldChar w:fldCharType="begin"/>
        </w:r>
        <w:r>
          <w:rPr>
            <w:noProof/>
            <w:webHidden/>
          </w:rPr>
          <w:instrText xml:space="preserve"> PAGEREF _Toc394643258 \h </w:instrText>
        </w:r>
        <w:r>
          <w:rPr>
            <w:noProof/>
            <w:webHidden/>
          </w:rPr>
        </w:r>
        <w:r>
          <w:rPr>
            <w:noProof/>
            <w:webHidden/>
          </w:rPr>
          <w:fldChar w:fldCharType="separate"/>
        </w:r>
        <w:r>
          <w:rPr>
            <w:noProof/>
            <w:webHidden/>
          </w:rPr>
          <w:t>27</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259" w:history="1">
        <w:r w:rsidRPr="00FA7B33">
          <w:rPr>
            <w:rStyle w:val="Hyperlink"/>
            <w:noProof/>
          </w:rPr>
          <w:t>7.</w:t>
        </w:r>
        <w:r>
          <w:rPr>
            <w:rFonts w:asciiTheme="minorHAnsi" w:eastAsiaTheme="minorEastAsia" w:hAnsiTheme="minorHAnsi" w:cstheme="minorBidi"/>
            <w:caps w:val="0"/>
            <w:noProof/>
            <w:sz w:val="22"/>
            <w:szCs w:val="22"/>
          </w:rPr>
          <w:tab/>
        </w:r>
        <w:r w:rsidRPr="00FA7B33">
          <w:rPr>
            <w:rStyle w:val="Hyperlink"/>
            <w:noProof/>
          </w:rPr>
          <w:t>LUMBAR PUNCTURE</w:t>
        </w:r>
        <w:r>
          <w:rPr>
            <w:noProof/>
            <w:webHidden/>
          </w:rPr>
          <w:tab/>
        </w:r>
        <w:r>
          <w:rPr>
            <w:noProof/>
            <w:webHidden/>
          </w:rPr>
          <w:fldChar w:fldCharType="begin"/>
        </w:r>
        <w:r>
          <w:rPr>
            <w:noProof/>
            <w:webHidden/>
          </w:rPr>
          <w:instrText xml:space="preserve"> PAGEREF _Toc394643259 \h </w:instrText>
        </w:r>
        <w:r>
          <w:rPr>
            <w:noProof/>
            <w:webHidden/>
          </w:rPr>
        </w:r>
        <w:r>
          <w:rPr>
            <w:noProof/>
            <w:webHidden/>
          </w:rPr>
          <w:fldChar w:fldCharType="separate"/>
        </w:r>
        <w:r>
          <w:rPr>
            <w:noProof/>
            <w:webHidden/>
          </w:rPr>
          <w:t>27</w:t>
        </w:r>
        <w:r>
          <w:rPr>
            <w:noProof/>
            <w:webHidden/>
          </w:rPr>
          <w:fldChar w:fldCharType="end"/>
        </w:r>
      </w:hyperlink>
    </w:p>
    <w:p w:rsidR="00203DF3" w:rsidRDefault="00203DF3">
      <w:pPr>
        <w:pStyle w:val="TOC1"/>
        <w:tabs>
          <w:tab w:val="right" w:leader="dot" w:pos="9350"/>
        </w:tabs>
        <w:rPr>
          <w:rFonts w:asciiTheme="minorHAnsi" w:eastAsiaTheme="minorEastAsia" w:hAnsiTheme="minorHAnsi" w:cstheme="minorBidi"/>
          <w:b w:val="0"/>
          <w:bCs w:val="0"/>
          <w:caps w:val="0"/>
          <w:noProof/>
          <w:sz w:val="22"/>
          <w:szCs w:val="22"/>
        </w:rPr>
      </w:pPr>
      <w:hyperlink w:anchor="_Toc394643260" w:history="1">
        <w:r w:rsidRPr="00FA7B33">
          <w:rPr>
            <w:rStyle w:val="Hyperlink"/>
            <w:noProof/>
          </w:rPr>
          <w:t>e.</w:t>
        </w:r>
        <w:r>
          <w:rPr>
            <w:rFonts w:asciiTheme="minorHAnsi" w:eastAsiaTheme="minorEastAsia" w:hAnsiTheme="minorHAnsi" w:cstheme="minorBidi"/>
            <w:b w:val="0"/>
            <w:bCs w:val="0"/>
            <w:caps w:val="0"/>
            <w:noProof/>
            <w:sz w:val="22"/>
            <w:szCs w:val="22"/>
          </w:rPr>
          <w:tab/>
        </w:r>
        <w:r w:rsidRPr="00FA7B33">
          <w:rPr>
            <w:rStyle w:val="Hyperlink"/>
            <w:noProof/>
          </w:rPr>
          <w:t>FOLLOW-UP DIAGNOSTIC PROCEDURES</w:t>
        </w:r>
        <w:r>
          <w:rPr>
            <w:noProof/>
            <w:webHidden/>
          </w:rPr>
          <w:tab/>
        </w:r>
        <w:r>
          <w:rPr>
            <w:noProof/>
            <w:webHidden/>
          </w:rPr>
          <w:fldChar w:fldCharType="begin"/>
        </w:r>
        <w:r>
          <w:rPr>
            <w:noProof/>
            <w:webHidden/>
          </w:rPr>
          <w:instrText xml:space="preserve"> PAGEREF _Toc394643260 \h </w:instrText>
        </w:r>
        <w:r>
          <w:rPr>
            <w:noProof/>
            <w:webHidden/>
          </w:rPr>
        </w:r>
        <w:r>
          <w:rPr>
            <w:noProof/>
            <w:webHidden/>
          </w:rPr>
          <w:fldChar w:fldCharType="separate"/>
        </w:r>
        <w:r>
          <w:rPr>
            <w:noProof/>
            <w:webHidden/>
          </w:rPr>
          <w:t>28</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261" w:history="1">
        <w:r w:rsidRPr="00FA7B33">
          <w:rPr>
            <w:rStyle w:val="Hyperlink"/>
            <w:noProof/>
          </w:rPr>
          <w:t>1.</w:t>
        </w:r>
        <w:r>
          <w:rPr>
            <w:rFonts w:asciiTheme="minorHAnsi" w:eastAsiaTheme="minorEastAsia" w:hAnsiTheme="minorHAnsi" w:cstheme="minorBidi"/>
            <w:caps w:val="0"/>
            <w:noProof/>
            <w:sz w:val="22"/>
            <w:szCs w:val="22"/>
          </w:rPr>
          <w:tab/>
        </w:r>
        <w:r w:rsidRPr="00FA7B33">
          <w:rPr>
            <w:rStyle w:val="Hyperlink"/>
            <w:noProof/>
          </w:rPr>
          <w:t>IMAGING</w:t>
        </w:r>
        <w:r>
          <w:rPr>
            <w:noProof/>
            <w:webHidden/>
          </w:rPr>
          <w:tab/>
        </w:r>
        <w:r>
          <w:rPr>
            <w:noProof/>
            <w:webHidden/>
          </w:rPr>
          <w:fldChar w:fldCharType="begin"/>
        </w:r>
        <w:r>
          <w:rPr>
            <w:noProof/>
            <w:webHidden/>
          </w:rPr>
          <w:instrText xml:space="preserve"> PAGEREF _Toc394643261 \h </w:instrText>
        </w:r>
        <w:r>
          <w:rPr>
            <w:noProof/>
            <w:webHidden/>
          </w:rPr>
        </w:r>
        <w:r>
          <w:rPr>
            <w:noProof/>
            <w:webHidden/>
          </w:rPr>
          <w:fldChar w:fldCharType="separate"/>
        </w:r>
        <w:r>
          <w:rPr>
            <w:noProof/>
            <w:webHidden/>
          </w:rPr>
          <w:t>28</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62"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Structural Imaging</w:t>
        </w:r>
        <w:r>
          <w:rPr>
            <w:noProof/>
            <w:webHidden/>
          </w:rPr>
          <w:tab/>
        </w:r>
        <w:r>
          <w:rPr>
            <w:noProof/>
            <w:webHidden/>
          </w:rPr>
          <w:fldChar w:fldCharType="begin"/>
        </w:r>
        <w:r>
          <w:rPr>
            <w:noProof/>
            <w:webHidden/>
          </w:rPr>
          <w:instrText xml:space="preserve"> PAGEREF _Toc394643262 \h </w:instrText>
        </w:r>
        <w:r>
          <w:rPr>
            <w:noProof/>
            <w:webHidden/>
          </w:rPr>
        </w:r>
        <w:r>
          <w:rPr>
            <w:noProof/>
            <w:webHidden/>
          </w:rPr>
          <w:fldChar w:fldCharType="separate"/>
        </w:r>
        <w:r>
          <w:rPr>
            <w:noProof/>
            <w:webHidden/>
          </w:rPr>
          <w:t>28</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63"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Dynamic Imaging</w:t>
        </w:r>
        <w:r>
          <w:rPr>
            <w:noProof/>
            <w:webHidden/>
          </w:rPr>
          <w:tab/>
        </w:r>
        <w:r>
          <w:rPr>
            <w:noProof/>
            <w:webHidden/>
          </w:rPr>
          <w:fldChar w:fldCharType="begin"/>
        </w:r>
        <w:r>
          <w:rPr>
            <w:noProof/>
            <w:webHidden/>
          </w:rPr>
          <w:instrText xml:space="preserve"> PAGEREF _Toc394643263 \h </w:instrText>
        </w:r>
        <w:r>
          <w:rPr>
            <w:noProof/>
            <w:webHidden/>
          </w:rPr>
        </w:r>
        <w:r>
          <w:rPr>
            <w:noProof/>
            <w:webHidden/>
          </w:rPr>
          <w:fldChar w:fldCharType="separate"/>
        </w:r>
        <w:r>
          <w:rPr>
            <w:noProof/>
            <w:webHidden/>
          </w:rPr>
          <w:t>28</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264" w:history="1">
        <w:r w:rsidRPr="00FA7B33">
          <w:rPr>
            <w:rStyle w:val="Hyperlink"/>
            <w:noProof/>
          </w:rPr>
          <w:t>2.</w:t>
        </w:r>
        <w:r>
          <w:rPr>
            <w:rFonts w:asciiTheme="minorHAnsi" w:eastAsiaTheme="minorEastAsia" w:hAnsiTheme="minorHAnsi" w:cstheme="minorBidi"/>
            <w:caps w:val="0"/>
            <w:noProof/>
            <w:sz w:val="22"/>
            <w:szCs w:val="22"/>
          </w:rPr>
          <w:tab/>
        </w:r>
        <w:r w:rsidRPr="00FA7B33">
          <w:rPr>
            <w:rStyle w:val="Hyperlink"/>
            <w:noProof/>
          </w:rPr>
          <w:t>ADVANCED MRI TECHNIQUES</w:t>
        </w:r>
        <w:r>
          <w:rPr>
            <w:noProof/>
            <w:webHidden/>
          </w:rPr>
          <w:tab/>
        </w:r>
        <w:r>
          <w:rPr>
            <w:noProof/>
            <w:webHidden/>
          </w:rPr>
          <w:fldChar w:fldCharType="begin"/>
        </w:r>
        <w:r>
          <w:rPr>
            <w:noProof/>
            <w:webHidden/>
          </w:rPr>
          <w:instrText xml:space="preserve"> PAGEREF _Toc394643264 \h </w:instrText>
        </w:r>
        <w:r>
          <w:rPr>
            <w:noProof/>
            <w:webHidden/>
          </w:rPr>
        </w:r>
        <w:r>
          <w:rPr>
            <w:noProof/>
            <w:webHidden/>
          </w:rPr>
          <w:fldChar w:fldCharType="separate"/>
        </w:r>
        <w:r>
          <w:rPr>
            <w:noProof/>
            <w:webHidden/>
          </w:rPr>
          <w:t>29</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65"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Magnetic Resonance (MR) Spectroscopy</w:t>
        </w:r>
        <w:r>
          <w:rPr>
            <w:noProof/>
            <w:webHidden/>
          </w:rPr>
          <w:tab/>
        </w:r>
        <w:r>
          <w:rPr>
            <w:noProof/>
            <w:webHidden/>
          </w:rPr>
          <w:fldChar w:fldCharType="begin"/>
        </w:r>
        <w:r>
          <w:rPr>
            <w:noProof/>
            <w:webHidden/>
          </w:rPr>
          <w:instrText xml:space="preserve"> PAGEREF _Toc394643265 \h </w:instrText>
        </w:r>
        <w:r>
          <w:rPr>
            <w:noProof/>
            <w:webHidden/>
          </w:rPr>
        </w:r>
        <w:r>
          <w:rPr>
            <w:noProof/>
            <w:webHidden/>
          </w:rPr>
          <w:fldChar w:fldCharType="separate"/>
        </w:r>
        <w:r>
          <w:rPr>
            <w:noProof/>
            <w:webHidden/>
          </w:rPr>
          <w:t>29</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66"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Functional MRI (fMRI)</w:t>
        </w:r>
        <w:r>
          <w:rPr>
            <w:noProof/>
            <w:webHidden/>
          </w:rPr>
          <w:tab/>
        </w:r>
        <w:r>
          <w:rPr>
            <w:noProof/>
            <w:webHidden/>
          </w:rPr>
          <w:fldChar w:fldCharType="begin"/>
        </w:r>
        <w:r>
          <w:rPr>
            <w:noProof/>
            <w:webHidden/>
          </w:rPr>
          <w:instrText xml:space="preserve"> PAGEREF _Toc394643266 \h </w:instrText>
        </w:r>
        <w:r>
          <w:rPr>
            <w:noProof/>
            <w:webHidden/>
          </w:rPr>
        </w:r>
        <w:r>
          <w:rPr>
            <w:noProof/>
            <w:webHidden/>
          </w:rPr>
          <w:fldChar w:fldCharType="separate"/>
        </w:r>
        <w:r>
          <w:rPr>
            <w:noProof/>
            <w:webHidden/>
          </w:rPr>
          <w:t>29</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67" w:history="1">
        <w:r w:rsidRPr="00FA7B33">
          <w:rPr>
            <w:rStyle w:val="Hyperlink"/>
            <w:rFonts w:ascii="Arial Bold" w:hAnsi="Arial Bold"/>
            <w:noProof/>
          </w:rPr>
          <w:t>c.</w:t>
        </w:r>
        <w:r>
          <w:rPr>
            <w:rFonts w:asciiTheme="minorHAnsi" w:eastAsiaTheme="minorEastAsia" w:hAnsiTheme="minorHAnsi" w:cstheme="minorBidi"/>
            <w:iCs w:val="0"/>
            <w:noProof/>
            <w:sz w:val="22"/>
            <w:szCs w:val="22"/>
          </w:rPr>
          <w:tab/>
        </w:r>
        <w:r w:rsidRPr="00FA7B33">
          <w:rPr>
            <w:rStyle w:val="Hyperlink"/>
            <w:noProof/>
          </w:rPr>
          <w:t>Diffusion Tensor Imaging, Susceptibility—Weighted Imaging and Magnetic Transfer Imaging</w:t>
        </w:r>
        <w:r>
          <w:rPr>
            <w:noProof/>
            <w:webHidden/>
          </w:rPr>
          <w:tab/>
        </w:r>
        <w:r>
          <w:rPr>
            <w:noProof/>
            <w:webHidden/>
          </w:rPr>
          <w:fldChar w:fldCharType="begin"/>
        </w:r>
        <w:r>
          <w:rPr>
            <w:noProof/>
            <w:webHidden/>
          </w:rPr>
          <w:instrText xml:space="preserve"> PAGEREF _Toc394643267 \h </w:instrText>
        </w:r>
        <w:r>
          <w:rPr>
            <w:noProof/>
            <w:webHidden/>
          </w:rPr>
        </w:r>
        <w:r>
          <w:rPr>
            <w:noProof/>
            <w:webHidden/>
          </w:rPr>
          <w:fldChar w:fldCharType="separate"/>
        </w:r>
        <w:r>
          <w:rPr>
            <w:noProof/>
            <w:webHidden/>
          </w:rPr>
          <w:t>30</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268" w:history="1">
        <w:r w:rsidRPr="00FA7B33">
          <w:rPr>
            <w:rStyle w:val="Hyperlink"/>
            <w:noProof/>
          </w:rPr>
          <w:t>3.</w:t>
        </w:r>
        <w:r>
          <w:rPr>
            <w:rFonts w:asciiTheme="minorHAnsi" w:eastAsiaTheme="minorEastAsia" w:hAnsiTheme="minorHAnsi" w:cstheme="minorBidi"/>
            <w:caps w:val="0"/>
            <w:noProof/>
            <w:sz w:val="22"/>
            <w:szCs w:val="22"/>
          </w:rPr>
          <w:tab/>
        </w:r>
        <w:r w:rsidRPr="00FA7B33">
          <w:rPr>
            <w:rStyle w:val="Hyperlink"/>
            <w:noProof/>
          </w:rPr>
          <w:t>NEUROPSYCHOLOGICAL ASSESSMENT</w:t>
        </w:r>
        <w:r>
          <w:rPr>
            <w:noProof/>
            <w:webHidden/>
          </w:rPr>
          <w:tab/>
        </w:r>
        <w:r>
          <w:rPr>
            <w:noProof/>
            <w:webHidden/>
          </w:rPr>
          <w:fldChar w:fldCharType="begin"/>
        </w:r>
        <w:r>
          <w:rPr>
            <w:noProof/>
            <w:webHidden/>
          </w:rPr>
          <w:instrText xml:space="preserve"> PAGEREF _Toc394643268 \h </w:instrText>
        </w:r>
        <w:r>
          <w:rPr>
            <w:noProof/>
            <w:webHidden/>
          </w:rPr>
        </w:r>
        <w:r>
          <w:rPr>
            <w:noProof/>
            <w:webHidden/>
          </w:rPr>
          <w:fldChar w:fldCharType="separate"/>
        </w:r>
        <w:r>
          <w:rPr>
            <w:noProof/>
            <w:webHidden/>
          </w:rPr>
          <w:t>30</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69"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Mild Traumatic Brain Injury</w:t>
        </w:r>
        <w:r>
          <w:rPr>
            <w:noProof/>
            <w:webHidden/>
          </w:rPr>
          <w:tab/>
        </w:r>
        <w:r>
          <w:rPr>
            <w:noProof/>
            <w:webHidden/>
          </w:rPr>
          <w:fldChar w:fldCharType="begin"/>
        </w:r>
        <w:r>
          <w:rPr>
            <w:noProof/>
            <w:webHidden/>
          </w:rPr>
          <w:instrText xml:space="preserve"> PAGEREF _Toc394643269 \h </w:instrText>
        </w:r>
        <w:r>
          <w:rPr>
            <w:noProof/>
            <w:webHidden/>
          </w:rPr>
        </w:r>
        <w:r>
          <w:rPr>
            <w:noProof/>
            <w:webHidden/>
          </w:rPr>
          <w:fldChar w:fldCharType="separate"/>
        </w:r>
        <w:r>
          <w:rPr>
            <w:noProof/>
            <w:webHidden/>
          </w:rPr>
          <w:t>30</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70"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Moderate/Severe TBI</w:t>
        </w:r>
        <w:r>
          <w:rPr>
            <w:noProof/>
            <w:webHidden/>
          </w:rPr>
          <w:tab/>
        </w:r>
        <w:r>
          <w:rPr>
            <w:noProof/>
            <w:webHidden/>
          </w:rPr>
          <w:fldChar w:fldCharType="begin"/>
        </w:r>
        <w:r>
          <w:rPr>
            <w:noProof/>
            <w:webHidden/>
          </w:rPr>
          <w:instrText xml:space="preserve"> PAGEREF _Toc394643270 \h </w:instrText>
        </w:r>
        <w:r>
          <w:rPr>
            <w:noProof/>
            <w:webHidden/>
          </w:rPr>
        </w:r>
        <w:r>
          <w:rPr>
            <w:noProof/>
            <w:webHidden/>
          </w:rPr>
          <w:fldChar w:fldCharType="separate"/>
        </w:r>
        <w:r>
          <w:rPr>
            <w:noProof/>
            <w:webHidden/>
          </w:rPr>
          <w:t>31</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271" w:history="1">
        <w:r w:rsidRPr="00FA7B33">
          <w:rPr>
            <w:rStyle w:val="Hyperlink"/>
            <w:noProof/>
          </w:rPr>
          <w:t>4.</w:t>
        </w:r>
        <w:r>
          <w:rPr>
            <w:rFonts w:asciiTheme="minorHAnsi" w:eastAsiaTheme="minorEastAsia" w:hAnsiTheme="minorHAnsi" w:cstheme="minorBidi"/>
            <w:caps w:val="0"/>
            <w:noProof/>
            <w:sz w:val="22"/>
            <w:szCs w:val="22"/>
          </w:rPr>
          <w:tab/>
        </w:r>
        <w:r w:rsidRPr="00FA7B33">
          <w:rPr>
            <w:rStyle w:val="Hyperlink"/>
            <w:noProof/>
          </w:rPr>
          <w:t>PERSONALITY/PSYCHOLOGICAL/PSYCHOSOCIAL EVALUATIONS</w:t>
        </w:r>
        <w:r>
          <w:rPr>
            <w:noProof/>
            <w:webHidden/>
          </w:rPr>
          <w:tab/>
        </w:r>
        <w:r>
          <w:rPr>
            <w:noProof/>
            <w:webHidden/>
          </w:rPr>
          <w:fldChar w:fldCharType="begin"/>
        </w:r>
        <w:r>
          <w:rPr>
            <w:noProof/>
            <w:webHidden/>
          </w:rPr>
          <w:instrText xml:space="preserve"> PAGEREF _Toc394643271 \h </w:instrText>
        </w:r>
        <w:r>
          <w:rPr>
            <w:noProof/>
            <w:webHidden/>
          </w:rPr>
        </w:r>
        <w:r>
          <w:rPr>
            <w:noProof/>
            <w:webHidden/>
          </w:rPr>
          <w:fldChar w:fldCharType="separate"/>
        </w:r>
        <w:r>
          <w:rPr>
            <w:noProof/>
            <w:webHidden/>
          </w:rPr>
          <w:t>31</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72"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Qualifications</w:t>
        </w:r>
        <w:r>
          <w:rPr>
            <w:noProof/>
            <w:webHidden/>
          </w:rPr>
          <w:tab/>
        </w:r>
        <w:r>
          <w:rPr>
            <w:noProof/>
            <w:webHidden/>
          </w:rPr>
          <w:fldChar w:fldCharType="begin"/>
        </w:r>
        <w:r>
          <w:rPr>
            <w:noProof/>
            <w:webHidden/>
          </w:rPr>
          <w:instrText xml:space="preserve"> PAGEREF _Toc394643272 \h </w:instrText>
        </w:r>
        <w:r>
          <w:rPr>
            <w:noProof/>
            <w:webHidden/>
          </w:rPr>
        </w:r>
        <w:r>
          <w:rPr>
            <w:noProof/>
            <w:webHidden/>
          </w:rPr>
          <w:fldChar w:fldCharType="separate"/>
        </w:r>
        <w:r>
          <w:rPr>
            <w:noProof/>
            <w:webHidden/>
          </w:rPr>
          <w:t>32</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73"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Indications</w:t>
        </w:r>
        <w:r>
          <w:rPr>
            <w:noProof/>
            <w:webHidden/>
          </w:rPr>
          <w:tab/>
        </w:r>
        <w:r>
          <w:rPr>
            <w:noProof/>
            <w:webHidden/>
          </w:rPr>
          <w:fldChar w:fldCharType="begin"/>
        </w:r>
        <w:r>
          <w:rPr>
            <w:noProof/>
            <w:webHidden/>
          </w:rPr>
          <w:instrText xml:space="preserve"> PAGEREF _Toc394643273 \h </w:instrText>
        </w:r>
        <w:r>
          <w:rPr>
            <w:noProof/>
            <w:webHidden/>
          </w:rPr>
        </w:r>
        <w:r>
          <w:rPr>
            <w:noProof/>
            <w:webHidden/>
          </w:rPr>
          <w:fldChar w:fldCharType="separate"/>
        </w:r>
        <w:r>
          <w:rPr>
            <w:noProof/>
            <w:webHidden/>
          </w:rPr>
          <w:t>32</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74" w:history="1">
        <w:r w:rsidRPr="00FA7B33">
          <w:rPr>
            <w:rStyle w:val="Hyperlink"/>
            <w:rFonts w:ascii="Arial Bold" w:hAnsi="Arial Bold"/>
            <w:noProof/>
          </w:rPr>
          <w:t>c.</w:t>
        </w:r>
        <w:r>
          <w:rPr>
            <w:rFonts w:asciiTheme="minorHAnsi" w:eastAsiaTheme="minorEastAsia" w:hAnsiTheme="minorHAnsi" w:cstheme="minorBidi"/>
            <w:iCs w:val="0"/>
            <w:noProof/>
            <w:sz w:val="22"/>
            <w:szCs w:val="22"/>
          </w:rPr>
          <w:tab/>
        </w:r>
        <w:r w:rsidRPr="00FA7B33">
          <w:rPr>
            <w:rStyle w:val="Hyperlink"/>
            <w:noProof/>
          </w:rPr>
          <w:t>Clinical Evaluation</w:t>
        </w:r>
        <w:r>
          <w:rPr>
            <w:noProof/>
            <w:webHidden/>
          </w:rPr>
          <w:tab/>
        </w:r>
        <w:r>
          <w:rPr>
            <w:noProof/>
            <w:webHidden/>
          </w:rPr>
          <w:fldChar w:fldCharType="begin"/>
        </w:r>
        <w:r>
          <w:rPr>
            <w:noProof/>
            <w:webHidden/>
          </w:rPr>
          <w:instrText xml:space="preserve"> PAGEREF _Toc394643274 \h </w:instrText>
        </w:r>
        <w:r>
          <w:rPr>
            <w:noProof/>
            <w:webHidden/>
          </w:rPr>
        </w:r>
        <w:r>
          <w:rPr>
            <w:noProof/>
            <w:webHidden/>
          </w:rPr>
          <w:fldChar w:fldCharType="separate"/>
        </w:r>
        <w:r>
          <w:rPr>
            <w:noProof/>
            <w:webHidden/>
          </w:rPr>
          <w:t>32</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275" w:history="1">
        <w:r w:rsidRPr="00FA7B33">
          <w:rPr>
            <w:rStyle w:val="Hyperlink"/>
            <w:noProof/>
          </w:rPr>
          <w:t>5.</w:t>
        </w:r>
        <w:r>
          <w:rPr>
            <w:rFonts w:asciiTheme="minorHAnsi" w:eastAsiaTheme="minorEastAsia" w:hAnsiTheme="minorHAnsi" w:cstheme="minorBidi"/>
            <w:caps w:val="0"/>
            <w:noProof/>
            <w:sz w:val="22"/>
            <w:szCs w:val="22"/>
          </w:rPr>
          <w:tab/>
        </w:r>
        <w:r w:rsidRPr="00FA7B33">
          <w:rPr>
            <w:rStyle w:val="Hyperlink"/>
            <w:noProof/>
          </w:rPr>
          <w:t>ELECTROENCEPHALOGRAPHY</w:t>
        </w:r>
        <w:r>
          <w:rPr>
            <w:noProof/>
            <w:webHidden/>
          </w:rPr>
          <w:tab/>
        </w:r>
        <w:r>
          <w:rPr>
            <w:noProof/>
            <w:webHidden/>
          </w:rPr>
          <w:fldChar w:fldCharType="begin"/>
        </w:r>
        <w:r>
          <w:rPr>
            <w:noProof/>
            <w:webHidden/>
          </w:rPr>
          <w:instrText xml:space="preserve"> PAGEREF _Toc394643275 \h </w:instrText>
        </w:r>
        <w:r>
          <w:rPr>
            <w:noProof/>
            <w:webHidden/>
          </w:rPr>
        </w:r>
        <w:r>
          <w:rPr>
            <w:noProof/>
            <w:webHidden/>
          </w:rPr>
          <w:fldChar w:fldCharType="separate"/>
        </w:r>
        <w:r>
          <w:rPr>
            <w:noProof/>
            <w:webHidden/>
          </w:rPr>
          <w:t>34</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76"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Electroencephalography (EEG)</w:t>
        </w:r>
        <w:r>
          <w:rPr>
            <w:noProof/>
            <w:webHidden/>
          </w:rPr>
          <w:tab/>
        </w:r>
        <w:r>
          <w:rPr>
            <w:noProof/>
            <w:webHidden/>
          </w:rPr>
          <w:fldChar w:fldCharType="begin"/>
        </w:r>
        <w:r>
          <w:rPr>
            <w:noProof/>
            <w:webHidden/>
          </w:rPr>
          <w:instrText xml:space="preserve"> PAGEREF _Toc394643276 \h </w:instrText>
        </w:r>
        <w:r>
          <w:rPr>
            <w:noProof/>
            <w:webHidden/>
          </w:rPr>
        </w:r>
        <w:r>
          <w:rPr>
            <w:noProof/>
            <w:webHidden/>
          </w:rPr>
          <w:fldChar w:fldCharType="separate"/>
        </w:r>
        <w:r>
          <w:rPr>
            <w:noProof/>
            <w:webHidden/>
          </w:rPr>
          <w:t>34</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77"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Quantified Electroencephalography (QEEG) (Computerized EEG)</w:t>
        </w:r>
        <w:r>
          <w:rPr>
            <w:noProof/>
            <w:webHidden/>
          </w:rPr>
          <w:tab/>
        </w:r>
        <w:r>
          <w:rPr>
            <w:noProof/>
            <w:webHidden/>
          </w:rPr>
          <w:fldChar w:fldCharType="begin"/>
        </w:r>
        <w:r>
          <w:rPr>
            <w:noProof/>
            <w:webHidden/>
          </w:rPr>
          <w:instrText xml:space="preserve"> PAGEREF _Toc394643277 \h </w:instrText>
        </w:r>
        <w:r>
          <w:rPr>
            <w:noProof/>
            <w:webHidden/>
          </w:rPr>
        </w:r>
        <w:r>
          <w:rPr>
            <w:noProof/>
            <w:webHidden/>
          </w:rPr>
          <w:fldChar w:fldCharType="separate"/>
        </w:r>
        <w:r>
          <w:rPr>
            <w:noProof/>
            <w:webHidden/>
          </w:rPr>
          <w:t>35</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278" w:history="1">
        <w:r w:rsidRPr="00FA7B33">
          <w:rPr>
            <w:rStyle w:val="Hyperlink"/>
            <w:noProof/>
          </w:rPr>
          <w:t>6.</w:t>
        </w:r>
        <w:r>
          <w:rPr>
            <w:rFonts w:asciiTheme="minorHAnsi" w:eastAsiaTheme="minorEastAsia" w:hAnsiTheme="minorHAnsi" w:cstheme="minorBidi"/>
            <w:caps w:val="0"/>
            <w:noProof/>
            <w:sz w:val="22"/>
            <w:szCs w:val="22"/>
          </w:rPr>
          <w:tab/>
        </w:r>
        <w:r w:rsidRPr="00FA7B33">
          <w:rPr>
            <w:rStyle w:val="Hyperlink"/>
            <w:noProof/>
          </w:rPr>
          <w:t>ELECTRODIAGNOSTIC STUDIES</w:t>
        </w:r>
        <w:r>
          <w:rPr>
            <w:noProof/>
            <w:webHidden/>
          </w:rPr>
          <w:tab/>
        </w:r>
        <w:r>
          <w:rPr>
            <w:noProof/>
            <w:webHidden/>
          </w:rPr>
          <w:fldChar w:fldCharType="begin"/>
        </w:r>
        <w:r>
          <w:rPr>
            <w:noProof/>
            <w:webHidden/>
          </w:rPr>
          <w:instrText xml:space="preserve"> PAGEREF _Toc394643278 \h </w:instrText>
        </w:r>
        <w:r>
          <w:rPr>
            <w:noProof/>
            <w:webHidden/>
          </w:rPr>
        </w:r>
        <w:r>
          <w:rPr>
            <w:noProof/>
            <w:webHidden/>
          </w:rPr>
          <w:fldChar w:fldCharType="separate"/>
        </w:r>
        <w:r>
          <w:rPr>
            <w:noProof/>
            <w:webHidden/>
          </w:rPr>
          <w:t>35</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79"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EMG and Nerve Conduction Studies</w:t>
        </w:r>
        <w:r>
          <w:rPr>
            <w:noProof/>
            <w:webHidden/>
          </w:rPr>
          <w:tab/>
        </w:r>
        <w:r>
          <w:rPr>
            <w:noProof/>
            <w:webHidden/>
          </w:rPr>
          <w:fldChar w:fldCharType="begin"/>
        </w:r>
        <w:r>
          <w:rPr>
            <w:noProof/>
            <w:webHidden/>
          </w:rPr>
          <w:instrText xml:space="preserve"> PAGEREF _Toc394643279 \h </w:instrText>
        </w:r>
        <w:r>
          <w:rPr>
            <w:noProof/>
            <w:webHidden/>
          </w:rPr>
        </w:r>
        <w:r>
          <w:rPr>
            <w:noProof/>
            <w:webHidden/>
          </w:rPr>
          <w:fldChar w:fldCharType="separate"/>
        </w:r>
        <w:r>
          <w:rPr>
            <w:noProof/>
            <w:webHidden/>
          </w:rPr>
          <w:t>35</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80"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Electroneuronography (EnoG)</w:t>
        </w:r>
        <w:r>
          <w:rPr>
            <w:noProof/>
            <w:webHidden/>
          </w:rPr>
          <w:tab/>
        </w:r>
        <w:r>
          <w:rPr>
            <w:noProof/>
            <w:webHidden/>
          </w:rPr>
          <w:fldChar w:fldCharType="begin"/>
        </w:r>
        <w:r>
          <w:rPr>
            <w:noProof/>
            <w:webHidden/>
          </w:rPr>
          <w:instrText xml:space="preserve"> PAGEREF _Toc394643280 \h </w:instrText>
        </w:r>
        <w:r>
          <w:rPr>
            <w:noProof/>
            <w:webHidden/>
          </w:rPr>
        </w:r>
        <w:r>
          <w:rPr>
            <w:noProof/>
            <w:webHidden/>
          </w:rPr>
          <w:fldChar w:fldCharType="separate"/>
        </w:r>
        <w:r>
          <w:rPr>
            <w:noProof/>
            <w:webHidden/>
          </w:rPr>
          <w:t>35</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81" w:history="1">
        <w:r w:rsidRPr="00FA7B33">
          <w:rPr>
            <w:rStyle w:val="Hyperlink"/>
            <w:rFonts w:ascii="Arial Bold" w:hAnsi="Arial Bold"/>
            <w:noProof/>
          </w:rPr>
          <w:t>c.</w:t>
        </w:r>
        <w:r>
          <w:rPr>
            <w:rFonts w:asciiTheme="minorHAnsi" w:eastAsiaTheme="minorEastAsia" w:hAnsiTheme="minorHAnsi" w:cstheme="minorBidi"/>
            <w:iCs w:val="0"/>
            <w:noProof/>
            <w:sz w:val="22"/>
            <w:szCs w:val="22"/>
          </w:rPr>
          <w:tab/>
        </w:r>
        <w:r w:rsidRPr="00FA7B33">
          <w:rPr>
            <w:rStyle w:val="Hyperlink"/>
            <w:noProof/>
          </w:rPr>
          <w:t>Dynamic Electromyographies</w:t>
        </w:r>
        <w:r>
          <w:rPr>
            <w:noProof/>
            <w:webHidden/>
          </w:rPr>
          <w:tab/>
        </w:r>
        <w:r>
          <w:rPr>
            <w:noProof/>
            <w:webHidden/>
          </w:rPr>
          <w:fldChar w:fldCharType="begin"/>
        </w:r>
        <w:r>
          <w:rPr>
            <w:noProof/>
            <w:webHidden/>
          </w:rPr>
          <w:instrText xml:space="preserve"> PAGEREF _Toc394643281 \h </w:instrText>
        </w:r>
        <w:r>
          <w:rPr>
            <w:noProof/>
            <w:webHidden/>
          </w:rPr>
        </w:r>
        <w:r>
          <w:rPr>
            <w:noProof/>
            <w:webHidden/>
          </w:rPr>
          <w:fldChar w:fldCharType="separate"/>
        </w:r>
        <w:r>
          <w:rPr>
            <w:noProof/>
            <w:webHidden/>
          </w:rPr>
          <w:t>35</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82" w:history="1">
        <w:r w:rsidRPr="00FA7B33">
          <w:rPr>
            <w:rStyle w:val="Hyperlink"/>
            <w:rFonts w:ascii="Arial Bold" w:hAnsi="Arial Bold"/>
            <w:noProof/>
          </w:rPr>
          <w:t>d.</w:t>
        </w:r>
        <w:r>
          <w:rPr>
            <w:rFonts w:asciiTheme="minorHAnsi" w:eastAsiaTheme="minorEastAsia" w:hAnsiTheme="minorHAnsi" w:cstheme="minorBidi"/>
            <w:iCs w:val="0"/>
            <w:noProof/>
            <w:sz w:val="22"/>
            <w:szCs w:val="22"/>
          </w:rPr>
          <w:tab/>
        </w:r>
        <w:r w:rsidRPr="00FA7B33">
          <w:rPr>
            <w:rStyle w:val="Hyperlink"/>
            <w:noProof/>
          </w:rPr>
          <w:t>Evoked Potential Responses (EP)</w:t>
        </w:r>
        <w:r>
          <w:rPr>
            <w:noProof/>
            <w:webHidden/>
          </w:rPr>
          <w:tab/>
        </w:r>
        <w:r>
          <w:rPr>
            <w:noProof/>
            <w:webHidden/>
          </w:rPr>
          <w:fldChar w:fldCharType="begin"/>
        </w:r>
        <w:r>
          <w:rPr>
            <w:noProof/>
            <w:webHidden/>
          </w:rPr>
          <w:instrText xml:space="preserve"> PAGEREF _Toc394643282 \h </w:instrText>
        </w:r>
        <w:r>
          <w:rPr>
            <w:noProof/>
            <w:webHidden/>
          </w:rPr>
        </w:r>
        <w:r>
          <w:rPr>
            <w:noProof/>
            <w:webHidden/>
          </w:rPr>
          <w:fldChar w:fldCharType="separate"/>
        </w:r>
        <w:r>
          <w:rPr>
            <w:noProof/>
            <w:webHidden/>
          </w:rPr>
          <w:t>35</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283" w:history="1">
        <w:r w:rsidRPr="00FA7B33">
          <w:rPr>
            <w:rStyle w:val="Hyperlink"/>
            <w:noProof/>
          </w:rPr>
          <w:t>7.</w:t>
        </w:r>
        <w:r>
          <w:rPr>
            <w:rFonts w:asciiTheme="minorHAnsi" w:eastAsiaTheme="minorEastAsia" w:hAnsiTheme="minorHAnsi" w:cstheme="minorBidi"/>
            <w:caps w:val="0"/>
            <w:noProof/>
            <w:sz w:val="22"/>
            <w:szCs w:val="22"/>
          </w:rPr>
          <w:tab/>
        </w:r>
        <w:r w:rsidRPr="00FA7B33">
          <w:rPr>
            <w:rStyle w:val="Hyperlink"/>
            <w:noProof/>
          </w:rPr>
          <w:t>LABORATORY TESTING</w:t>
        </w:r>
        <w:r>
          <w:rPr>
            <w:noProof/>
            <w:webHidden/>
          </w:rPr>
          <w:tab/>
        </w:r>
        <w:r>
          <w:rPr>
            <w:noProof/>
            <w:webHidden/>
          </w:rPr>
          <w:fldChar w:fldCharType="begin"/>
        </w:r>
        <w:r>
          <w:rPr>
            <w:noProof/>
            <w:webHidden/>
          </w:rPr>
          <w:instrText xml:space="preserve"> PAGEREF _Toc394643283 \h </w:instrText>
        </w:r>
        <w:r>
          <w:rPr>
            <w:noProof/>
            <w:webHidden/>
          </w:rPr>
        </w:r>
        <w:r>
          <w:rPr>
            <w:noProof/>
            <w:webHidden/>
          </w:rPr>
          <w:fldChar w:fldCharType="separate"/>
        </w:r>
        <w:r>
          <w:rPr>
            <w:noProof/>
            <w:webHidden/>
          </w:rPr>
          <w:t>36</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284" w:history="1">
        <w:r w:rsidRPr="00FA7B33">
          <w:rPr>
            <w:rStyle w:val="Hyperlink"/>
            <w:noProof/>
          </w:rPr>
          <w:t>8.</w:t>
        </w:r>
        <w:r>
          <w:rPr>
            <w:rFonts w:asciiTheme="minorHAnsi" w:eastAsiaTheme="minorEastAsia" w:hAnsiTheme="minorHAnsi" w:cstheme="minorBidi"/>
            <w:caps w:val="0"/>
            <w:noProof/>
            <w:sz w:val="22"/>
            <w:szCs w:val="22"/>
          </w:rPr>
          <w:tab/>
        </w:r>
        <w:r w:rsidRPr="00FA7B33">
          <w:rPr>
            <w:rStyle w:val="Hyperlink"/>
            <w:noProof/>
          </w:rPr>
          <w:t>NERVE BLOCKS – Diagnostic</w:t>
        </w:r>
        <w:r>
          <w:rPr>
            <w:noProof/>
            <w:webHidden/>
          </w:rPr>
          <w:tab/>
        </w:r>
        <w:r>
          <w:rPr>
            <w:noProof/>
            <w:webHidden/>
          </w:rPr>
          <w:fldChar w:fldCharType="begin"/>
        </w:r>
        <w:r>
          <w:rPr>
            <w:noProof/>
            <w:webHidden/>
          </w:rPr>
          <w:instrText xml:space="preserve"> PAGEREF _Toc394643284 \h </w:instrText>
        </w:r>
        <w:r>
          <w:rPr>
            <w:noProof/>
            <w:webHidden/>
          </w:rPr>
        </w:r>
        <w:r>
          <w:rPr>
            <w:noProof/>
            <w:webHidden/>
          </w:rPr>
          <w:fldChar w:fldCharType="separate"/>
        </w:r>
        <w:r>
          <w:rPr>
            <w:noProof/>
            <w:webHidden/>
          </w:rPr>
          <w:t>37</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285" w:history="1">
        <w:r w:rsidRPr="00FA7B33">
          <w:rPr>
            <w:rStyle w:val="Hyperlink"/>
            <w:noProof/>
          </w:rPr>
          <w:t>9.</w:t>
        </w:r>
        <w:r>
          <w:rPr>
            <w:rFonts w:asciiTheme="minorHAnsi" w:eastAsiaTheme="minorEastAsia" w:hAnsiTheme="minorHAnsi" w:cstheme="minorBidi"/>
            <w:caps w:val="0"/>
            <w:noProof/>
            <w:sz w:val="22"/>
            <w:szCs w:val="22"/>
          </w:rPr>
          <w:tab/>
        </w:r>
        <w:r w:rsidRPr="00FA7B33">
          <w:rPr>
            <w:rStyle w:val="Hyperlink"/>
            <w:noProof/>
          </w:rPr>
          <w:t>VISION EVALUATION</w:t>
        </w:r>
        <w:r>
          <w:rPr>
            <w:noProof/>
            <w:webHidden/>
          </w:rPr>
          <w:tab/>
        </w:r>
        <w:r>
          <w:rPr>
            <w:noProof/>
            <w:webHidden/>
          </w:rPr>
          <w:fldChar w:fldCharType="begin"/>
        </w:r>
        <w:r>
          <w:rPr>
            <w:noProof/>
            <w:webHidden/>
          </w:rPr>
          <w:instrText xml:space="preserve"> PAGEREF _Toc394643285 \h </w:instrText>
        </w:r>
        <w:r>
          <w:rPr>
            <w:noProof/>
            <w:webHidden/>
          </w:rPr>
        </w:r>
        <w:r>
          <w:rPr>
            <w:noProof/>
            <w:webHidden/>
          </w:rPr>
          <w:fldChar w:fldCharType="separate"/>
        </w:r>
        <w:r>
          <w:rPr>
            <w:noProof/>
            <w:webHidden/>
          </w:rPr>
          <w:t>37</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86"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Visual Field Testing</w:t>
        </w:r>
        <w:r>
          <w:rPr>
            <w:noProof/>
            <w:webHidden/>
          </w:rPr>
          <w:tab/>
        </w:r>
        <w:r>
          <w:rPr>
            <w:noProof/>
            <w:webHidden/>
          </w:rPr>
          <w:fldChar w:fldCharType="begin"/>
        </w:r>
        <w:r>
          <w:rPr>
            <w:noProof/>
            <w:webHidden/>
          </w:rPr>
          <w:instrText xml:space="preserve"> PAGEREF _Toc394643286 \h </w:instrText>
        </w:r>
        <w:r>
          <w:rPr>
            <w:noProof/>
            <w:webHidden/>
          </w:rPr>
        </w:r>
        <w:r>
          <w:rPr>
            <w:noProof/>
            <w:webHidden/>
          </w:rPr>
          <w:fldChar w:fldCharType="separate"/>
        </w:r>
        <w:r>
          <w:rPr>
            <w:noProof/>
            <w:webHidden/>
          </w:rPr>
          <w:t>38</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87"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Ultrasonography</w:t>
        </w:r>
        <w:r>
          <w:rPr>
            <w:noProof/>
            <w:webHidden/>
          </w:rPr>
          <w:tab/>
        </w:r>
        <w:r>
          <w:rPr>
            <w:noProof/>
            <w:webHidden/>
          </w:rPr>
          <w:fldChar w:fldCharType="begin"/>
        </w:r>
        <w:r>
          <w:rPr>
            <w:noProof/>
            <w:webHidden/>
          </w:rPr>
          <w:instrText xml:space="preserve"> PAGEREF _Toc394643287 \h </w:instrText>
        </w:r>
        <w:r>
          <w:rPr>
            <w:noProof/>
            <w:webHidden/>
          </w:rPr>
        </w:r>
        <w:r>
          <w:rPr>
            <w:noProof/>
            <w:webHidden/>
          </w:rPr>
          <w:fldChar w:fldCharType="separate"/>
        </w:r>
        <w:r>
          <w:rPr>
            <w:noProof/>
            <w:webHidden/>
          </w:rPr>
          <w:t>38</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88" w:history="1">
        <w:r w:rsidRPr="00FA7B33">
          <w:rPr>
            <w:rStyle w:val="Hyperlink"/>
            <w:rFonts w:ascii="Arial Bold" w:hAnsi="Arial Bold"/>
            <w:noProof/>
          </w:rPr>
          <w:t>c.</w:t>
        </w:r>
        <w:r>
          <w:rPr>
            <w:rFonts w:asciiTheme="minorHAnsi" w:eastAsiaTheme="minorEastAsia" w:hAnsiTheme="minorHAnsi" w:cstheme="minorBidi"/>
            <w:iCs w:val="0"/>
            <w:noProof/>
            <w:sz w:val="22"/>
            <w:szCs w:val="22"/>
          </w:rPr>
          <w:tab/>
        </w:r>
        <w:r w:rsidRPr="00FA7B33">
          <w:rPr>
            <w:rStyle w:val="Hyperlink"/>
            <w:noProof/>
          </w:rPr>
          <w:t>Fluorescein Angiography</w:t>
        </w:r>
        <w:r>
          <w:rPr>
            <w:noProof/>
            <w:webHidden/>
          </w:rPr>
          <w:tab/>
        </w:r>
        <w:r>
          <w:rPr>
            <w:noProof/>
            <w:webHidden/>
          </w:rPr>
          <w:fldChar w:fldCharType="begin"/>
        </w:r>
        <w:r>
          <w:rPr>
            <w:noProof/>
            <w:webHidden/>
          </w:rPr>
          <w:instrText xml:space="preserve"> PAGEREF _Toc394643288 \h </w:instrText>
        </w:r>
        <w:r>
          <w:rPr>
            <w:noProof/>
            <w:webHidden/>
          </w:rPr>
        </w:r>
        <w:r>
          <w:rPr>
            <w:noProof/>
            <w:webHidden/>
          </w:rPr>
          <w:fldChar w:fldCharType="separate"/>
        </w:r>
        <w:r>
          <w:rPr>
            <w:noProof/>
            <w:webHidden/>
          </w:rPr>
          <w:t>38</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89" w:history="1">
        <w:r w:rsidRPr="00FA7B33">
          <w:rPr>
            <w:rStyle w:val="Hyperlink"/>
            <w:rFonts w:ascii="Arial Bold" w:hAnsi="Arial Bold"/>
            <w:noProof/>
          </w:rPr>
          <w:t>d.</w:t>
        </w:r>
        <w:r>
          <w:rPr>
            <w:rFonts w:asciiTheme="minorHAnsi" w:eastAsiaTheme="minorEastAsia" w:hAnsiTheme="minorHAnsi" w:cstheme="minorBidi"/>
            <w:iCs w:val="0"/>
            <w:noProof/>
            <w:sz w:val="22"/>
            <w:szCs w:val="22"/>
          </w:rPr>
          <w:tab/>
        </w:r>
        <w:r w:rsidRPr="00FA7B33">
          <w:rPr>
            <w:rStyle w:val="Hyperlink"/>
            <w:noProof/>
          </w:rPr>
          <w:t>Visual Perceptual Testing</w:t>
        </w:r>
        <w:r>
          <w:rPr>
            <w:noProof/>
            <w:webHidden/>
          </w:rPr>
          <w:tab/>
        </w:r>
        <w:r>
          <w:rPr>
            <w:noProof/>
            <w:webHidden/>
          </w:rPr>
          <w:fldChar w:fldCharType="begin"/>
        </w:r>
        <w:r>
          <w:rPr>
            <w:noProof/>
            <w:webHidden/>
          </w:rPr>
          <w:instrText xml:space="preserve"> PAGEREF _Toc394643289 \h </w:instrText>
        </w:r>
        <w:r>
          <w:rPr>
            <w:noProof/>
            <w:webHidden/>
          </w:rPr>
        </w:r>
        <w:r>
          <w:rPr>
            <w:noProof/>
            <w:webHidden/>
          </w:rPr>
          <w:fldChar w:fldCharType="separate"/>
        </w:r>
        <w:r>
          <w:rPr>
            <w:noProof/>
            <w:webHidden/>
          </w:rPr>
          <w:t>38</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90" w:history="1">
        <w:r w:rsidRPr="00FA7B33">
          <w:rPr>
            <w:rStyle w:val="Hyperlink"/>
            <w:rFonts w:ascii="Arial Bold" w:hAnsi="Arial Bold"/>
            <w:noProof/>
          </w:rPr>
          <w:t>e.</w:t>
        </w:r>
        <w:r>
          <w:rPr>
            <w:rFonts w:asciiTheme="minorHAnsi" w:eastAsiaTheme="minorEastAsia" w:hAnsiTheme="minorHAnsi" w:cstheme="minorBidi"/>
            <w:iCs w:val="0"/>
            <w:noProof/>
            <w:sz w:val="22"/>
            <w:szCs w:val="22"/>
          </w:rPr>
          <w:tab/>
        </w:r>
        <w:r w:rsidRPr="00FA7B33">
          <w:rPr>
            <w:rStyle w:val="Hyperlink"/>
            <w:noProof/>
          </w:rPr>
          <w:t>Low Vision Evaluation</w:t>
        </w:r>
        <w:r>
          <w:rPr>
            <w:noProof/>
            <w:webHidden/>
          </w:rPr>
          <w:tab/>
        </w:r>
        <w:r>
          <w:rPr>
            <w:noProof/>
            <w:webHidden/>
          </w:rPr>
          <w:fldChar w:fldCharType="begin"/>
        </w:r>
        <w:r>
          <w:rPr>
            <w:noProof/>
            <w:webHidden/>
          </w:rPr>
          <w:instrText xml:space="preserve"> PAGEREF _Toc394643290 \h </w:instrText>
        </w:r>
        <w:r>
          <w:rPr>
            <w:noProof/>
            <w:webHidden/>
          </w:rPr>
        </w:r>
        <w:r>
          <w:rPr>
            <w:noProof/>
            <w:webHidden/>
          </w:rPr>
          <w:fldChar w:fldCharType="separate"/>
        </w:r>
        <w:r>
          <w:rPr>
            <w:noProof/>
            <w:webHidden/>
          </w:rPr>
          <w:t>38</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91" w:history="1">
        <w:r w:rsidRPr="00FA7B33">
          <w:rPr>
            <w:rStyle w:val="Hyperlink"/>
            <w:rFonts w:ascii="Arial Bold" w:hAnsi="Arial Bold"/>
            <w:noProof/>
          </w:rPr>
          <w:t>f.</w:t>
        </w:r>
        <w:r>
          <w:rPr>
            <w:rFonts w:asciiTheme="minorHAnsi" w:eastAsiaTheme="minorEastAsia" w:hAnsiTheme="minorHAnsi" w:cstheme="minorBidi"/>
            <w:iCs w:val="0"/>
            <w:noProof/>
            <w:sz w:val="22"/>
            <w:szCs w:val="22"/>
          </w:rPr>
          <w:tab/>
        </w:r>
        <w:r w:rsidRPr="00FA7B33">
          <w:rPr>
            <w:rStyle w:val="Hyperlink"/>
            <w:noProof/>
          </w:rPr>
          <w:t>Electrodiagnostic Studies</w:t>
        </w:r>
        <w:r>
          <w:rPr>
            <w:noProof/>
            <w:webHidden/>
          </w:rPr>
          <w:tab/>
        </w:r>
        <w:r>
          <w:rPr>
            <w:noProof/>
            <w:webHidden/>
          </w:rPr>
          <w:fldChar w:fldCharType="begin"/>
        </w:r>
        <w:r>
          <w:rPr>
            <w:noProof/>
            <w:webHidden/>
          </w:rPr>
          <w:instrText xml:space="preserve"> PAGEREF _Toc394643291 \h </w:instrText>
        </w:r>
        <w:r>
          <w:rPr>
            <w:noProof/>
            <w:webHidden/>
          </w:rPr>
        </w:r>
        <w:r>
          <w:rPr>
            <w:noProof/>
            <w:webHidden/>
          </w:rPr>
          <w:fldChar w:fldCharType="separate"/>
        </w:r>
        <w:r>
          <w:rPr>
            <w:noProof/>
            <w:webHidden/>
          </w:rPr>
          <w:t>38</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92" w:history="1">
        <w:r w:rsidRPr="00FA7B33">
          <w:rPr>
            <w:rStyle w:val="Hyperlink"/>
            <w:rFonts w:ascii="Arial Bold" w:hAnsi="Arial Bold"/>
            <w:noProof/>
          </w:rPr>
          <w:t>g.</w:t>
        </w:r>
        <w:r>
          <w:rPr>
            <w:rFonts w:asciiTheme="minorHAnsi" w:eastAsiaTheme="minorEastAsia" w:hAnsiTheme="minorHAnsi" w:cstheme="minorBidi"/>
            <w:iCs w:val="0"/>
            <w:noProof/>
            <w:sz w:val="22"/>
            <w:szCs w:val="22"/>
          </w:rPr>
          <w:tab/>
        </w:r>
        <w:r w:rsidRPr="00FA7B33">
          <w:rPr>
            <w:rStyle w:val="Hyperlink"/>
            <w:noProof/>
          </w:rPr>
          <w:t>Optical Coherence Tomography</w:t>
        </w:r>
        <w:r>
          <w:rPr>
            <w:noProof/>
            <w:webHidden/>
          </w:rPr>
          <w:tab/>
        </w:r>
        <w:r>
          <w:rPr>
            <w:noProof/>
            <w:webHidden/>
          </w:rPr>
          <w:fldChar w:fldCharType="begin"/>
        </w:r>
        <w:r>
          <w:rPr>
            <w:noProof/>
            <w:webHidden/>
          </w:rPr>
          <w:instrText xml:space="preserve"> PAGEREF _Toc394643292 \h </w:instrText>
        </w:r>
        <w:r>
          <w:rPr>
            <w:noProof/>
            <w:webHidden/>
          </w:rPr>
        </w:r>
        <w:r>
          <w:rPr>
            <w:noProof/>
            <w:webHidden/>
          </w:rPr>
          <w:fldChar w:fldCharType="separate"/>
        </w:r>
        <w:r>
          <w:rPr>
            <w:noProof/>
            <w:webHidden/>
          </w:rPr>
          <w:t>39</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293" w:history="1">
        <w:r w:rsidRPr="00FA7B33">
          <w:rPr>
            <w:rStyle w:val="Hyperlink"/>
            <w:noProof/>
          </w:rPr>
          <w:t>10.</w:t>
        </w:r>
        <w:r>
          <w:rPr>
            <w:rFonts w:asciiTheme="minorHAnsi" w:eastAsiaTheme="minorEastAsia" w:hAnsiTheme="minorHAnsi" w:cstheme="minorBidi"/>
            <w:caps w:val="0"/>
            <w:noProof/>
            <w:sz w:val="22"/>
            <w:szCs w:val="22"/>
          </w:rPr>
          <w:tab/>
        </w:r>
        <w:r w:rsidRPr="00FA7B33">
          <w:rPr>
            <w:rStyle w:val="Hyperlink"/>
            <w:noProof/>
          </w:rPr>
          <w:t>OTOLOGY and AUDIOMETRY</w:t>
        </w:r>
        <w:r>
          <w:rPr>
            <w:noProof/>
            <w:webHidden/>
          </w:rPr>
          <w:tab/>
        </w:r>
        <w:r>
          <w:rPr>
            <w:noProof/>
            <w:webHidden/>
          </w:rPr>
          <w:fldChar w:fldCharType="begin"/>
        </w:r>
        <w:r>
          <w:rPr>
            <w:noProof/>
            <w:webHidden/>
          </w:rPr>
          <w:instrText xml:space="preserve"> PAGEREF _Toc394643293 \h </w:instrText>
        </w:r>
        <w:r>
          <w:rPr>
            <w:noProof/>
            <w:webHidden/>
          </w:rPr>
        </w:r>
        <w:r>
          <w:rPr>
            <w:noProof/>
            <w:webHidden/>
          </w:rPr>
          <w:fldChar w:fldCharType="separate"/>
        </w:r>
        <w:r>
          <w:rPr>
            <w:noProof/>
            <w:webHidden/>
          </w:rPr>
          <w:t>39</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94"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Audiometry</w:t>
        </w:r>
        <w:r>
          <w:rPr>
            <w:noProof/>
            <w:webHidden/>
          </w:rPr>
          <w:tab/>
        </w:r>
        <w:r>
          <w:rPr>
            <w:noProof/>
            <w:webHidden/>
          </w:rPr>
          <w:fldChar w:fldCharType="begin"/>
        </w:r>
        <w:r>
          <w:rPr>
            <w:noProof/>
            <w:webHidden/>
          </w:rPr>
          <w:instrText xml:space="preserve"> PAGEREF _Toc394643294 \h </w:instrText>
        </w:r>
        <w:r>
          <w:rPr>
            <w:noProof/>
            <w:webHidden/>
          </w:rPr>
        </w:r>
        <w:r>
          <w:rPr>
            <w:noProof/>
            <w:webHidden/>
          </w:rPr>
          <w:fldChar w:fldCharType="separate"/>
        </w:r>
        <w:r>
          <w:rPr>
            <w:noProof/>
            <w:webHidden/>
          </w:rPr>
          <w:t>39</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95"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Tympanometry</w:t>
        </w:r>
        <w:r>
          <w:rPr>
            <w:noProof/>
            <w:webHidden/>
          </w:rPr>
          <w:tab/>
        </w:r>
        <w:r>
          <w:rPr>
            <w:noProof/>
            <w:webHidden/>
          </w:rPr>
          <w:fldChar w:fldCharType="begin"/>
        </w:r>
        <w:r>
          <w:rPr>
            <w:noProof/>
            <w:webHidden/>
          </w:rPr>
          <w:instrText xml:space="preserve"> PAGEREF _Toc394643295 \h </w:instrText>
        </w:r>
        <w:r>
          <w:rPr>
            <w:noProof/>
            <w:webHidden/>
          </w:rPr>
        </w:r>
        <w:r>
          <w:rPr>
            <w:noProof/>
            <w:webHidden/>
          </w:rPr>
          <w:fldChar w:fldCharType="separate"/>
        </w:r>
        <w:r>
          <w:rPr>
            <w:noProof/>
            <w:webHidden/>
          </w:rPr>
          <w:t>39</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96" w:history="1">
        <w:r w:rsidRPr="00FA7B33">
          <w:rPr>
            <w:rStyle w:val="Hyperlink"/>
            <w:rFonts w:ascii="Arial Bold" w:hAnsi="Arial Bold"/>
            <w:noProof/>
          </w:rPr>
          <w:t>c.</w:t>
        </w:r>
        <w:r>
          <w:rPr>
            <w:rFonts w:asciiTheme="minorHAnsi" w:eastAsiaTheme="minorEastAsia" w:hAnsiTheme="minorHAnsi" w:cstheme="minorBidi"/>
            <w:iCs w:val="0"/>
            <w:noProof/>
            <w:sz w:val="22"/>
            <w:szCs w:val="22"/>
          </w:rPr>
          <w:tab/>
        </w:r>
        <w:r w:rsidRPr="00FA7B33">
          <w:rPr>
            <w:rStyle w:val="Hyperlink"/>
            <w:noProof/>
          </w:rPr>
          <w:t>Vestibular Function Tests</w:t>
        </w:r>
        <w:r>
          <w:rPr>
            <w:noProof/>
            <w:webHidden/>
          </w:rPr>
          <w:tab/>
        </w:r>
        <w:r>
          <w:rPr>
            <w:noProof/>
            <w:webHidden/>
          </w:rPr>
          <w:fldChar w:fldCharType="begin"/>
        </w:r>
        <w:r>
          <w:rPr>
            <w:noProof/>
            <w:webHidden/>
          </w:rPr>
          <w:instrText xml:space="preserve"> PAGEREF _Toc394643296 \h </w:instrText>
        </w:r>
        <w:r>
          <w:rPr>
            <w:noProof/>
            <w:webHidden/>
          </w:rPr>
        </w:r>
        <w:r>
          <w:rPr>
            <w:noProof/>
            <w:webHidden/>
          </w:rPr>
          <w:fldChar w:fldCharType="separate"/>
        </w:r>
        <w:r>
          <w:rPr>
            <w:noProof/>
            <w:webHidden/>
          </w:rPr>
          <w:t>39</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297" w:history="1">
        <w:r w:rsidRPr="00FA7B33">
          <w:rPr>
            <w:rStyle w:val="Hyperlink"/>
            <w:noProof/>
          </w:rPr>
          <w:t>11.</w:t>
        </w:r>
        <w:r>
          <w:rPr>
            <w:rFonts w:asciiTheme="minorHAnsi" w:eastAsiaTheme="minorEastAsia" w:hAnsiTheme="minorHAnsi" w:cstheme="minorBidi"/>
            <w:caps w:val="0"/>
            <w:noProof/>
            <w:sz w:val="22"/>
            <w:szCs w:val="22"/>
          </w:rPr>
          <w:tab/>
        </w:r>
        <w:r w:rsidRPr="00FA7B33">
          <w:rPr>
            <w:rStyle w:val="Hyperlink"/>
            <w:noProof/>
          </w:rPr>
          <w:t>SWALLOWING EVALUATION</w:t>
        </w:r>
        <w:r>
          <w:rPr>
            <w:noProof/>
            <w:webHidden/>
          </w:rPr>
          <w:tab/>
        </w:r>
        <w:r>
          <w:rPr>
            <w:noProof/>
            <w:webHidden/>
          </w:rPr>
          <w:fldChar w:fldCharType="begin"/>
        </w:r>
        <w:r>
          <w:rPr>
            <w:noProof/>
            <w:webHidden/>
          </w:rPr>
          <w:instrText xml:space="preserve"> PAGEREF _Toc394643297 \h </w:instrText>
        </w:r>
        <w:r>
          <w:rPr>
            <w:noProof/>
            <w:webHidden/>
          </w:rPr>
        </w:r>
        <w:r>
          <w:rPr>
            <w:noProof/>
            <w:webHidden/>
          </w:rPr>
          <w:fldChar w:fldCharType="separate"/>
        </w:r>
        <w:r>
          <w:rPr>
            <w:noProof/>
            <w:webHidden/>
          </w:rPr>
          <w:t>41</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98"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Clinical Assessment</w:t>
        </w:r>
        <w:r>
          <w:rPr>
            <w:noProof/>
            <w:webHidden/>
          </w:rPr>
          <w:tab/>
        </w:r>
        <w:r>
          <w:rPr>
            <w:noProof/>
            <w:webHidden/>
          </w:rPr>
          <w:fldChar w:fldCharType="begin"/>
        </w:r>
        <w:r>
          <w:rPr>
            <w:noProof/>
            <w:webHidden/>
          </w:rPr>
          <w:instrText xml:space="preserve"> PAGEREF _Toc394643298 \h </w:instrText>
        </w:r>
        <w:r>
          <w:rPr>
            <w:noProof/>
            <w:webHidden/>
          </w:rPr>
        </w:r>
        <w:r>
          <w:rPr>
            <w:noProof/>
            <w:webHidden/>
          </w:rPr>
          <w:fldChar w:fldCharType="separate"/>
        </w:r>
        <w:r>
          <w:rPr>
            <w:noProof/>
            <w:webHidden/>
          </w:rPr>
          <w:t>41</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299"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Instrumental Evaluation</w:t>
        </w:r>
        <w:r>
          <w:rPr>
            <w:noProof/>
            <w:webHidden/>
          </w:rPr>
          <w:tab/>
        </w:r>
        <w:r>
          <w:rPr>
            <w:noProof/>
            <w:webHidden/>
          </w:rPr>
          <w:fldChar w:fldCharType="begin"/>
        </w:r>
        <w:r>
          <w:rPr>
            <w:noProof/>
            <w:webHidden/>
          </w:rPr>
          <w:instrText xml:space="preserve"> PAGEREF _Toc394643299 \h </w:instrText>
        </w:r>
        <w:r>
          <w:rPr>
            <w:noProof/>
            <w:webHidden/>
          </w:rPr>
        </w:r>
        <w:r>
          <w:rPr>
            <w:noProof/>
            <w:webHidden/>
          </w:rPr>
          <w:fldChar w:fldCharType="separate"/>
        </w:r>
        <w:r>
          <w:rPr>
            <w:noProof/>
            <w:webHidden/>
          </w:rPr>
          <w:t>41</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00" w:history="1">
        <w:r w:rsidRPr="00FA7B33">
          <w:rPr>
            <w:rStyle w:val="Hyperlink"/>
            <w:noProof/>
          </w:rPr>
          <w:t>12.</w:t>
        </w:r>
        <w:r>
          <w:rPr>
            <w:rFonts w:asciiTheme="minorHAnsi" w:eastAsiaTheme="minorEastAsia" w:hAnsiTheme="minorHAnsi" w:cstheme="minorBidi"/>
            <w:caps w:val="0"/>
            <w:noProof/>
            <w:sz w:val="22"/>
            <w:szCs w:val="22"/>
          </w:rPr>
          <w:tab/>
        </w:r>
        <w:r w:rsidRPr="00FA7B33">
          <w:rPr>
            <w:rStyle w:val="Hyperlink"/>
            <w:noProof/>
          </w:rPr>
          <w:t>SPECIAL TESTS for RETURN-TO-WORK ASSESSMENT</w:t>
        </w:r>
        <w:r>
          <w:rPr>
            <w:noProof/>
            <w:webHidden/>
          </w:rPr>
          <w:tab/>
        </w:r>
        <w:r>
          <w:rPr>
            <w:noProof/>
            <w:webHidden/>
          </w:rPr>
          <w:fldChar w:fldCharType="begin"/>
        </w:r>
        <w:r>
          <w:rPr>
            <w:noProof/>
            <w:webHidden/>
          </w:rPr>
          <w:instrText xml:space="preserve"> PAGEREF _Toc394643300 \h </w:instrText>
        </w:r>
        <w:r>
          <w:rPr>
            <w:noProof/>
            <w:webHidden/>
          </w:rPr>
        </w:r>
        <w:r>
          <w:rPr>
            <w:noProof/>
            <w:webHidden/>
          </w:rPr>
          <w:fldChar w:fldCharType="separate"/>
        </w:r>
        <w:r>
          <w:rPr>
            <w:noProof/>
            <w:webHidden/>
          </w:rPr>
          <w:t>42</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01"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Job Site Evaluations and Alterations</w:t>
        </w:r>
        <w:r>
          <w:rPr>
            <w:noProof/>
            <w:webHidden/>
          </w:rPr>
          <w:tab/>
        </w:r>
        <w:r>
          <w:rPr>
            <w:noProof/>
            <w:webHidden/>
          </w:rPr>
          <w:fldChar w:fldCharType="begin"/>
        </w:r>
        <w:r>
          <w:rPr>
            <w:noProof/>
            <w:webHidden/>
          </w:rPr>
          <w:instrText xml:space="preserve"> PAGEREF _Toc394643301 \h </w:instrText>
        </w:r>
        <w:r>
          <w:rPr>
            <w:noProof/>
            <w:webHidden/>
          </w:rPr>
        </w:r>
        <w:r>
          <w:rPr>
            <w:noProof/>
            <w:webHidden/>
          </w:rPr>
          <w:fldChar w:fldCharType="separate"/>
        </w:r>
        <w:r>
          <w:rPr>
            <w:noProof/>
            <w:webHidden/>
          </w:rPr>
          <w:t>43</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02"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Functional Capacity Evaluation (FCE)</w:t>
        </w:r>
        <w:r>
          <w:rPr>
            <w:noProof/>
            <w:webHidden/>
          </w:rPr>
          <w:tab/>
        </w:r>
        <w:r>
          <w:rPr>
            <w:noProof/>
            <w:webHidden/>
          </w:rPr>
          <w:fldChar w:fldCharType="begin"/>
        </w:r>
        <w:r>
          <w:rPr>
            <w:noProof/>
            <w:webHidden/>
          </w:rPr>
          <w:instrText xml:space="preserve"> PAGEREF _Toc394643302 \h </w:instrText>
        </w:r>
        <w:r>
          <w:rPr>
            <w:noProof/>
            <w:webHidden/>
          </w:rPr>
        </w:r>
        <w:r>
          <w:rPr>
            <w:noProof/>
            <w:webHidden/>
          </w:rPr>
          <w:fldChar w:fldCharType="separate"/>
        </w:r>
        <w:r>
          <w:rPr>
            <w:noProof/>
            <w:webHidden/>
          </w:rPr>
          <w:t>44</w:t>
        </w:r>
        <w:r>
          <w:rPr>
            <w:noProof/>
            <w:webHidden/>
          </w:rPr>
          <w:fldChar w:fldCharType="end"/>
        </w:r>
      </w:hyperlink>
    </w:p>
    <w:p w:rsidR="00203DF3" w:rsidRDefault="00203DF3">
      <w:pPr>
        <w:pStyle w:val="TOC1"/>
        <w:tabs>
          <w:tab w:val="right" w:leader="dot" w:pos="9350"/>
        </w:tabs>
        <w:rPr>
          <w:rFonts w:asciiTheme="minorHAnsi" w:eastAsiaTheme="minorEastAsia" w:hAnsiTheme="minorHAnsi" w:cstheme="minorBidi"/>
          <w:b w:val="0"/>
          <w:bCs w:val="0"/>
          <w:caps w:val="0"/>
          <w:noProof/>
          <w:sz w:val="22"/>
          <w:szCs w:val="22"/>
        </w:rPr>
      </w:pPr>
      <w:hyperlink w:anchor="_Toc394643303" w:history="1">
        <w:r w:rsidRPr="00FA7B33">
          <w:rPr>
            <w:rStyle w:val="Hyperlink"/>
            <w:noProof/>
          </w:rPr>
          <w:t>f.</w:t>
        </w:r>
        <w:r>
          <w:rPr>
            <w:rFonts w:asciiTheme="minorHAnsi" w:eastAsiaTheme="minorEastAsia" w:hAnsiTheme="minorHAnsi" w:cstheme="minorBidi"/>
            <w:b w:val="0"/>
            <w:bCs w:val="0"/>
            <w:caps w:val="0"/>
            <w:noProof/>
            <w:sz w:val="22"/>
            <w:szCs w:val="22"/>
          </w:rPr>
          <w:tab/>
        </w:r>
        <w:r w:rsidRPr="00FA7B33">
          <w:rPr>
            <w:rStyle w:val="Hyperlink"/>
            <w:noProof/>
          </w:rPr>
          <w:t>ACUTE THERAPEUTIC PROCEDURES – NONOPERATIVE</w:t>
        </w:r>
        <w:r>
          <w:rPr>
            <w:noProof/>
            <w:webHidden/>
          </w:rPr>
          <w:tab/>
        </w:r>
        <w:r>
          <w:rPr>
            <w:noProof/>
            <w:webHidden/>
          </w:rPr>
          <w:fldChar w:fldCharType="begin"/>
        </w:r>
        <w:r>
          <w:rPr>
            <w:noProof/>
            <w:webHidden/>
          </w:rPr>
          <w:instrText xml:space="preserve"> PAGEREF _Toc394643303 \h </w:instrText>
        </w:r>
        <w:r>
          <w:rPr>
            <w:noProof/>
            <w:webHidden/>
          </w:rPr>
        </w:r>
        <w:r>
          <w:rPr>
            <w:noProof/>
            <w:webHidden/>
          </w:rPr>
          <w:fldChar w:fldCharType="separate"/>
        </w:r>
        <w:r>
          <w:rPr>
            <w:noProof/>
            <w:webHidden/>
          </w:rPr>
          <w:t>46</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04" w:history="1">
        <w:r w:rsidRPr="00FA7B33">
          <w:rPr>
            <w:rStyle w:val="Hyperlink"/>
            <w:noProof/>
          </w:rPr>
          <w:t>1.</w:t>
        </w:r>
        <w:r>
          <w:rPr>
            <w:rFonts w:asciiTheme="minorHAnsi" w:eastAsiaTheme="minorEastAsia" w:hAnsiTheme="minorHAnsi" w:cstheme="minorBidi"/>
            <w:caps w:val="0"/>
            <w:noProof/>
            <w:sz w:val="22"/>
            <w:szCs w:val="22"/>
          </w:rPr>
          <w:tab/>
        </w:r>
        <w:r w:rsidRPr="00FA7B33">
          <w:rPr>
            <w:rStyle w:val="Hyperlink"/>
            <w:noProof/>
          </w:rPr>
          <w:t>RESUSCITATION</w:t>
        </w:r>
        <w:r>
          <w:rPr>
            <w:noProof/>
            <w:webHidden/>
          </w:rPr>
          <w:tab/>
        </w:r>
        <w:r>
          <w:rPr>
            <w:noProof/>
            <w:webHidden/>
          </w:rPr>
          <w:fldChar w:fldCharType="begin"/>
        </w:r>
        <w:r>
          <w:rPr>
            <w:noProof/>
            <w:webHidden/>
          </w:rPr>
          <w:instrText xml:space="preserve"> PAGEREF _Toc394643304 \h </w:instrText>
        </w:r>
        <w:r>
          <w:rPr>
            <w:noProof/>
            <w:webHidden/>
          </w:rPr>
        </w:r>
        <w:r>
          <w:rPr>
            <w:noProof/>
            <w:webHidden/>
          </w:rPr>
          <w:fldChar w:fldCharType="separate"/>
        </w:r>
        <w:r>
          <w:rPr>
            <w:noProof/>
            <w:webHidden/>
          </w:rPr>
          <w:t>46</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05" w:history="1">
        <w:r w:rsidRPr="00FA7B33">
          <w:rPr>
            <w:rStyle w:val="Hyperlink"/>
            <w:noProof/>
          </w:rPr>
          <w:t>2.</w:t>
        </w:r>
        <w:r>
          <w:rPr>
            <w:rFonts w:asciiTheme="minorHAnsi" w:eastAsiaTheme="minorEastAsia" w:hAnsiTheme="minorHAnsi" w:cstheme="minorBidi"/>
            <w:caps w:val="0"/>
            <w:noProof/>
            <w:sz w:val="22"/>
            <w:szCs w:val="22"/>
          </w:rPr>
          <w:tab/>
        </w:r>
        <w:r w:rsidRPr="00FA7B33">
          <w:rPr>
            <w:rStyle w:val="Hyperlink"/>
            <w:noProof/>
          </w:rPr>
          <w:t>INTRACRANIAL PRESSURE (ICP) AND CEREBRAL PERFUSION PRESSURE (CPP)</w:t>
        </w:r>
        <w:r>
          <w:rPr>
            <w:noProof/>
            <w:webHidden/>
          </w:rPr>
          <w:tab/>
        </w:r>
        <w:r>
          <w:rPr>
            <w:noProof/>
            <w:webHidden/>
          </w:rPr>
          <w:fldChar w:fldCharType="begin"/>
        </w:r>
        <w:r>
          <w:rPr>
            <w:noProof/>
            <w:webHidden/>
          </w:rPr>
          <w:instrText xml:space="preserve"> PAGEREF _Toc394643305 \h </w:instrText>
        </w:r>
        <w:r>
          <w:rPr>
            <w:noProof/>
            <w:webHidden/>
          </w:rPr>
        </w:r>
        <w:r>
          <w:rPr>
            <w:noProof/>
            <w:webHidden/>
          </w:rPr>
          <w:fldChar w:fldCharType="separate"/>
        </w:r>
        <w:r>
          <w:rPr>
            <w:noProof/>
            <w:webHidden/>
          </w:rPr>
          <w:t>46</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06" w:history="1">
        <w:r w:rsidRPr="00FA7B33">
          <w:rPr>
            <w:rStyle w:val="Hyperlink"/>
            <w:noProof/>
          </w:rPr>
          <w:t>3.</w:t>
        </w:r>
        <w:r>
          <w:rPr>
            <w:rFonts w:asciiTheme="minorHAnsi" w:eastAsiaTheme="minorEastAsia" w:hAnsiTheme="minorHAnsi" w:cstheme="minorBidi"/>
            <w:caps w:val="0"/>
            <w:noProof/>
            <w:sz w:val="22"/>
            <w:szCs w:val="22"/>
          </w:rPr>
          <w:tab/>
        </w:r>
        <w:r w:rsidRPr="00FA7B33">
          <w:rPr>
            <w:rStyle w:val="Hyperlink"/>
            <w:noProof/>
          </w:rPr>
          <w:t>HYPERVENTILATION</w:t>
        </w:r>
        <w:r>
          <w:rPr>
            <w:noProof/>
            <w:webHidden/>
          </w:rPr>
          <w:tab/>
        </w:r>
        <w:r>
          <w:rPr>
            <w:noProof/>
            <w:webHidden/>
          </w:rPr>
          <w:fldChar w:fldCharType="begin"/>
        </w:r>
        <w:r>
          <w:rPr>
            <w:noProof/>
            <w:webHidden/>
          </w:rPr>
          <w:instrText xml:space="preserve"> PAGEREF _Toc394643306 \h </w:instrText>
        </w:r>
        <w:r>
          <w:rPr>
            <w:noProof/>
            <w:webHidden/>
          </w:rPr>
        </w:r>
        <w:r>
          <w:rPr>
            <w:noProof/>
            <w:webHidden/>
          </w:rPr>
          <w:fldChar w:fldCharType="separate"/>
        </w:r>
        <w:r>
          <w:rPr>
            <w:noProof/>
            <w:webHidden/>
          </w:rPr>
          <w:t>46</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07" w:history="1">
        <w:r w:rsidRPr="00FA7B33">
          <w:rPr>
            <w:rStyle w:val="Hyperlink"/>
            <w:noProof/>
          </w:rPr>
          <w:t>4.</w:t>
        </w:r>
        <w:r>
          <w:rPr>
            <w:rFonts w:asciiTheme="minorHAnsi" w:eastAsiaTheme="minorEastAsia" w:hAnsiTheme="minorHAnsi" w:cstheme="minorBidi"/>
            <w:caps w:val="0"/>
            <w:noProof/>
            <w:sz w:val="22"/>
            <w:szCs w:val="22"/>
          </w:rPr>
          <w:tab/>
        </w:r>
        <w:r w:rsidRPr="00FA7B33">
          <w:rPr>
            <w:rStyle w:val="Hyperlink"/>
            <w:noProof/>
          </w:rPr>
          <w:t>MEDICATIONS</w:t>
        </w:r>
        <w:r>
          <w:rPr>
            <w:noProof/>
            <w:webHidden/>
          </w:rPr>
          <w:tab/>
        </w:r>
        <w:r>
          <w:rPr>
            <w:noProof/>
            <w:webHidden/>
          </w:rPr>
          <w:fldChar w:fldCharType="begin"/>
        </w:r>
        <w:r>
          <w:rPr>
            <w:noProof/>
            <w:webHidden/>
          </w:rPr>
          <w:instrText xml:space="preserve"> PAGEREF _Toc394643307 \h </w:instrText>
        </w:r>
        <w:r>
          <w:rPr>
            <w:noProof/>
            <w:webHidden/>
          </w:rPr>
        </w:r>
        <w:r>
          <w:rPr>
            <w:noProof/>
            <w:webHidden/>
          </w:rPr>
          <w:fldChar w:fldCharType="separate"/>
        </w:r>
        <w:r>
          <w:rPr>
            <w:noProof/>
            <w:webHidden/>
          </w:rPr>
          <w:t>46</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08" w:history="1">
        <w:r w:rsidRPr="00FA7B33">
          <w:rPr>
            <w:rStyle w:val="Hyperlink"/>
            <w:noProof/>
          </w:rPr>
          <w:t>5.</w:t>
        </w:r>
        <w:r>
          <w:rPr>
            <w:rFonts w:asciiTheme="minorHAnsi" w:eastAsiaTheme="minorEastAsia" w:hAnsiTheme="minorHAnsi" w:cstheme="minorBidi"/>
            <w:caps w:val="0"/>
            <w:noProof/>
            <w:sz w:val="22"/>
            <w:szCs w:val="22"/>
          </w:rPr>
          <w:tab/>
        </w:r>
        <w:r w:rsidRPr="00FA7B33">
          <w:rPr>
            <w:rStyle w:val="Hyperlink"/>
            <w:noProof/>
          </w:rPr>
          <w:t>HYPOTHERMIA</w:t>
        </w:r>
        <w:r>
          <w:rPr>
            <w:noProof/>
            <w:webHidden/>
          </w:rPr>
          <w:tab/>
        </w:r>
        <w:r>
          <w:rPr>
            <w:noProof/>
            <w:webHidden/>
          </w:rPr>
          <w:fldChar w:fldCharType="begin"/>
        </w:r>
        <w:r>
          <w:rPr>
            <w:noProof/>
            <w:webHidden/>
          </w:rPr>
          <w:instrText xml:space="preserve"> PAGEREF _Toc394643308 \h </w:instrText>
        </w:r>
        <w:r>
          <w:rPr>
            <w:noProof/>
            <w:webHidden/>
          </w:rPr>
        </w:r>
        <w:r>
          <w:rPr>
            <w:noProof/>
            <w:webHidden/>
          </w:rPr>
          <w:fldChar w:fldCharType="separate"/>
        </w:r>
        <w:r>
          <w:rPr>
            <w:noProof/>
            <w:webHidden/>
          </w:rPr>
          <w:t>47</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09" w:history="1">
        <w:r w:rsidRPr="00FA7B33">
          <w:rPr>
            <w:rStyle w:val="Hyperlink"/>
            <w:noProof/>
          </w:rPr>
          <w:t>6.</w:t>
        </w:r>
        <w:r>
          <w:rPr>
            <w:rFonts w:asciiTheme="minorHAnsi" w:eastAsiaTheme="minorEastAsia" w:hAnsiTheme="minorHAnsi" w:cstheme="minorBidi"/>
            <w:caps w:val="0"/>
            <w:noProof/>
            <w:sz w:val="22"/>
            <w:szCs w:val="22"/>
          </w:rPr>
          <w:tab/>
        </w:r>
        <w:r w:rsidRPr="00FA7B33">
          <w:rPr>
            <w:rStyle w:val="Hyperlink"/>
            <w:noProof/>
          </w:rPr>
          <w:t>Surgery</w:t>
        </w:r>
        <w:r>
          <w:rPr>
            <w:noProof/>
            <w:webHidden/>
          </w:rPr>
          <w:tab/>
        </w:r>
        <w:r>
          <w:rPr>
            <w:noProof/>
            <w:webHidden/>
          </w:rPr>
          <w:fldChar w:fldCharType="begin"/>
        </w:r>
        <w:r>
          <w:rPr>
            <w:noProof/>
            <w:webHidden/>
          </w:rPr>
          <w:instrText xml:space="preserve"> PAGEREF _Toc394643309 \h </w:instrText>
        </w:r>
        <w:r>
          <w:rPr>
            <w:noProof/>
            <w:webHidden/>
          </w:rPr>
        </w:r>
        <w:r>
          <w:rPr>
            <w:noProof/>
            <w:webHidden/>
          </w:rPr>
          <w:fldChar w:fldCharType="separate"/>
        </w:r>
        <w:r>
          <w:rPr>
            <w:noProof/>
            <w:webHidden/>
          </w:rPr>
          <w:t>47</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10" w:history="1">
        <w:r w:rsidRPr="00FA7B33">
          <w:rPr>
            <w:rStyle w:val="Hyperlink"/>
            <w:noProof/>
          </w:rPr>
          <w:t>7.</w:t>
        </w:r>
        <w:r>
          <w:rPr>
            <w:rFonts w:asciiTheme="minorHAnsi" w:eastAsiaTheme="minorEastAsia" w:hAnsiTheme="minorHAnsi" w:cstheme="minorBidi"/>
            <w:caps w:val="0"/>
            <w:noProof/>
            <w:sz w:val="22"/>
            <w:szCs w:val="22"/>
          </w:rPr>
          <w:tab/>
        </w:r>
        <w:r w:rsidRPr="00FA7B33">
          <w:rPr>
            <w:rStyle w:val="Hyperlink"/>
            <w:noProof/>
          </w:rPr>
          <w:t>Hyperbaric Oxygen</w:t>
        </w:r>
        <w:r>
          <w:rPr>
            <w:noProof/>
            <w:webHidden/>
          </w:rPr>
          <w:tab/>
        </w:r>
        <w:r>
          <w:rPr>
            <w:noProof/>
            <w:webHidden/>
          </w:rPr>
          <w:fldChar w:fldCharType="begin"/>
        </w:r>
        <w:r>
          <w:rPr>
            <w:noProof/>
            <w:webHidden/>
          </w:rPr>
          <w:instrText xml:space="preserve"> PAGEREF _Toc394643310 \h </w:instrText>
        </w:r>
        <w:r>
          <w:rPr>
            <w:noProof/>
            <w:webHidden/>
          </w:rPr>
        </w:r>
        <w:r>
          <w:rPr>
            <w:noProof/>
            <w:webHidden/>
          </w:rPr>
          <w:fldChar w:fldCharType="separate"/>
        </w:r>
        <w:r>
          <w:rPr>
            <w:noProof/>
            <w:webHidden/>
          </w:rPr>
          <w:t>47</w:t>
        </w:r>
        <w:r>
          <w:rPr>
            <w:noProof/>
            <w:webHidden/>
          </w:rPr>
          <w:fldChar w:fldCharType="end"/>
        </w:r>
      </w:hyperlink>
    </w:p>
    <w:p w:rsidR="00203DF3" w:rsidRDefault="00203DF3">
      <w:pPr>
        <w:pStyle w:val="TOC1"/>
        <w:tabs>
          <w:tab w:val="right" w:leader="dot" w:pos="9350"/>
        </w:tabs>
        <w:rPr>
          <w:rFonts w:asciiTheme="minorHAnsi" w:eastAsiaTheme="minorEastAsia" w:hAnsiTheme="minorHAnsi" w:cstheme="minorBidi"/>
          <w:b w:val="0"/>
          <w:bCs w:val="0"/>
          <w:caps w:val="0"/>
          <w:noProof/>
          <w:sz w:val="22"/>
          <w:szCs w:val="22"/>
        </w:rPr>
      </w:pPr>
      <w:hyperlink w:anchor="_Toc394643311" w:history="1">
        <w:r w:rsidRPr="00FA7B33">
          <w:rPr>
            <w:rStyle w:val="Hyperlink"/>
            <w:noProof/>
          </w:rPr>
          <w:t>g.</w:t>
        </w:r>
        <w:r>
          <w:rPr>
            <w:rFonts w:asciiTheme="minorHAnsi" w:eastAsiaTheme="minorEastAsia" w:hAnsiTheme="minorHAnsi" w:cstheme="minorBidi"/>
            <w:b w:val="0"/>
            <w:bCs w:val="0"/>
            <w:caps w:val="0"/>
            <w:noProof/>
            <w:sz w:val="22"/>
            <w:szCs w:val="22"/>
          </w:rPr>
          <w:tab/>
        </w:r>
        <w:r w:rsidRPr="00FA7B33">
          <w:rPr>
            <w:rStyle w:val="Hyperlink"/>
            <w:noProof/>
          </w:rPr>
          <w:t>NONOPERATIVE THERAPEUTIC PROCEDURES – INITIAL TREATMENT CONSIDERATIONS</w:t>
        </w:r>
        <w:r>
          <w:rPr>
            <w:noProof/>
            <w:webHidden/>
          </w:rPr>
          <w:tab/>
        </w:r>
        <w:r>
          <w:rPr>
            <w:noProof/>
            <w:webHidden/>
          </w:rPr>
          <w:fldChar w:fldCharType="begin"/>
        </w:r>
        <w:r>
          <w:rPr>
            <w:noProof/>
            <w:webHidden/>
          </w:rPr>
          <w:instrText xml:space="preserve"> PAGEREF _Toc394643311 \h </w:instrText>
        </w:r>
        <w:r>
          <w:rPr>
            <w:noProof/>
            <w:webHidden/>
          </w:rPr>
        </w:r>
        <w:r>
          <w:rPr>
            <w:noProof/>
            <w:webHidden/>
          </w:rPr>
          <w:fldChar w:fldCharType="separate"/>
        </w:r>
        <w:r>
          <w:rPr>
            <w:noProof/>
            <w:webHidden/>
          </w:rPr>
          <w:t>49</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12" w:history="1">
        <w:r w:rsidRPr="00FA7B33">
          <w:rPr>
            <w:rStyle w:val="Hyperlink"/>
            <w:noProof/>
          </w:rPr>
          <w:t>1.</w:t>
        </w:r>
        <w:r>
          <w:rPr>
            <w:rFonts w:asciiTheme="minorHAnsi" w:eastAsiaTheme="minorEastAsia" w:hAnsiTheme="minorHAnsi" w:cstheme="minorBidi"/>
            <w:caps w:val="0"/>
            <w:noProof/>
            <w:sz w:val="22"/>
            <w:szCs w:val="22"/>
          </w:rPr>
          <w:tab/>
        </w:r>
        <w:r w:rsidRPr="00FA7B33">
          <w:rPr>
            <w:rStyle w:val="Hyperlink"/>
            <w:noProof/>
          </w:rPr>
          <w:t>PATIENT/FAMILY/SUPPORT SYSTEM EDUCATION</w:t>
        </w:r>
        <w:r>
          <w:rPr>
            <w:noProof/>
            <w:webHidden/>
          </w:rPr>
          <w:tab/>
        </w:r>
        <w:r>
          <w:rPr>
            <w:noProof/>
            <w:webHidden/>
          </w:rPr>
          <w:fldChar w:fldCharType="begin"/>
        </w:r>
        <w:r>
          <w:rPr>
            <w:noProof/>
            <w:webHidden/>
          </w:rPr>
          <w:instrText xml:space="preserve"> PAGEREF _Toc394643312 \h </w:instrText>
        </w:r>
        <w:r>
          <w:rPr>
            <w:noProof/>
            <w:webHidden/>
          </w:rPr>
        </w:r>
        <w:r>
          <w:rPr>
            <w:noProof/>
            <w:webHidden/>
          </w:rPr>
          <w:fldChar w:fldCharType="separate"/>
        </w:r>
        <w:r>
          <w:rPr>
            <w:noProof/>
            <w:webHidden/>
          </w:rPr>
          <w:t>49</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13" w:history="1">
        <w:r w:rsidRPr="00FA7B33">
          <w:rPr>
            <w:rStyle w:val="Hyperlink"/>
            <w:rFonts w:ascii="Arial Bold" w:hAnsi="Arial Bold"/>
            <w:bCs/>
            <w:noProof/>
          </w:rPr>
          <w:t>a.</w:t>
        </w:r>
        <w:r>
          <w:rPr>
            <w:rFonts w:asciiTheme="minorHAnsi" w:eastAsiaTheme="minorEastAsia" w:hAnsiTheme="minorHAnsi" w:cstheme="minorBidi"/>
            <w:iCs w:val="0"/>
            <w:noProof/>
            <w:sz w:val="22"/>
            <w:szCs w:val="22"/>
          </w:rPr>
          <w:tab/>
        </w:r>
        <w:r w:rsidRPr="00FA7B33">
          <w:rPr>
            <w:rStyle w:val="Hyperlink"/>
            <w:noProof/>
          </w:rPr>
          <w:t>MTBI</w:t>
        </w:r>
        <w:r>
          <w:rPr>
            <w:noProof/>
            <w:webHidden/>
          </w:rPr>
          <w:tab/>
        </w:r>
        <w:r>
          <w:rPr>
            <w:noProof/>
            <w:webHidden/>
          </w:rPr>
          <w:fldChar w:fldCharType="begin"/>
        </w:r>
        <w:r>
          <w:rPr>
            <w:noProof/>
            <w:webHidden/>
          </w:rPr>
          <w:instrText xml:space="preserve"> PAGEREF _Toc394643313 \h </w:instrText>
        </w:r>
        <w:r>
          <w:rPr>
            <w:noProof/>
            <w:webHidden/>
          </w:rPr>
        </w:r>
        <w:r>
          <w:rPr>
            <w:noProof/>
            <w:webHidden/>
          </w:rPr>
          <w:fldChar w:fldCharType="separate"/>
        </w:r>
        <w:r>
          <w:rPr>
            <w:noProof/>
            <w:webHidden/>
          </w:rPr>
          <w:t>49</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14"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Moderate/Severe TBI</w:t>
        </w:r>
        <w:r>
          <w:rPr>
            <w:noProof/>
            <w:webHidden/>
          </w:rPr>
          <w:tab/>
        </w:r>
        <w:r>
          <w:rPr>
            <w:noProof/>
            <w:webHidden/>
          </w:rPr>
          <w:fldChar w:fldCharType="begin"/>
        </w:r>
        <w:r>
          <w:rPr>
            <w:noProof/>
            <w:webHidden/>
          </w:rPr>
          <w:instrText xml:space="preserve"> PAGEREF _Toc394643314 \h </w:instrText>
        </w:r>
        <w:r>
          <w:rPr>
            <w:noProof/>
            <w:webHidden/>
          </w:rPr>
        </w:r>
        <w:r>
          <w:rPr>
            <w:noProof/>
            <w:webHidden/>
          </w:rPr>
          <w:fldChar w:fldCharType="separate"/>
        </w:r>
        <w:r>
          <w:rPr>
            <w:noProof/>
            <w:webHidden/>
          </w:rPr>
          <w:t>49</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15" w:history="1">
        <w:r w:rsidRPr="00FA7B33">
          <w:rPr>
            <w:rStyle w:val="Hyperlink"/>
            <w:noProof/>
          </w:rPr>
          <w:t>2.</w:t>
        </w:r>
        <w:r>
          <w:rPr>
            <w:rFonts w:asciiTheme="minorHAnsi" w:eastAsiaTheme="minorEastAsia" w:hAnsiTheme="minorHAnsi" w:cstheme="minorBidi"/>
            <w:caps w:val="0"/>
            <w:noProof/>
            <w:sz w:val="22"/>
            <w:szCs w:val="22"/>
          </w:rPr>
          <w:tab/>
        </w:r>
        <w:r w:rsidRPr="00FA7B33">
          <w:rPr>
            <w:rStyle w:val="Hyperlink"/>
            <w:noProof/>
          </w:rPr>
          <w:t>BEHAVIOR</w:t>
        </w:r>
        <w:r>
          <w:rPr>
            <w:noProof/>
            <w:webHidden/>
          </w:rPr>
          <w:tab/>
        </w:r>
        <w:r>
          <w:rPr>
            <w:noProof/>
            <w:webHidden/>
          </w:rPr>
          <w:fldChar w:fldCharType="begin"/>
        </w:r>
        <w:r>
          <w:rPr>
            <w:noProof/>
            <w:webHidden/>
          </w:rPr>
          <w:instrText xml:space="preserve"> PAGEREF _Toc394643315 \h </w:instrText>
        </w:r>
        <w:r>
          <w:rPr>
            <w:noProof/>
            <w:webHidden/>
          </w:rPr>
        </w:r>
        <w:r>
          <w:rPr>
            <w:noProof/>
            <w:webHidden/>
          </w:rPr>
          <w:fldChar w:fldCharType="separate"/>
        </w:r>
        <w:r>
          <w:rPr>
            <w:noProof/>
            <w:webHidden/>
          </w:rPr>
          <w:t>50</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16" w:history="1">
        <w:r w:rsidRPr="00FA7B33">
          <w:rPr>
            <w:rStyle w:val="Hyperlink"/>
            <w:noProof/>
          </w:rPr>
          <w:t>3.</w:t>
        </w:r>
        <w:r>
          <w:rPr>
            <w:rFonts w:asciiTheme="minorHAnsi" w:eastAsiaTheme="minorEastAsia" w:hAnsiTheme="minorHAnsi" w:cstheme="minorBidi"/>
            <w:caps w:val="0"/>
            <w:noProof/>
            <w:sz w:val="22"/>
            <w:szCs w:val="22"/>
          </w:rPr>
          <w:tab/>
        </w:r>
        <w:r w:rsidRPr="00FA7B33">
          <w:rPr>
            <w:rStyle w:val="Hyperlink"/>
            <w:noProof/>
          </w:rPr>
          <w:t>COGNITION</w:t>
        </w:r>
        <w:r>
          <w:rPr>
            <w:noProof/>
            <w:webHidden/>
          </w:rPr>
          <w:tab/>
        </w:r>
        <w:r>
          <w:rPr>
            <w:noProof/>
            <w:webHidden/>
          </w:rPr>
          <w:fldChar w:fldCharType="begin"/>
        </w:r>
        <w:r>
          <w:rPr>
            <w:noProof/>
            <w:webHidden/>
          </w:rPr>
          <w:instrText xml:space="preserve"> PAGEREF _Toc394643316 \h </w:instrText>
        </w:r>
        <w:r>
          <w:rPr>
            <w:noProof/>
            <w:webHidden/>
          </w:rPr>
        </w:r>
        <w:r>
          <w:rPr>
            <w:noProof/>
            <w:webHidden/>
          </w:rPr>
          <w:fldChar w:fldCharType="separate"/>
        </w:r>
        <w:r>
          <w:rPr>
            <w:noProof/>
            <w:webHidden/>
          </w:rPr>
          <w:t>51</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17"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MTBI</w:t>
        </w:r>
        <w:r>
          <w:rPr>
            <w:noProof/>
            <w:webHidden/>
          </w:rPr>
          <w:tab/>
        </w:r>
        <w:r>
          <w:rPr>
            <w:noProof/>
            <w:webHidden/>
          </w:rPr>
          <w:fldChar w:fldCharType="begin"/>
        </w:r>
        <w:r>
          <w:rPr>
            <w:noProof/>
            <w:webHidden/>
          </w:rPr>
          <w:instrText xml:space="preserve"> PAGEREF _Toc394643317 \h </w:instrText>
        </w:r>
        <w:r>
          <w:rPr>
            <w:noProof/>
            <w:webHidden/>
          </w:rPr>
        </w:r>
        <w:r>
          <w:rPr>
            <w:noProof/>
            <w:webHidden/>
          </w:rPr>
          <w:fldChar w:fldCharType="separate"/>
        </w:r>
        <w:r>
          <w:rPr>
            <w:noProof/>
            <w:webHidden/>
          </w:rPr>
          <w:t>52</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18"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Moderate/Severe TBI</w:t>
        </w:r>
        <w:r>
          <w:rPr>
            <w:noProof/>
            <w:webHidden/>
          </w:rPr>
          <w:tab/>
        </w:r>
        <w:r>
          <w:rPr>
            <w:noProof/>
            <w:webHidden/>
          </w:rPr>
          <w:fldChar w:fldCharType="begin"/>
        </w:r>
        <w:r>
          <w:rPr>
            <w:noProof/>
            <w:webHidden/>
          </w:rPr>
          <w:instrText xml:space="preserve"> PAGEREF _Toc394643318 \h </w:instrText>
        </w:r>
        <w:r>
          <w:rPr>
            <w:noProof/>
            <w:webHidden/>
          </w:rPr>
        </w:r>
        <w:r>
          <w:rPr>
            <w:noProof/>
            <w:webHidden/>
          </w:rPr>
          <w:fldChar w:fldCharType="separate"/>
        </w:r>
        <w:r>
          <w:rPr>
            <w:noProof/>
            <w:webHidden/>
          </w:rPr>
          <w:t>52</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19" w:history="1">
        <w:r w:rsidRPr="00FA7B33">
          <w:rPr>
            <w:rStyle w:val="Hyperlink"/>
            <w:rFonts w:ascii="Arial Bold" w:hAnsi="Arial Bold"/>
            <w:noProof/>
          </w:rPr>
          <w:t>c.</w:t>
        </w:r>
        <w:r>
          <w:rPr>
            <w:rFonts w:asciiTheme="minorHAnsi" w:eastAsiaTheme="minorEastAsia" w:hAnsiTheme="minorHAnsi" w:cstheme="minorBidi"/>
            <w:iCs w:val="0"/>
            <w:noProof/>
            <w:sz w:val="22"/>
            <w:szCs w:val="22"/>
          </w:rPr>
          <w:tab/>
        </w:r>
        <w:r w:rsidRPr="00FA7B33">
          <w:rPr>
            <w:rStyle w:val="Hyperlink"/>
            <w:noProof/>
          </w:rPr>
          <w:t>Computer-Based Treatment</w:t>
        </w:r>
        <w:r>
          <w:rPr>
            <w:noProof/>
            <w:webHidden/>
          </w:rPr>
          <w:tab/>
        </w:r>
        <w:r>
          <w:rPr>
            <w:noProof/>
            <w:webHidden/>
          </w:rPr>
          <w:fldChar w:fldCharType="begin"/>
        </w:r>
        <w:r>
          <w:rPr>
            <w:noProof/>
            <w:webHidden/>
          </w:rPr>
          <w:instrText xml:space="preserve"> PAGEREF _Toc394643319 \h </w:instrText>
        </w:r>
        <w:r>
          <w:rPr>
            <w:noProof/>
            <w:webHidden/>
          </w:rPr>
        </w:r>
        <w:r>
          <w:rPr>
            <w:noProof/>
            <w:webHidden/>
          </w:rPr>
          <w:fldChar w:fldCharType="separate"/>
        </w:r>
        <w:r>
          <w:rPr>
            <w:noProof/>
            <w:webHidden/>
          </w:rPr>
          <w:t>54</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20" w:history="1">
        <w:r w:rsidRPr="00FA7B33">
          <w:rPr>
            <w:rStyle w:val="Hyperlink"/>
            <w:rFonts w:ascii="Arial Bold" w:hAnsi="Arial Bold"/>
            <w:noProof/>
          </w:rPr>
          <w:t>d.</w:t>
        </w:r>
        <w:r>
          <w:rPr>
            <w:rFonts w:asciiTheme="minorHAnsi" w:eastAsiaTheme="minorEastAsia" w:hAnsiTheme="minorHAnsi" w:cstheme="minorBidi"/>
            <w:iCs w:val="0"/>
            <w:noProof/>
            <w:sz w:val="22"/>
            <w:szCs w:val="22"/>
          </w:rPr>
          <w:tab/>
        </w:r>
        <w:r w:rsidRPr="00FA7B33">
          <w:rPr>
            <w:rStyle w:val="Hyperlink"/>
            <w:noProof/>
          </w:rPr>
          <w:t>Assistive Technology</w:t>
        </w:r>
        <w:r>
          <w:rPr>
            <w:noProof/>
            <w:webHidden/>
          </w:rPr>
          <w:tab/>
        </w:r>
        <w:r>
          <w:rPr>
            <w:noProof/>
            <w:webHidden/>
          </w:rPr>
          <w:fldChar w:fldCharType="begin"/>
        </w:r>
        <w:r>
          <w:rPr>
            <w:noProof/>
            <w:webHidden/>
          </w:rPr>
          <w:instrText xml:space="preserve"> PAGEREF _Toc394643320 \h </w:instrText>
        </w:r>
        <w:r>
          <w:rPr>
            <w:noProof/>
            <w:webHidden/>
          </w:rPr>
        </w:r>
        <w:r>
          <w:rPr>
            <w:noProof/>
            <w:webHidden/>
          </w:rPr>
          <w:fldChar w:fldCharType="separate"/>
        </w:r>
        <w:r>
          <w:rPr>
            <w:noProof/>
            <w:webHidden/>
          </w:rPr>
          <w:t>54</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21" w:history="1">
        <w:r w:rsidRPr="00FA7B33">
          <w:rPr>
            <w:rStyle w:val="Hyperlink"/>
            <w:noProof/>
          </w:rPr>
          <w:t>4.</w:t>
        </w:r>
        <w:r>
          <w:rPr>
            <w:rFonts w:asciiTheme="minorHAnsi" w:eastAsiaTheme="minorEastAsia" w:hAnsiTheme="minorHAnsi" w:cstheme="minorBidi"/>
            <w:caps w:val="0"/>
            <w:noProof/>
            <w:sz w:val="22"/>
            <w:szCs w:val="22"/>
          </w:rPr>
          <w:tab/>
        </w:r>
        <w:r w:rsidRPr="00FA7B33">
          <w:rPr>
            <w:rStyle w:val="Hyperlink"/>
            <w:noProof/>
          </w:rPr>
          <w:t>PSYCHOLOGICAL/EDUCATIONAL INTERVENTIONS:</w:t>
        </w:r>
        <w:r>
          <w:rPr>
            <w:noProof/>
            <w:webHidden/>
          </w:rPr>
          <w:tab/>
        </w:r>
        <w:r>
          <w:rPr>
            <w:noProof/>
            <w:webHidden/>
          </w:rPr>
          <w:fldChar w:fldCharType="begin"/>
        </w:r>
        <w:r>
          <w:rPr>
            <w:noProof/>
            <w:webHidden/>
          </w:rPr>
          <w:instrText xml:space="preserve"> PAGEREF _Toc394643321 \h </w:instrText>
        </w:r>
        <w:r>
          <w:rPr>
            <w:noProof/>
            <w:webHidden/>
          </w:rPr>
        </w:r>
        <w:r>
          <w:rPr>
            <w:noProof/>
            <w:webHidden/>
          </w:rPr>
          <w:fldChar w:fldCharType="separate"/>
        </w:r>
        <w:r>
          <w:rPr>
            <w:noProof/>
            <w:webHidden/>
          </w:rPr>
          <w:t>54</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22"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Acute Psychological/Educational Interventions in MTBI</w:t>
        </w:r>
        <w:r>
          <w:rPr>
            <w:noProof/>
            <w:webHidden/>
          </w:rPr>
          <w:tab/>
        </w:r>
        <w:r>
          <w:rPr>
            <w:noProof/>
            <w:webHidden/>
          </w:rPr>
          <w:fldChar w:fldCharType="begin"/>
        </w:r>
        <w:r>
          <w:rPr>
            <w:noProof/>
            <w:webHidden/>
          </w:rPr>
          <w:instrText xml:space="preserve"> PAGEREF _Toc394643322 \h </w:instrText>
        </w:r>
        <w:r>
          <w:rPr>
            <w:noProof/>
            <w:webHidden/>
          </w:rPr>
        </w:r>
        <w:r>
          <w:rPr>
            <w:noProof/>
            <w:webHidden/>
          </w:rPr>
          <w:fldChar w:fldCharType="separate"/>
        </w:r>
        <w:r>
          <w:rPr>
            <w:noProof/>
            <w:webHidden/>
          </w:rPr>
          <w:t>54</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23"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Problem-Specific Referrals During the First Three Months Following MTBI</w:t>
        </w:r>
        <w:r>
          <w:rPr>
            <w:noProof/>
            <w:webHidden/>
          </w:rPr>
          <w:tab/>
        </w:r>
        <w:r>
          <w:rPr>
            <w:noProof/>
            <w:webHidden/>
          </w:rPr>
          <w:fldChar w:fldCharType="begin"/>
        </w:r>
        <w:r>
          <w:rPr>
            <w:noProof/>
            <w:webHidden/>
          </w:rPr>
          <w:instrText xml:space="preserve"> PAGEREF _Toc394643323 \h </w:instrText>
        </w:r>
        <w:r>
          <w:rPr>
            <w:noProof/>
            <w:webHidden/>
          </w:rPr>
        </w:r>
        <w:r>
          <w:rPr>
            <w:noProof/>
            <w:webHidden/>
          </w:rPr>
          <w:fldChar w:fldCharType="separate"/>
        </w:r>
        <w:r>
          <w:rPr>
            <w:noProof/>
            <w:webHidden/>
          </w:rPr>
          <w:t>55</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24" w:history="1">
        <w:r w:rsidRPr="00FA7B33">
          <w:rPr>
            <w:rStyle w:val="Hyperlink"/>
            <w:rFonts w:ascii="Arial Bold" w:hAnsi="Arial Bold"/>
            <w:noProof/>
          </w:rPr>
          <w:t>c.</w:t>
        </w:r>
        <w:r>
          <w:rPr>
            <w:rFonts w:asciiTheme="minorHAnsi" w:eastAsiaTheme="minorEastAsia" w:hAnsiTheme="minorHAnsi" w:cstheme="minorBidi"/>
            <w:iCs w:val="0"/>
            <w:noProof/>
            <w:sz w:val="22"/>
            <w:szCs w:val="22"/>
          </w:rPr>
          <w:tab/>
        </w:r>
        <w:r w:rsidRPr="00FA7B33">
          <w:rPr>
            <w:rStyle w:val="Hyperlink"/>
            <w:noProof/>
          </w:rPr>
          <w:t>Referrals Three or More Months Post-MTBI</w:t>
        </w:r>
        <w:r>
          <w:rPr>
            <w:noProof/>
            <w:webHidden/>
          </w:rPr>
          <w:tab/>
        </w:r>
        <w:r>
          <w:rPr>
            <w:noProof/>
            <w:webHidden/>
          </w:rPr>
          <w:fldChar w:fldCharType="begin"/>
        </w:r>
        <w:r>
          <w:rPr>
            <w:noProof/>
            <w:webHidden/>
          </w:rPr>
          <w:instrText xml:space="preserve"> PAGEREF _Toc394643324 \h </w:instrText>
        </w:r>
        <w:r>
          <w:rPr>
            <w:noProof/>
            <w:webHidden/>
          </w:rPr>
        </w:r>
        <w:r>
          <w:rPr>
            <w:noProof/>
            <w:webHidden/>
          </w:rPr>
          <w:fldChar w:fldCharType="separate"/>
        </w:r>
        <w:r>
          <w:rPr>
            <w:noProof/>
            <w:webHidden/>
          </w:rPr>
          <w:t>55</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25" w:history="1">
        <w:r w:rsidRPr="00FA7B33">
          <w:rPr>
            <w:rStyle w:val="Hyperlink"/>
            <w:rFonts w:ascii="Arial Bold" w:hAnsi="Arial Bold"/>
            <w:noProof/>
          </w:rPr>
          <w:t>d.</w:t>
        </w:r>
        <w:r>
          <w:rPr>
            <w:rFonts w:asciiTheme="minorHAnsi" w:eastAsiaTheme="minorEastAsia" w:hAnsiTheme="minorHAnsi" w:cstheme="minorBidi"/>
            <w:iCs w:val="0"/>
            <w:noProof/>
            <w:sz w:val="22"/>
            <w:szCs w:val="22"/>
          </w:rPr>
          <w:tab/>
        </w:r>
        <w:r w:rsidRPr="00FA7B33">
          <w:rPr>
            <w:rStyle w:val="Hyperlink"/>
            <w:noProof/>
          </w:rPr>
          <w:t>Functional Gains</w:t>
        </w:r>
        <w:r>
          <w:rPr>
            <w:noProof/>
            <w:webHidden/>
          </w:rPr>
          <w:tab/>
        </w:r>
        <w:r>
          <w:rPr>
            <w:noProof/>
            <w:webHidden/>
          </w:rPr>
          <w:fldChar w:fldCharType="begin"/>
        </w:r>
        <w:r>
          <w:rPr>
            <w:noProof/>
            <w:webHidden/>
          </w:rPr>
          <w:instrText xml:space="preserve"> PAGEREF _Toc394643325 \h </w:instrText>
        </w:r>
        <w:r>
          <w:rPr>
            <w:noProof/>
            <w:webHidden/>
          </w:rPr>
        </w:r>
        <w:r>
          <w:rPr>
            <w:noProof/>
            <w:webHidden/>
          </w:rPr>
          <w:fldChar w:fldCharType="separate"/>
        </w:r>
        <w:r>
          <w:rPr>
            <w:noProof/>
            <w:webHidden/>
          </w:rPr>
          <w:t>56</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26" w:history="1">
        <w:r w:rsidRPr="00FA7B33">
          <w:rPr>
            <w:rStyle w:val="Hyperlink"/>
            <w:noProof/>
          </w:rPr>
          <w:t>5.</w:t>
        </w:r>
        <w:r>
          <w:rPr>
            <w:rFonts w:asciiTheme="minorHAnsi" w:eastAsiaTheme="minorEastAsia" w:hAnsiTheme="minorHAnsi" w:cstheme="minorBidi"/>
            <w:caps w:val="0"/>
            <w:noProof/>
            <w:sz w:val="22"/>
            <w:szCs w:val="22"/>
          </w:rPr>
          <w:tab/>
        </w:r>
        <w:r w:rsidRPr="00FA7B33">
          <w:rPr>
            <w:rStyle w:val="Hyperlink"/>
            <w:noProof/>
          </w:rPr>
          <w:t>PSYCHOLOGICAL INTERVENTIONS – MODERATE/SEVERE TBI</w:t>
        </w:r>
        <w:r>
          <w:rPr>
            <w:noProof/>
            <w:webHidden/>
          </w:rPr>
          <w:tab/>
        </w:r>
        <w:r>
          <w:rPr>
            <w:noProof/>
            <w:webHidden/>
          </w:rPr>
          <w:fldChar w:fldCharType="begin"/>
        </w:r>
        <w:r>
          <w:rPr>
            <w:noProof/>
            <w:webHidden/>
          </w:rPr>
          <w:instrText xml:space="preserve"> PAGEREF _Toc394643326 \h </w:instrText>
        </w:r>
        <w:r>
          <w:rPr>
            <w:noProof/>
            <w:webHidden/>
          </w:rPr>
        </w:r>
        <w:r>
          <w:rPr>
            <w:noProof/>
            <w:webHidden/>
          </w:rPr>
          <w:fldChar w:fldCharType="separate"/>
        </w:r>
        <w:r>
          <w:rPr>
            <w:noProof/>
            <w:webHidden/>
          </w:rPr>
          <w:t>56</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27"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Acutely Symptomatic Phase</w:t>
        </w:r>
        <w:r>
          <w:rPr>
            <w:noProof/>
            <w:webHidden/>
          </w:rPr>
          <w:tab/>
        </w:r>
        <w:r>
          <w:rPr>
            <w:noProof/>
            <w:webHidden/>
          </w:rPr>
          <w:fldChar w:fldCharType="begin"/>
        </w:r>
        <w:r>
          <w:rPr>
            <w:noProof/>
            <w:webHidden/>
          </w:rPr>
          <w:instrText xml:space="preserve"> PAGEREF _Toc394643327 \h </w:instrText>
        </w:r>
        <w:r>
          <w:rPr>
            <w:noProof/>
            <w:webHidden/>
          </w:rPr>
        </w:r>
        <w:r>
          <w:rPr>
            <w:noProof/>
            <w:webHidden/>
          </w:rPr>
          <w:fldChar w:fldCharType="separate"/>
        </w:r>
        <w:r>
          <w:rPr>
            <w:noProof/>
            <w:webHidden/>
          </w:rPr>
          <w:t>56</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28"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Early Recovery Phase</w:t>
        </w:r>
        <w:r>
          <w:rPr>
            <w:noProof/>
            <w:webHidden/>
          </w:rPr>
          <w:tab/>
        </w:r>
        <w:r>
          <w:rPr>
            <w:noProof/>
            <w:webHidden/>
          </w:rPr>
          <w:fldChar w:fldCharType="begin"/>
        </w:r>
        <w:r>
          <w:rPr>
            <w:noProof/>
            <w:webHidden/>
          </w:rPr>
          <w:instrText xml:space="preserve"> PAGEREF _Toc394643328 \h </w:instrText>
        </w:r>
        <w:r>
          <w:rPr>
            <w:noProof/>
            <w:webHidden/>
          </w:rPr>
        </w:r>
        <w:r>
          <w:rPr>
            <w:noProof/>
            <w:webHidden/>
          </w:rPr>
          <w:fldChar w:fldCharType="separate"/>
        </w:r>
        <w:r>
          <w:rPr>
            <w:noProof/>
            <w:webHidden/>
          </w:rPr>
          <w:t>56</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29" w:history="1">
        <w:r w:rsidRPr="00FA7B33">
          <w:rPr>
            <w:rStyle w:val="Hyperlink"/>
            <w:rFonts w:ascii="Arial Bold" w:hAnsi="Arial Bold"/>
            <w:noProof/>
          </w:rPr>
          <w:t>c.</w:t>
        </w:r>
        <w:r>
          <w:rPr>
            <w:rFonts w:asciiTheme="minorHAnsi" w:eastAsiaTheme="minorEastAsia" w:hAnsiTheme="minorHAnsi" w:cstheme="minorBidi"/>
            <w:iCs w:val="0"/>
            <w:noProof/>
            <w:sz w:val="22"/>
            <w:szCs w:val="22"/>
          </w:rPr>
          <w:tab/>
        </w:r>
        <w:r w:rsidRPr="00FA7B33">
          <w:rPr>
            <w:rStyle w:val="Hyperlink"/>
            <w:noProof/>
          </w:rPr>
          <w:t>Stabilization Phase</w:t>
        </w:r>
        <w:r>
          <w:rPr>
            <w:noProof/>
            <w:webHidden/>
          </w:rPr>
          <w:tab/>
        </w:r>
        <w:r>
          <w:rPr>
            <w:noProof/>
            <w:webHidden/>
          </w:rPr>
          <w:fldChar w:fldCharType="begin"/>
        </w:r>
        <w:r>
          <w:rPr>
            <w:noProof/>
            <w:webHidden/>
          </w:rPr>
          <w:instrText xml:space="preserve"> PAGEREF _Toc394643329 \h </w:instrText>
        </w:r>
        <w:r>
          <w:rPr>
            <w:noProof/>
            <w:webHidden/>
          </w:rPr>
        </w:r>
        <w:r>
          <w:rPr>
            <w:noProof/>
            <w:webHidden/>
          </w:rPr>
          <w:fldChar w:fldCharType="separate"/>
        </w:r>
        <w:r>
          <w:rPr>
            <w:noProof/>
            <w:webHidden/>
          </w:rPr>
          <w:t>57</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30" w:history="1">
        <w:r w:rsidRPr="00FA7B33">
          <w:rPr>
            <w:rStyle w:val="Hyperlink"/>
            <w:rFonts w:ascii="Arial Bold" w:hAnsi="Arial Bold"/>
            <w:noProof/>
          </w:rPr>
          <w:t>d.</w:t>
        </w:r>
        <w:r>
          <w:rPr>
            <w:rFonts w:asciiTheme="minorHAnsi" w:eastAsiaTheme="minorEastAsia" w:hAnsiTheme="minorHAnsi" w:cstheme="minorBidi"/>
            <w:iCs w:val="0"/>
            <w:noProof/>
            <w:sz w:val="22"/>
            <w:szCs w:val="22"/>
          </w:rPr>
          <w:tab/>
        </w:r>
        <w:r w:rsidRPr="00FA7B33">
          <w:rPr>
            <w:rStyle w:val="Hyperlink"/>
            <w:noProof/>
          </w:rPr>
          <w:t>Consultation in Regard to Usage of Medications</w:t>
        </w:r>
        <w:r>
          <w:rPr>
            <w:noProof/>
            <w:webHidden/>
          </w:rPr>
          <w:tab/>
        </w:r>
        <w:r>
          <w:rPr>
            <w:noProof/>
            <w:webHidden/>
          </w:rPr>
          <w:fldChar w:fldCharType="begin"/>
        </w:r>
        <w:r>
          <w:rPr>
            <w:noProof/>
            <w:webHidden/>
          </w:rPr>
          <w:instrText xml:space="preserve"> PAGEREF _Toc394643330 \h </w:instrText>
        </w:r>
        <w:r>
          <w:rPr>
            <w:noProof/>
            <w:webHidden/>
          </w:rPr>
        </w:r>
        <w:r>
          <w:rPr>
            <w:noProof/>
            <w:webHidden/>
          </w:rPr>
          <w:fldChar w:fldCharType="separate"/>
        </w:r>
        <w:r>
          <w:rPr>
            <w:noProof/>
            <w:webHidden/>
          </w:rPr>
          <w:t>57</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31" w:history="1">
        <w:r w:rsidRPr="00FA7B33">
          <w:rPr>
            <w:rStyle w:val="Hyperlink"/>
            <w:noProof/>
          </w:rPr>
          <w:t>6.</w:t>
        </w:r>
        <w:r>
          <w:rPr>
            <w:rFonts w:asciiTheme="minorHAnsi" w:eastAsiaTheme="minorEastAsia" w:hAnsiTheme="minorHAnsi" w:cstheme="minorBidi"/>
            <w:caps w:val="0"/>
            <w:noProof/>
            <w:sz w:val="22"/>
            <w:szCs w:val="22"/>
          </w:rPr>
          <w:tab/>
        </w:r>
        <w:r w:rsidRPr="00FA7B33">
          <w:rPr>
            <w:rStyle w:val="Hyperlink"/>
            <w:noProof/>
          </w:rPr>
          <w:t>MEDICATION/Pharmacological Rehabilitation</w:t>
        </w:r>
        <w:r>
          <w:rPr>
            <w:noProof/>
            <w:webHidden/>
          </w:rPr>
          <w:tab/>
        </w:r>
        <w:r>
          <w:rPr>
            <w:noProof/>
            <w:webHidden/>
          </w:rPr>
          <w:fldChar w:fldCharType="begin"/>
        </w:r>
        <w:r>
          <w:rPr>
            <w:noProof/>
            <w:webHidden/>
          </w:rPr>
          <w:instrText xml:space="preserve"> PAGEREF _Toc394643331 \h </w:instrText>
        </w:r>
        <w:r>
          <w:rPr>
            <w:noProof/>
            <w:webHidden/>
          </w:rPr>
        </w:r>
        <w:r>
          <w:rPr>
            <w:noProof/>
            <w:webHidden/>
          </w:rPr>
          <w:fldChar w:fldCharType="separate"/>
        </w:r>
        <w:r>
          <w:rPr>
            <w:noProof/>
            <w:webHidden/>
          </w:rPr>
          <w:t>57</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32"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Affective Disorders Medications</w:t>
        </w:r>
        <w:r>
          <w:rPr>
            <w:noProof/>
            <w:webHidden/>
          </w:rPr>
          <w:tab/>
        </w:r>
        <w:r>
          <w:rPr>
            <w:noProof/>
            <w:webHidden/>
          </w:rPr>
          <w:fldChar w:fldCharType="begin"/>
        </w:r>
        <w:r>
          <w:rPr>
            <w:noProof/>
            <w:webHidden/>
          </w:rPr>
          <w:instrText xml:space="preserve"> PAGEREF _Toc394643332 \h </w:instrText>
        </w:r>
        <w:r>
          <w:rPr>
            <w:noProof/>
            <w:webHidden/>
          </w:rPr>
        </w:r>
        <w:r>
          <w:rPr>
            <w:noProof/>
            <w:webHidden/>
          </w:rPr>
          <w:fldChar w:fldCharType="separate"/>
        </w:r>
        <w:r>
          <w:rPr>
            <w:noProof/>
            <w:webHidden/>
          </w:rPr>
          <w:t>59</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33"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Behavior/ Aggression Medications</w:t>
        </w:r>
        <w:r>
          <w:rPr>
            <w:noProof/>
            <w:webHidden/>
          </w:rPr>
          <w:tab/>
        </w:r>
        <w:r>
          <w:rPr>
            <w:noProof/>
            <w:webHidden/>
          </w:rPr>
          <w:fldChar w:fldCharType="begin"/>
        </w:r>
        <w:r>
          <w:rPr>
            <w:noProof/>
            <w:webHidden/>
          </w:rPr>
          <w:instrText xml:space="preserve"> PAGEREF _Toc394643333 \h </w:instrText>
        </w:r>
        <w:r>
          <w:rPr>
            <w:noProof/>
            <w:webHidden/>
          </w:rPr>
        </w:r>
        <w:r>
          <w:rPr>
            <w:noProof/>
            <w:webHidden/>
          </w:rPr>
          <w:fldChar w:fldCharType="separate"/>
        </w:r>
        <w:r>
          <w:rPr>
            <w:noProof/>
            <w:webHidden/>
          </w:rPr>
          <w:t>60</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34" w:history="1">
        <w:r w:rsidRPr="00FA7B33">
          <w:rPr>
            <w:rStyle w:val="Hyperlink"/>
            <w:rFonts w:ascii="Arial Bold" w:hAnsi="Arial Bold"/>
            <w:noProof/>
          </w:rPr>
          <w:t>c.</w:t>
        </w:r>
        <w:r>
          <w:rPr>
            <w:rFonts w:asciiTheme="minorHAnsi" w:eastAsiaTheme="minorEastAsia" w:hAnsiTheme="minorHAnsi" w:cstheme="minorBidi"/>
            <w:iCs w:val="0"/>
            <w:noProof/>
            <w:sz w:val="22"/>
            <w:szCs w:val="22"/>
          </w:rPr>
          <w:tab/>
        </w:r>
        <w:r w:rsidRPr="00FA7B33">
          <w:rPr>
            <w:rStyle w:val="Hyperlink"/>
            <w:noProof/>
          </w:rPr>
          <w:t>Cognitive Enhancers</w:t>
        </w:r>
        <w:r>
          <w:rPr>
            <w:noProof/>
            <w:webHidden/>
          </w:rPr>
          <w:tab/>
        </w:r>
        <w:r>
          <w:rPr>
            <w:noProof/>
            <w:webHidden/>
          </w:rPr>
          <w:fldChar w:fldCharType="begin"/>
        </w:r>
        <w:r>
          <w:rPr>
            <w:noProof/>
            <w:webHidden/>
          </w:rPr>
          <w:instrText xml:space="preserve"> PAGEREF _Toc394643334 \h </w:instrText>
        </w:r>
        <w:r>
          <w:rPr>
            <w:noProof/>
            <w:webHidden/>
          </w:rPr>
        </w:r>
        <w:r>
          <w:rPr>
            <w:noProof/>
            <w:webHidden/>
          </w:rPr>
          <w:fldChar w:fldCharType="separate"/>
        </w:r>
        <w:r>
          <w:rPr>
            <w:noProof/>
            <w:webHidden/>
          </w:rPr>
          <w:t>60</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35" w:history="1">
        <w:r w:rsidRPr="00FA7B33">
          <w:rPr>
            <w:rStyle w:val="Hyperlink"/>
            <w:noProof/>
          </w:rPr>
          <w:t>7.</w:t>
        </w:r>
        <w:r>
          <w:rPr>
            <w:rFonts w:asciiTheme="minorHAnsi" w:eastAsiaTheme="minorEastAsia" w:hAnsiTheme="minorHAnsi" w:cstheme="minorBidi"/>
            <w:caps w:val="0"/>
            <w:noProof/>
            <w:sz w:val="22"/>
            <w:szCs w:val="22"/>
          </w:rPr>
          <w:tab/>
        </w:r>
        <w:r w:rsidRPr="00FA7B33">
          <w:rPr>
            <w:rStyle w:val="Hyperlink"/>
            <w:noProof/>
          </w:rPr>
          <w:t>HEADACHE:</w:t>
        </w:r>
        <w:r>
          <w:rPr>
            <w:noProof/>
            <w:webHidden/>
          </w:rPr>
          <w:tab/>
        </w:r>
        <w:r>
          <w:rPr>
            <w:noProof/>
            <w:webHidden/>
          </w:rPr>
          <w:fldChar w:fldCharType="begin"/>
        </w:r>
        <w:r>
          <w:rPr>
            <w:noProof/>
            <w:webHidden/>
          </w:rPr>
          <w:instrText xml:space="preserve"> PAGEREF _Toc394643335 \h </w:instrText>
        </w:r>
        <w:r>
          <w:rPr>
            <w:noProof/>
            <w:webHidden/>
          </w:rPr>
        </w:r>
        <w:r>
          <w:rPr>
            <w:noProof/>
            <w:webHidden/>
          </w:rPr>
          <w:fldChar w:fldCharType="separate"/>
        </w:r>
        <w:r>
          <w:rPr>
            <w:noProof/>
            <w:webHidden/>
          </w:rPr>
          <w:t>67</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36"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Headache Treatment Algorithm</w:t>
        </w:r>
        <w:r>
          <w:rPr>
            <w:noProof/>
            <w:webHidden/>
          </w:rPr>
          <w:tab/>
        </w:r>
        <w:r>
          <w:rPr>
            <w:noProof/>
            <w:webHidden/>
          </w:rPr>
          <w:fldChar w:fldCharType="begin"/>
        </w:r>
        <w:r>
          <w:rPr>
            <w:noProof/>
            <w:webHidden/>
          </w:rPr>
          <w:instrText xml:space="preserve"> PAGEREF _Toc394643336 \h </w:instrText>
        </w:r>
        <w:r>
          <w:rPr>
            <w:noProof/>
            <w:webHidden/>
          </w:rPr>
        </w:r>
        <w:r>
          <w:rPr>
            <w:noProof/>
            <w:webHidden/>
          </w:rPr>
          <w:fldChar w:fldCharType="separate"/>
        </w:r>
        <w:r>
          <w:rPr>
            <w:noProof/>
            <w:webHidden/>
          </w:rPr>
          <w:t>69</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37"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Botulinum Injections:</w:t>
        </w:r>
        <w:r>
          <w:rPr>
            <w:noProof/>
            <w:webHidden/>
          </w:rPr>
          <w:tab/>
        </w:r>
        <w:r>
          <w:rPr>
            <w:noProof/>
            <w:webHidden/>
          </w:rPr>
          <w:fldChar w:fldCharType="begin"/>
        </w:r>
        <w:r>
          <w:rPr>
            <w:noProof/>
            <w:webHidden/>
          </w:rPr>
          <w:instrText xml:space="preserve"> PAGEREF _Toc394643337 \h </w:instrText>
        </w:r>
        <w:r>
          <w:rPr>
            <w:noProof/>
            <w:webHidden/>
          </w:rPr>
        </w:r>
        <w:r>
          <w:rPr>
            <w:noProof/>
            <w:webHidden/>
          </w:rPr>
          <w:fldChar w:fldCharType="separate"/>
        </w:r>
        <w:r>
          <w:rPr>
            <w:noProof/>
            <w:webHidden/>
          </w:rPr>
          <w:t>70</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38" w:history="1">
        <w:r w:rsidRPr="00FA7B33">
          <w:rPr>
            <w:rStyle w:val="Hyperlink"/>
            <w:noProof/>
          </w:rPr>
          <w:t>8.</w:t>
        </w:r>
        <w:r>
          <w:rPr>
            <w:rFonts w:asciiTheme="minorHAnsi" w:eastAsiaTheme="minorEastAsia" w:hAnsiTheme="minorHAnsi" w:cstheme="minorBidi"/>
            <w:caps w:val="0"/>
            <w:noProof/>
            <w:sz w:val="22"/>
            <w:szCs w:val="22"/>
          </w:rPr>
          <w:tab/>
        </w:r>
        <w:r w:rsidRPr="00FA7B33">
          <w:rPr>
            <w:rStyle w:val="Hyperlink"/>
            <w:noProof/>
          </w:rPr>
          <w:t>THERAPEUTIC EXERCISE</w:t>
        </w:r>
        <w:r>
          <w:rPr>
            <w:noProof/>
            <w:webHidden/>
          </w:rPr>
          <w:tab/>
        </w:r>
        <w:r>
          <w:rPr>
            <w:noProof/>
            <w:webHidden/>
          </w:rPr>
          <w:fldChar w:fldCharType="begin"/>
        </w:r>
        <w:r>
          <w:rPr>
            <w:noProof/>
            <w:webHidden/>
          </w:rPr>
          <w:instrText xml:space="preserve"> PAGEREF _Toc394643338 \h </w:instrText>
        </w:r>
        <w:r>
          <w:rPr>
            <w:noProof/>
            <w:webHidden/>
          </w:rPr>
        </w:r>
        <w:r>
          <w:rPr>
            <w:noProof/>
            <w:webHidden/>
          </w:rPr>
          <w:fldChar w:fldCharType="separate"/>
        </w:r>
        <w:r>
          <w:rPr>
            <w:noProof/>
            <w:webHidden/>
          </w:rPr>
          <w:t>70</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39" w:history="1">
        <w:r w:rsidRPr="00FA7B33">
          <w:rPr>
            <w:rStyle w:val="Hyperlink"/>
            <w:noProof/>
          </w:rPr>
          <w:t>9.</w:t>
        </w:r>
        <w:r>
          <w:rPr>
            <w:rFonts w:asciiTheme="minorHAnsi" w:eastAsiaTheme="minorEastAsia" w:hAnsiTheme="minorHAnsi" w:cstheme="minorBidi"/>
            <w:caps w:val="0"/>
            <w:noProof/>
            <w:sz w:val="22"/>
            <w:szCs w:val="22"/>
          </w:rPr>
          <w:tab/>
        </w:r>
        <w:r w:rsidRPr="00FA7B33">
          <w:rPr>
            <w:rStyle w:val="Hyperlink"/>
            <w:noProof/>
          </w:rPr>
          <w:t>DISTURBANCES OF SLEEP:</w:t>
        </w:r>
        <w:r>
          <w:rPr>
            <w:noProof/>
            <w:webHidden/>
          </w:rPr>
          <w:tab/>
        </w:r>
        <w:r>
          <w:rPr>
            <w:noProof/>
            <w:webHidden/>
          </w:rPr>
          <w:fldChar w:fldCharType="begin"/>
        </w:r>
        <w:r>
          <w:rPr>
            <w:noProof/>
            <w:webHidden/>
          </w:rPr>
          <w:instrText xml:space="preserve"> PAGEREF _Toc394643339 \h </w:instrText>
        </w:r>
        <w:r>
          <w:rPr>
            <w:noProof/>
            <w:webHidden/>
          </w:rPr>
        </w:r>
        <w:r>
          <w:rPr>
            <w:noProof/>
            <w:webHidden/>
          </w:rPr>
          <w:fldChar w:fldCharType="separate"/>
        </w:r>
        <w:r>
          <w:rPr>
            <w:noProof/>
            <w:webHidden/>
          </w:rPr>
          <w:t>70</w:t>
        </w:r>
        <w:r>
          <w:rPr>
            <w:noProof/>
            <w:webHidden/>
          </w:rPr>
          <w:fldChar w:fldCharType="end"/>
        </w:r>
      </w:hyperlink>
    </w:p>
    <w:p w:rsidR="00203DF3" w:rsidRDefault="00203DF3">
      <w:pPr>
        <w:pStyle w:val="TOC1"/>
        <w:tabs>
          <w:tab w:val="right" w:leader="dot" w:pos="9350"/>
        </w:tabs>
        <w:rPr>
          <w:rFonts w:asciiTheme="minorHAnsi" w:eastAsiaTheme="minorEastAsia" w:hAnsiTheme="minorHAnsi" w:cstheme="minorBidi"/>
          <w:b w:val="0"/>
          <w:bCs w:val="0"/>
          <w:caps w:val="0"/>
          <w:noProof/>
          <w:sz w:val="22"/>
          <w:szCs w:val="22"/>
        </w:rPr>
      </w:pPr>
      <w:hyperlink w:anchor="_Toc394643340" w:history="1">
        <w:r w:rsidRPr="00FA7B33">
          <w:rPr>
            <w:rStyle w:val="Hyperlink"/>
            <w:noProof/>
          </w:rPr>
          <w:t>h.</w:t>
        </w:r>
        <w:r>
          <w:rPr>
            <w:rFonts w:asciiTheme="minorHAnsi" w:eastAsiaTheme="minorEastAsia" w:hAnsiTheme="minorHAnsi" w:cstheme="minorBidi"/>
            <w:b w:val="0"/>
            <w:bCs w:val="0"/>
            <w:caps w:val="0"/>
            <w:noProof/>
            <w:sz w:val="22"/>
            <w:szCs w:val="22"/>
          </w:rPr>
          <w:tab/>
        </w:r>
        <w:r w:rsidRPr="00FA7B33">
          <w:rPr>
            <w:rStyle w:val="Hyperlink"/>
            <w:noProof/>
          </w:rPr>
          <w:t>NONOPERATIVE THERAPEUTIC PROCEDURES – NEUROMEDICAL CONDITIONS in MODERATE/SEVERE BRAIN INJURY</w:t>
        </w:r>
        <w:r>
          <w:rPr>
            <w:noProof/>
            <w:webHidden/>
          </w:rPr>
          <w:tab/>
        </w:r>
        <w:r>
          <w:rPr>
            <w:noProof/>
            <w:webHidden/>
          </w:rPr>
          <w:fldChar w:fldCharType="begin"/>
        </w:r>
        <w:r>
          <w:rPr>
            <w:noProof/>
            <w:webHidden/>
          </w:rPr>
          <w:instrText xml:space="preserve"> PAGEREF _Toc394643340 \h </w:instrText>
        </w:r>
        <w:r>
          <w:rPr>
            <w:noProof/>
            <w:webHidden/>
          </w:rPr>
        </w:r>
        <w:r>
          <w:rPr>
            <w:noProof/>
            <w:webHidden/>
          </w:rPr>
          <w:fldChar w:fldCharType="separate"/>
        </w:r>
        <w:r>
          <w:rPr>
            <w:noProof/>
            <w:webHidden/>
          </w:rPr>
          <w:t>72</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41" w:history="1">
        <w:r w:rsidRPr="00FA7B33">
          <w:rPr>
            <w:rStyle w:val="Hyperlink"/>
            <w:noProof/>
          </w:rPr>
          <w:t>1.</w:t>
        </w:r>
        <w:r>
          <w:rPr>
            <w:rFonts w:asciiTheme="minorHAnsi" w:eastAsiaTheme="minorEastAsia" w:hAnsiTheme="minorHAnsi" w:cstheme="minorBidi"/>
            <w:caps w:val="0"/>
            <w:noProof/>
            <w:sz w:val="22"/>
            <w:szCs w:val="22"/>
          </w:rPr>
          <w:tab/>
        </w:r>
        <w:r w:rsidRPr="00FA7B33">
          <w:rPr>
            <w:rStyle w:val="Hyperlink"/>
            <w:noProof/>
          </w:rPr>
          <w:t>Neurological Complications</w:t>
        </w:r>
        <w:r>
          <w:rPr>
            <w:noProof/>
            <w:webHidden/>
          </w:rPr>
          <w:tab/>
        </w:r>
        <w:r>
          <w:rPr>
            <w:noProof/>
            <w:webHidden/>
          </w:rPr>
          <w:fldChar w:fldCharType="begin"/>
        </w:r>
        <w:r>
          <w:rPr>
            <w:noProof/>
            <w:webHidden/>
          </w:rPr>
          <w:instrText xml:space="preserve"> PAGEREF _Toc394643341 \h </w:instrText>
        </w:r>
        <w:r>
          <w:rPr>
            <w:noProof/>
            <w:webHidden/>
          </w:rPr>
        </w:r>
        <w:r>
          <w:rPr>
            <w:noProof/>
            <w:webHidden/>
          </w:rPr>
          <w:fldChar w:fldCharType="separate"/>
        </w:r>
        <w:r>
          <w:rPr>
            <w:noProof/>
            <w:webHidden/>
          </w:rPr>
          <w:t>72</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42" w:history="1">
        <w:r w:rsidRPr="00FA7B33">
          <w:rPr>
            <w:rStyle w:val="Hyperlink"/>
            <w:noProof/>
          </w:rPr>
          <w:t>2.</w:t>
        </w:r>
        <w:r>
          <w:rPr>
            <w:rFonts w:asciiTheme="minorHAnsi" w:eastAsiaTheme="minorEastAsia" w:hAnsiTheme="minorHAnsi" w:cstheme="minorBidi"/>
            <w:caps w:val="0"/>
            <w:noProof/>
            <w:sz w:val="22"/>
            <w:szCs w:val="22"/>
          </w:rPr>
          <w:tab/>
        </w:r>
        <w:r w:rsidRPr="00FA7B33">
          <w:rPr>
            <w:rStyle w:val="Hyperlink"/>
            <w:noProof/>
          </w:rPr>
          <w:t>Post-Traumatic Seizures/Post-Traumatic Epilepsy (PTE)</w:t>
        </w:r>
        <w:r>
          <w:rPr>
            <w:noProof/>
            <w:webHidden/>
          </w:rPr>
          <w:tab/>
        </w:r>
        <w:r>
          <w:rPr>
            <w:noProof/>
            <w:webHidden/>
          </w:rPr>
          <w:fldChar w:fldCharType="begin"/>
        </w:r>
        <w:r>
          <w:rPr>
            <w:noProof/>
            <w:webHidden/>
          </w:rPr>
          <w:instrText xml:space="preserve"> PAGEREF _Toc394643342 \h </w:instrText>
        </w:r>
        <w:r>
          <w:rPr>
            <w:noProof/>
            <w:webHidden/>
          </w:rPr>
        </w:r>
        <w:r>
          <w:rPr>
            <w:noProof/>
            <w:webHidden/>
          </w:rPr>
          <w:fldChar w:fldCharType="separate"/>
        </w:r>
        <w:r>
          <w:rPr>
            <w:noProof/>
            <w:webHidden/>
          </w:rPr>
          <w:t>72</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43" w:history="1">
        <w:r w:rsidRPr="00FA7B33">
          <w:rPr>
            <w:rStyle w:val="Hyperlink"/>
            <w:noProof/>
          </w:rPr>
          <w:t>3.</w:t>
        </w:r>
        <w:r>
          <w:rPr>
            <w:rFonts w:asciiTheme="minorHAnsi" w:eastAsiaTheme="minorEastAsia" w:hAnsiTheme="minorHAnsi" w:cstheme="minorBidi"/>
            <w:caps w:val="0"/>
            <w:noProof/>
            <w:sz w:val="22"/>
            <w:szCs w:val="22"/>
          </w:rPr>
          <w:tab/>
        </w:r>
        <w:r w:rsidRPr="00FA7B33">
          <w:rPr>
            <w:rStyle w:val="Hyperlink"/>
            <w:noProof/>
          </w:rPr>
          <w:t>Cardiopulmonary Complications</w:t>
        </w:r>
        <w:r>
          <w:rPr>
            <w:noProof/>
            <w:webHidden/>
          </w:rPr>
          <w:tab/>
        </w:r>
        <w:r>
          <w:rPr>
            <w:noProof/>
            <w:webHidden/>
          </w:rPr>
          <w:fldChar w:fldCharType="begin"/>
        </w:r>
        <w:r>
          <w:rPr>
            <w:noProof/>
            <w:webHidden/>
          </w:rPr>
          <w:instrText xml:space="preserve"> PAGEREF _Toc394643343 \h </w:instrText>
        </w:r>
        <w:r>
          <w:rPr>
            <w:noProof/>
            <w:webHidden/>
          </w:rPr>
        </w:r>
        <w:r>
          <w:rPr>
            <w:noProof/>
            <w:webHidden/>
          </w:rPr>
          <w:fldChar w:fldCharType="separate"/>
        </w:r>
        <w:r>
          <w:rPr>
            <w:noProof/>
            <w:webHidden/>
          </w:rPr>
          <w:t>72</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44"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Cardiac System</w:t>
        </w:r>
        <w:r>
          <w:rPr>
            <w:noProof/>
            <w:webHidden/>
          </w:rPr>
          <w:tab/>
        </w:r>
        <w:r>
          <w:rPr>
            <w:noProof/>
            <w:webHidden/>
          </w:rPr>
          <w:fldChar w:fldCharType="begin"/>
        </w:r>
        <w:r>
          <w:rPr>
            <w:noProof/>
            <w:webHidden/>
          </w:rPr>
          <w:instrText xml:space="preserve"> PAGEREF _Toc394643344 \h </w:instrText>
        </w:r>
        <w:r>
          <w:rPr>
            <w:noProof/>
            <w:webHidden/>
          </w:rPr>
        </w:r>
        <w:r>
          <w:rPr>
            <w:noProof/>
            <w:webHidden/>
          </w:rPr>
          <w:fldChar w:fldCharType="separate"/>
        </w:r>
        <w:r>
          <w:rPr>
            <w:noProof/>
            <w:webHidden/>
          </w:rPr>
          <w:t>72</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45"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Pulmonary System</w:t>
        </w:r>
        <w:r>
          <w:rPr>
            <w:noProof/>
            <w:webHidden/>
          </w:rPr>
          <w:tab/>
        </w:r>
        <w:r>
          <w:rPr>
            <w:noProof/>
            <w:webHidden/>
          </w:rPr>
          <w:fldChar w:fldCharType="begin"/>
        </w:r>
        <w:r>
          <w:rPr>
            <w:noProof/>
            <w:webHidden/>
          </w:rPr>
          <w:instrText xml:space="preserve"> PAGEREF _Toc394643345 \h </w:instrText>
        </w:r>
        <w:r>
          <w:rPr>
            <w:noProof/>
            <w:webHidden/>
          </w:rPr>
        </w:r>
        <w:r>
          <w:rPr>
            <w:noProof/>
            <w:webHidden/>
          </w:rPr>
          <w:fldChar w:fldCharType="separate"/>
        </w:r>
        <w:r>
          <w:rPr>
            <w:noProof/>
            <w:webHidden/>
          </w:rPr>
          <w:t>72</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46" w:history="1">
        <w:r w:rsidRPr="00FA7B33">
          <w:rPr>
            <w:rStyle w:val="Hyperlink"/>
            <w:noProof/>
          </w:rPr>
          <w:t>4.</w:t>
        </w:r>
        <w:r>
          <w:rPr>
            <w:rFonts w:asciiTheme="minorHAnsi" w:eastAsiaTheme="minorEastAsia" w:hAnsiTheme="minorHAnsi" w:cstheme="minorBidi"/>
            <w:caps w:val="0"/>
            <w:noProof/>
            <w:sz w:val="22"/>
            <w:szCs w:val="22"/>
          </w:rPr>
          <w:tab/>
        </w:r>
        <w:r w:rsidRPr="00FA7B33">
          <w:rPr>
            <w:rStyle w:val="Hyperlink"/>
            <w:noProof/>
          </w:rPr>
          <w:t>Sleep Complications</w:t>
        </w:r>
        <w:r>
          <w:rPr>
            <w:noProof/>
            <w:webHidden/>
          </w:rPr>
          <w:tab/>
        </w:r>
        <w:r>
          <w:rPr>
            <w:noProof/>
            <w:webHidden/>
          </w:rPr>
          <w:fldChar w:fldCharType="begin"/>
        </w:r>
        <w:r>
          <w:rPr>
            <w:noProof/>
            <w:webHidden/>
          </w:rPr>
          <w:instrText xml:space="preserve"> PAGEREF _Toc394643346 \h </w:instrText>
        </w:r>
        <w:r>
          <w:rPr>
            <w:noProof/>
            <w:webHidden/>
          </w:rPr>
        </w:r>
        <w:r>
          <w:rPr>
            <w:noProof/>
            <w:webHidden/>
          </w:rPr>
          <w:fldChar w:fldCharType="separate"/>
        </w:r>
        <w:r>
          <w:rPr>
            <w:noProof/>
            <w:webHidden/>
          </w:rPr>
          <w:t>73</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47" w:history="1">
        <w:r w:rsidRPr="00FA7B33">
          <w:rPr>
            <w:rStyle w:val="Hyperlink"/>
            <w:noProof/>
          </w:rPr>
          <w:t>5.</w:t>
        </w:r>
        <w:r>
          <w:rPr>
            <w:rFonts w:asciiTheme="minorHAnsi" w:eastAsiaTheme="minorEastAsia" w:hAnsiTheme="minorHAnsi" w:cstheme="minorBidi"/>
            <w:caps w:val="0"/>
            <w:noProof/>
            <w:sz w:val="22"/>
            <w:szCs w:val="22"/>
          </w:rPr>
          <w:tab/>
        </w:r>
        <w:r w:rsidRPr="00FA7B33">
          <w:rPr>
            <w:rStyle w:val="Hyperlink"/>
            <w:noProof/>
          </w:rPr>
          <w:t>Musculoskeletal Complications</w:t>
        </w:r>
        <w:r>
          <w:rPr>
            <w:noProof/>
            <w:webHidden/>
          </w:rPr>
          <w:tab/>
        </w:r>
        <w:r>
          <w:rPr>
            <w:noProof/>
            <w:webHidden/>
          </w:rPr>
          <w:fldChar w:fldCharType="begin"/>
        </w:r>
        <w:r>
          <w:rPr>
            <w:noProof/>
            <w:webHidden/>
          </w:rPr>
          <w:instrText xml:space="preserve"> PAGEREF _Toc394643347 \h </w:instrText>
        </w:r>
        <w:r>
          <w:rPr>
            <w:noProof/>
            <w:webHidden/>
          </w:rPr>
        </w:r>
        <w:r>
          <w:rPr>
            <w:noProof/>
            <w:webHidden/>
          </w:rPr>
          <w:fldChar w:fldCharType="separate"/>
        </w:r>
        <w:r>
          <w:rPr>
            <w:noProof/>
            <w:webHidden/>
          </w:rPr>
          <w:t>73</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48"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Long-Bone Fractures</w:t>
        </w:r>
        <w:r>
          <w:rPr>
            <w:noProof/>
            <w:webHidden/>
          </w:rPr>
          <w:tab/>
        </w:r>
        <w:r>
          <w:rPr>
            <w:noProof/>
            <w:webHidden/>
          </w:rPr>
          <w:fldChar w:fldCharType="begin"/>
        </w:r>
        <w:r>
          <w:rPr>
            <w:noProof/>
            <w:webHidden/>
          </w:rPr>
          <w:instrText xml:space="preserve"> PAGEREF _Toc394643348 \h </w:instrText>
        </w:r>
        <w:r>
          <w:rPr>
            <w:noProof/>
            <w:webHidden/>
          </w:rPr>
        </w:r>
        <w:r>
          <w:rPr>
            <w:noProof/>
            <w:webHidden/>
          </w:rPr>
          <w:fldChar w:fldCharType="separate"/>
        </w:r>
        <w:r>
          <w:rPr>
            <w:noProof/>
            <w:webHidden/>
          </w:rPr>
          <w:t>73</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49"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Heterotopic Ossification (HO)</w:t>
        </w:r>
        <w:r>
          <w:rPr>
            <w:noProof/>
            <w:webHidden/>
          </w:rPr>
          <w:tab/>
        </w:r>
        <w:r>
          <w:rPr>
            <w:noProof/>
            <w:webHidden/>
          </w:rPr>
          <w:fldChar w:fldCharType="begin"/>
        </w:r>
        <w:r>
          <w:rPr>
            <w:noProof/>
            <w:webHidden/>
          </w:rPr>
          <w:instrText xml:space="preserve"> PAGEREF _Toc394643349 \h </w:instrText>
        </w:r>
        <w:r>
          <w:rPr>
            <w:noProof/>
            <w:webHidden/>
          </w:rPr>
        </w:r>
        <w:r>
          <w:rPr>
            <w:noProof/>
            <w:webHidden/>
          </w:rPr>
          <w:fldChar w:fldCharType="separate"/>
        </w:r>
        <w:r>
          <w:rPr>
            <w:noProof/>
            <w:webHidden/>
          </w:rPr>
          <w:t>73</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50" w:history="1">
        <w:r w:rsidRPr="00FA7B33">
          <w:rPr>
            <w:rStyle w:val="Hyperlink"/>
            <w:noProof/>
          </w:rPr>
          <w:t>6.</w:t>
        </w:r>
        <w:r>
          <w:rPr>
            <w:rFonts w:asciiTheme="minorHAnsi" w:eastAsiaTheme="minorEastAsia" w:hAnsiTheme="minorHAnsi" w:cstheme="minorBidi"/>
            <w:caps w:val="0"/>
            <w:noProof/>
            <w:sz w:val="22"/>
            <w:szCs w:val="22"/>
          </w:rPr>
          <w:tab/>
        </w:r>
        <w:r w:rsidRPr="00FA7B33">
          <w:rPr>
            <w:rStyle w:val="Hyperlink"/>
            <w:noProof/>
          </w:rPr>
          <w:t>Gastrointestinal Complications</w:t>
        </w:r>
        <w:r>
          <w:rPr>
            <w:noProof/>
            <w:webHidden/>
          </w:rPr>
          <w:tab/>
        </w:r>
        <w:r>
          <w:rPr>
            <w:noProof/>
            <w:webHidden/>
          </w:rPr>
          <w:fldChar w:fldCharType="begin"/>
        </w:r>
        <w:r>
          <w:rPr>
            <w:noProof/>
            <w:webHidden/>
          </w:rPr>
          <w:instrText xml:space="preserve"> PAGEREF _Toc394643350 \h </w:instrText>
        </w:r>
        <w:r>
          <w:rPr>
            <w:noProof/>
            <w:webHidden/>
          </w:rPr>
        </w:r>
        <w:r>
          <w:rPr>
            <w:noProof/>
            <w:webHidden/>
          </w:rPr>
          <w:fldChar w:fldCharType="separate"/>
        </w:r>
        <w:r>
          <w:rPr>
            <w:noProof/>
            <w:webHidden/>
          </w:rPr>
          <w:t>74</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51" w:history="1">
        <w:r w:rsidRPr="00FA7B33">
          <w:rPr>
            <w:rStyle w:val="Hyperlink"/>
            <w:noProof/>
          </w:rPr>
          <w:t>7.</w:t>
        </w:r>
        <w:r>
          <w:rPr>
            <w:rFonts w:asciiTheme="minorHAnsi" w:eastAsiaTheme="minorEastAsia" w:hAnsiTheme="minorHAnsi" w:cstheme="minorBidi"/>
            <w:caps w:val="0"/>
            <w:noProof/>
            <w:sz w:val="22"/>
            <w:szCs w:val="22"/>
          </w:rPr>
          <w:tab/>
        </w:r>
        <w:r w:rsidRPr="00FA7B33">
          <w:rPr>
            <w:rStyle w:val="Hyperlink"/>
            <w:noProof/>
          </w:rPr>
          <w:t>Genitourinary Complications</w:t>
        </w:r>
        <w:r>
          <w:rPr>
            <w:noProof/>
            <w:webHidden/>
          </w:rPr>
          <w:tab/>
        </w:r>
        <w:r>
          <w:rPr>
            <w:noProof/>
            <w:webHidden/>
          </w:rPr>
          <w:fldChar w:fldCharType="begin"/>
        </w:r>
        <w:r>
          <w:rPr>
            <w:noProof/>
            <w:webHidden/>
          </w:rPr>
          <w:instrText xml:space="preserve"> PAGEREF _Toc394643351 \h </w:instrText>
        </w:r>
        <w:r>
          <w:rPr>
            <w:noProof/>
            <w:webHidden/>
          </w:rPr>
        </w:r>
        <w:r>
          <w:rPr>
            <w:noProof/>
            <w:webHidden/>
          </w:rPr>
          <w:fldChar w:fldCharType="separate"/>
        </w:r>
        <w:r>
          <w:rPr>
            <w:noProof/>
            <w:webHidden/>
          </w:rPr>
          <w:t>74</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52" w:history="1">
        <w:r w:rsidRPr="00FA7B33">
          <w:rPr>
            <w:rStyle w:val="Hyperlink"/>
            <w:noProof/>
          </w:rPr>
          <w:t>8.</w:t>
        </w:r>
        <w:r>
          <w:rPr>
            <w:rFonts w:asciiTheme="minorHAnsi" w:eastAsiaTheme="minorEastAsia" w:hAnsiTheme="minorHAnsi" w:cstheme="minorBidi"/>
            <w:caps w:val="0"/>
            <w:noProof/>
            <w:sz w:val="22"/>
            <w:szCs w:val="22"/>
          </w:rPr>
          <w:tab/>
        </w:r>
        <w:r w:rsidRPr="00FA7B33">
          <w:rPr>
            <w:rStyle w:val="Hyperlink"/>
            <w:noProof/>
          </w:rPr>
          <w:t>Neuroendocrine Complications</w:t>
        </w:r>
        <w:r>
          <w:rPr>
            <w:noProof/>
            <w:webHidden/>
          </w:rPr>
          <w:tab/>
        </w:r>
        <w:r>
          <w:rPr>
            <w:noProof/>
            <w:webHidden/>
          </w:rPr>
          <w:fldChar w:fldCharType="begin"/>
        </w:r>
        <w:r>
          <w:rPr>
            <w:noProof/>
            <w:webHidden/>
          </w:rPr>
          <w:instrText xml:space="preserve"> PAGEREF _Toc394643352 \h </w:instrText>
        </w:r>
        <w:r>
          <w:rPr>
            <w:noProof/>
            <w:webHidden/>
          </w:rPr>
        </w:r>
        <w:r>
          <w:rPr>
            <w:noProof/>
            <w:webHidden/>
          </w:rPr>
          <w:fldChar w:fldCharType="separate"/>
        </w:r>
        <w:r>
          <w:rPr>
            <w:noProof/>
            <w:webHidden/>
          </w:rPr>
          <w:t>74</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53" w:history="1">
        <w:r w:rsidRPr="00FA7B33">
          <w:rPr>
            <w:rStyle w:val="Hyperlink"/>
            <w:noProof/>
          </w:rPr>
          <w:t>9.</w:t>
        </w:r>
        <w:r>
          <w:rPr>
            <w:rFonts w:asciiTheme="minorHAnsi" w:eastAsiaTheme="minorEastAsia" w:hAnsiTheme="minorHAnsi" w:cstheme="minorBidi"/>
            <w:caps w:val="0"/>
            <w:noProof/>
            <w:sz w:val="22"/>
            <w:szCs w:val="22"/>
          </w:rPr>
          <w:tab/>
        </w:r>
        <w:r w:rsidRPr="00FA7B33">
          <w:rPr>
            <w:rStyle w:val="Hyperlink"/>
            <w:noProof/>
          </w:rPr>
          <w:t>Fluid and Electrolyte Complications</w:t>
        </w:r>
        <w:r>
          <w:rPr>
            <w:noProof/>
            <w:webHidden/>
          </w:rPr>
          <w:tab/>
        </w:r>
        <w:r>
          <w:rPr>
            <w:noProof/>
            <w:webHidden/>
          </w:rPr>
          <w:fldChar w:fldCharType="begin"/>
        </w:r>
        <w:r>
          <w:rPr>
            <w:noProof/>
            <w:webHidden/>
          </w:rPr>
          <w:instrText xml:space="preserve"> PAGEREF _Toc394643353 \h </w:instrText>
        </w:r>
        <w:r>
          <w:rPr>
            <w:noProof/>
            <w:webHidden/>
          </w:rPr>
        </w:r>
        <w:r>
          <w:rPr>
            <w:noProof/>
            <w:webHidden/>
          </w:rPr>
          <w:fldChar w:fldCharType="separate"/>
        </w:r>
        <w:r>
          <w:rPr>
            <w:noProof/>
            <w:webHidden/>
          </w:rPr>
          <w:t>74</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54" w:history="1">
        <w:r w:rsidRPr="00FA7B33">
          <w:rPr>
            <w:rStyle w:val="Hyperlink"/>
            <w:noProof/>
          </w:rPr>
          <w:t>10.</w:t>
        </w:r>
        <w:r>
          <w:rPr>
            <w:rFonts w:asciiTheme="minorHAnsi" w:eastAsiaTheme="minorEastAsia" w:hAnsiTheme="minorHAnsi" w:cstheme="minorBidi"/>
            <w:caps w:val="0"/>
            <w:noProof/>
            <w:sz w:val="22"/>
            <w:szCs w:val="22"/>
          </w:rPr>
          <w:tab/>
        </w:r>
        <w:r w:rsidRPr="00FA7B33">
          <w:rPr>
            <w:rStyle w:val="Hyperlink"/>
            <w:noProof/>
          </w:rPr>
          <w:t>Immobilization and Disuse Complications</w:t>
        </w:r>
        <w:r>
          <w:rPr>
            <w:noProof/>
            <w:webHidden/>
          </w:rPr>
          <w:tab/>
        </w:r>
        <w:r>
          <w:rPr>
            <w:noProof/>
            <w:webHidden/>
          </w:rPr>
          <w:fldChar w:fldCharType="begin"/>
        </w:r>
        <w:r>
          <w:rPr>
            <w:noProof/>
            <w:webHidden/>
          </w:rPr>
          <w:instrText xml:space="preserve"> PAGEREF _Toc394643354 \h </w:instrText>
        </w:r>
        <w:r>
          <w:rPr>
            <w:noProof/>
            <w:webHidden/>
          </w:rPr>
        </w:r>
        <w:r>
          <w:rPr>
            <w:noProof/>
            <w:webHidden/>
          </w:rPr>
          <w:fldChar w:fldCharType="separate"/>
        </w:r>
        <w:r>
          <w:rPr>
            <w:noProof/>
            <w:webHidden/>
          </w:rPr>
          <w:t>75</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55" w:history="1">
        <w:r w:rsidRPr="00FA7B33">
          <w:rPr>
            <w:rStyle w:val="Hyperlink"/>
            <w:noProof/>
          </w:rPr>
          <w:t>11.</w:t>
        </w:r>
        <w:r>
          <w:rPr>
            <w:rFonts w:asciiTheme="minorHAnsi" w:eastAsiaTheme="minorEastAsia" w:hAnsiTheme="minorHAnsi" w:cstheme="minorBidi"/>
            <w:caps w:val="0"/>
            <w:noProof/>
            <w:sz w:val="22"/>
            <w:szCs w:val="22"/>
          </w:rPr>
          <w:tab/>
        </w:r>
        <w:r w:rsidRPr="00FA7B33">
          <w:rPr>
            <w:rStyle w:val="Hyperlink"/>
            <w:noProof/>
          </w:rPr>
          <w:t>Vascular Complications</w:t>
        </w:r>
        <w:r>
          <w:rPr>
            <w:noProof/>
            <w:webHidden/>
          </w:rPr>
          <w:tab/>
        </w:r>
        <w:r>
          <w:rPr>
            <w:noProof/>
            <w:webHidden/>
          </w:rPr>
          <w:fldChar w:fldCharType="begin"/>
        </w:r>
        <w:r>
          <w:rPr>
            <w:noProof/>
            <w:webHidden/>
          </w:rPr>
          <w:instrText xml:space="preserve"> PAGEREF _Toc394643355 \h </w:instrText>
        </w:r>
        <w:r>
          <w:rPr>
            <w:noProof/>
            <w:webHidden/>
          </w:rPr>
        </w:r>
        <w:r>
          <w:rPr>
            <w:noProof/>
            <w:webHidden/>
          </w:rPr>
          <w:fldChar w:fldCharType="separate"/>
        </w:r>
        <w:r>
          <w:rPr>
            <w:noProof/>
            <w:webHidden/>
          </w:rPr>
          <w:t>75</w:t>
        </w:r>
        <w:r>
          <w:rPr>
            <w:noProof/>
            <w:webHidden/>
          </w:rPr>
          <w:fldChar w:fldCharType="end"/>
        </w:r>
      </w:hyperlink>
    </w:p>
    <w:p w:rsidR="00203DF3" w:rsidRDefault="00203DF3">
      <w:pPr>
        <w:pStyle w:val="TOC1"/>
        <w:tabs>
          <w:tab w:val="right" w:leader="dot" w:pos="9350"/>
        </w:tabs>
        <w:rPr>
          <w:rFonts w:asciiTheme="minorHAnsi" w:eastAsiaTheme="minorEastAsia" w:hAnsiTheme="minorHAnsi" w:cstheme="minorBidi"/>
          <w:b w:val="0"/>
          <w:bCs w:val="0"/>
          <w:caps w:val="0"/>
          <w:noProof/>
          <w:sz w:val="22"/>
          <w:szCs w:val="22"/>
        </w:rPr>
      </w:pPr>
      <w:hyperlink w:anchor="_Toc394643356" w:history="1">
        <w:r w:rsidRPr="00FA7B33">
          <w:rPr>
            <w:rStyle w:val="Hyperlink"/>
            <w:noProof/>
          </w:rPr>
          <w:t>i.</w:t>
        </w:r>
        <w:r>
          <w:rPr>
            <w:rFonts w:asciiTheme="minorHAnsi" w:eastAsiaTheme="minorEastAsia" w:hAnsiTheme="minorHAnsi" w:cstheme="minorBidi"/>
            <w:b w:val="0"/>
            <w:bCs w:val="0"/>
            <w:caps w:val="0"/>
            <w:noProof/>
            <w:sz w:val="22"/>
            <w:szCs w:val="22"/>
          </w:rPr>
          <w:tab/>
        </w:r>
        <w:r w:rsidRPr="00FA7B33">
          <w:rPr>
            <w:rStyle w:val="Hyperlink"/>
            <w:noProof/>
          </w:rPr>
          <w:t>NONOPERATIVE THERAPEUTIC PROCEDURES – REHABILITATION</w:t>
        </w:r>
        <w:r>
          <w:rPr>
            <w:noProof/>
            <w:webHidden/>
          </w:rPr>
          <w:tab/>
        </w:r>
        <w:r>
          <w:rPr>
            <w:noProof/>
            <w:webHidden/>
          </w:rPr>
          <w:fldChar w:fldCharType="begin"/>
        </w:r>
        <w:r>
          <w:rPr>
            <w:noProof/>
            <w:webHidden/>
          </w:rPr>
          <w:instrText xml:space="preserve"> PAGEREF _Toc394643356 \h </w:instrText>
        </w:r>
        <w:r>
          <w:rPr>
            <w:noProof/>
            <w:webHidden/>
          </w:rPr>
        </w:r>
        <w:r>
          <w:rPr>
            <w:noProof/>
            <w:webHidden/>
          </w:rPr>
          <w:fldChar w:fldCharType="separate"/>
        </w:r>
        <w:r>
          <w:rPr>
            <w:noProof/>
            <w:webHidden/>
          </w:rPr>
          <w:t>76</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57" w:history="1">
        <w:r w:rsidRPr="00FA7B33">
          <w:rPr>
            <w:rStyle w:val="Hyperlink"/>
            <w:noProof/>
          </w:rPr>
          <w:t>1.</w:t>
        </w:r>
        <w:r>
          <w:rPr>
            <w:rFonts w:asciiTheme="minorHAnsi" w:eastAsiaTheme="minorEastAsia" w:hAnsiTheme="minorHAnsi" w:cstheme="minorBidi"/>
            <w:caps w:val="0"/>
            <w:noProof/>
            <w:sz w:val="22"/>
            <w:szCs w:val="22"/>
          </w:rPr>
          <w:tab/>
        </w:r>
        <w:r w:rsidRPr="00FA7B33">
          <w:rPr>
            <w:rStyle w:val="Hyperlink"/>
            <w:noProof/>
          </w:rPr>
          <w:t>INTERDISCIPLINARY REHABILITATION PROGRAMS</w:t>
        </w:r>
        <w:r>
          <w:rPr>
            <w:noProof/>
            <w:webHidden/>
          </w:rPr>
          <w:tab/>
        </w:r>
        <w:r>
          <w:rPr>
            <w:noProof/>
            <w:webHidden/>
          </w:rPr>
          <w:fldChar w:fldCharType="begin"/>
        </w:r>
        <w:r>
          <w:rPr>
            <w:noProof/>
            <w:webHidden/>
          </w:rPr>
          <w:instrText xml:space="preserve"> PAGEREF _Toc394643357 \h </w:instrText>
        </w:r>
        <w:r>
          <w:rPr>
            <w:noProof/>
            <w:webHidden/>
          </w:rPr>
        </w:r>
        <w:r>
          <w:rPr>
            <w:noProof/>
            <w:webHidden/>
          </w:rPr>
          <w:fldChar w:fldCharType="separate"/>
        </w:r>
        <w:r>
          <w:rPr>
            <w:noProof/>
            <w:webHidden/>
          </w:rPr>
          <w:t>76</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58"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Behavioral Programs</w:t>
        </w:r>
        <w:r>
          <w:rPr>
            <w:noProof/>
            <w:webHidden/>
          </w:rPr>
          <w:tab/>
        </w:r>
        <w:r>
          <w:rPr>
            <w:noProof/>
            <w:webHidden/>
          </w:rPr>
          <w:fldChar w:fldCharType="begin"/>
        </w:r>
        <w:r>
          <w:rPr>
            <w:noProof/>
            <w:webHidden/>
          </w:rPr>
          <w:instrText xml:space="preserve"> PAGEREF _Toc394643358 \h </w:instrText>
        </w:r>
        <w:r>
          <w:rPr>
            <w:noProof/>
            <w:webHidden/>
          </w:rPr>
        </w:r>
        <w:r>
          <w:rPr>
            <w:noProof/>
            <w:webHidden/>
          </w:rPr>
          <w:fldChar w:fldCharType="separate"/>
        </w:r>
        <w:r>
          <w:rPr>
            <w:noProof/>
            <w:webHidden/>
          </w:rPr>
          <w:t>78</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59"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Comprehensive Integrated Inpatient Interdisciplinary Rehabilitation Programs</w:t>
        </w:r>
        <w:r>
          <w:rPr>
            <w:noProof/>
            <w:webHidden/>
          </w:rPr>
          <w:tab/>
        </w:r>
        <w:r>
          <w:rPr>
            <w:noProof/>
            <w:webHidden/>
          </w:rPr>
          <w:fldChar w:fldCharType="begin"/>
        </w:r>
        <w:r>
          <w:rPr>
            <w:noProof/>
            <w:webHidden/>
          </w:rPr>
          <w:instrText xml:space="preserve"> PAGEREF _Toc394643359 \h </w:instrText>
        </w:r>
        <w:r>
          <w:rPr>
            <w:noProof/>
            <w:webHidden/>
          </w:rPr>
        </w:r>
        <w:r>
          <w:rPr>
            <w:noProof/>
            <w:webHidden/>
          </w:rPr>
          <w:fldChar w:fldCharType="separate"/>
        </w:r>
        <w:r>
          <w:rPr>
            <w:noProof/>
            <w:webHidden/>
          </w:rPr>
          <w:t>78</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60" w:history="1">
        <w:r w:rsidRPr="00FA7B33">
          <w:rPr>
            <w:rStyle w:val="Hyperlink"/>
            <w:rFonts w:ascii="Arial Bold" w:hAnsi="Arial Bold"/>
            <w:noProof/>
          </w:rPr>
          <w:t>c.</w:t>
        </w:r>
        <w:r>
          <w:rPr>
            <w:rFonts w:asciiTheme="minorHAnsi" w:eastAsiaTheme="minorEastAsia" w:hAnsiTheme="minorHAnsi" w:cstheme="minorBidi"/>
            <w:iCs w:val="0"/>
            <w:noProof/>
            <w:sz w:val="22"/>
            <w:szCs w:val="22"/>
          </w:rPr>
          <w:tab/>
        </w:r>
        <w:r w:rsidRPr="00FA7B33">
          <w:rPr>
            <w:rStyle w:val="Hyperlink"/>
            <w:noProof/>
          </w:rPr>
          <w:t>Home and Community-Based Rehabilitation</w:t>
        </w:r>
        <w:r>
          <w:rPr>
            <w:noProof/>
            <w:webHidden/>
          </w:rPr>
          <w:tab/>
        </w:r>
        <w:r>
          <w:rPr>
            <w:noProof/>
            <w:webHidden/>
          </w:rPr>
          <w:fldChar w:fldCharType="begin"/>
        </w:r>
        <w:r>
          <w:rPr>
            <w:noProof/>
            <w:webHidden/>
          </w:rPr>
          <w:instrText xml:space="preserve"> PAGEREF _Toc394643360 \h </w:instrText>
        </w:r>
        <w:r>
          <w:rPr>
            <w:noProof/>
            <w:webHidden/>
          </w:rPr>
        </w:r>
        <w:r>
          <w:rPr>
            <w:noProof/>
            <w:webHidden/>
          </w:rPr>
          <w:fldChar w:fldCharType="separate"/>
        </w:r>
        <w:r>
          <w:rPr>
            <w:noProof/>
            <w:webHidden/>
          </w:rPr>
          <w:t>79</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61" w:history="1">
        <w:r w:rsidRPr="00FA7B33">
          <w:rPr>
            <w:rStyle w:val="Hyperlink"/>
            <w:rFonts w:ascii="Arial Bold" w:hAnsi="Arial Bold"/>
            <w:noProof/>
          </w:rPr>
          <w:t>d.</w:t>
        </w:r>
        <w:r>
          <w:rPr>
            <w:rFonts w:asciiTheme="minorHAnsi" w:eastAsiaTheme="minorEastAsia" w:hAnsiTheme="minorHAnsi" w:cstheme="minorBidi"/>
            <w:iCs w:val="0"/>
            <w:noProof/>
            <w:sz w:val="22"/>
            <w:szCs w:val="22"/>
          </w:rPr>
          <w:tab/>
        </w:r>
        <w:r w:rsidRPr="00FA7B33">
          <w:rPr>
            <w:rStyle w:val="Hyperlink"/>
            <w:noProof/>
          </w:rPr>
          <w:t>Nursing Care Facilities</w:t>
        </w:r>
        <w:r>
          <w:rPr>
            <w:noProof/>
            <w:webHidden/>
          </w:rPr>
          <w:tab/>
        </w:r>
        <w:r>
          <w:rPr>
            <w:noProof/>
            <w:webHidden/>
          </w:rPr>
          <w:fldChar w:fldCharType="begin"/>
        </w:r>
        <w:r>
          <w:rPr>
            <w:noProof/>
            <w:webHidden/>
          </w:rPr>
          <w:instrText xml:space="preserve"> PAGEREF _Toc394643361 \h </w:instrText>
        </w:r>
        <w:r>
          <w:rPr>
            <w:noProof/>
            <w:webHidden/>
          </w:rPr>
        </w:r>
        <w:r>
          <w:rPr>
            <w:noProof/>
            <w:webHidden/>
          </w:rPr>
          <w:fldChar w:fldCharType="separate"/>
        </w:r>
        <w:r>
          <w:rPr>
            <w:noProof/>
            <w:webHidden/>
          </w:rPr>
          <w:t>80</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62" w:history="1">
        <w:r w:rsidRPr="00FA7B33">
          <w:rPr>
            <w:rStyle w:val="Hyperlink"/>
            <w:rFonts w:ascii="Arial Bold" w:hAnsi="Arial Bold"/>
            <w:noProof/>
          </w:rPr>
          <w:t>e.</w:t>
        </w:r>
        <w:r>
          <w:rPr>
            <w:rFonts w:asciiTheme="minorHAnsi" w:eastAsiaTheme="minorEastAsia" w:hAnsiTheme="minorHAnsi" w:cstheme="minorBidi"/>
            <w:iCs w:val="0"/>
            <w:noProof/>
            <w:sz w:val="22"/>
            <w:szCs w:val="22"/>
          </w:rPr>
          <w:tab/>
        </w:r>
        <w:r w:rsidRPr="00FA7B33">
          <w:rPr>
            <w:rStyle w:val="Hyperlink"/>
            <w:noProof/>
          </w:rPr>
          <w:t>Occupational Rehabilitation</w:t>
        </w:r>
        <w:r>
          <w:rPr>
            <w:noProof/>
            <w:webHidden/>
          </w:rPr>
          <w:tab/>
        </w:r>
        <w:r>
          <w:rPr>
            <w:noProof/>
            <w:webHidden/>
          </w:rPr>
          <w:fldChar w:fldCharType="begin"/>
        </w:r>
        <w:r>
          <w:rPr>
            <w:noProof/>
            <w:webHidden/>
          </w:rPr>
          <w:instrText xml:space="preserve"> PAGEREF _Toc394643362 \h </w:instrText>
        </w:r>
        <w:r>
          <w:rPr>
            <w:noProof/>
            <w:webHidden/>
          </w:rPr>
        </w:r>
        <w:r>
          <w:rPr>
            <w:noProof/>
            <w:webHidden/>
          </w:rPr>
          <w:fldChar w:fldCharType="separate"/>
        </w:r>
        <w:r>
          <w:rPr>
            <w:noProof/>
            <w:webHidden/>
          </w:rPr>
          <w:t>80</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63" w:history="1">
        <w:r w:rsidRPr="00FA7B33">
          <w:rPr>
            <w:rStyle w:val="Hyperlink"/>
            <w:rFonts w:ascii="Arial Bold" w:hAnsi="Arial Bold"/>
            <w:noProof/>
          </w:rPr>
          <w:t>f.</w:t>
        </w:r>
        <w:r>
          <w:rPr>
            <w:rFonts w:asciiTheme="minorHAnsi" w:eastAsiaTheme="minorEastAsia" w:hAnsiTheme="minorHAnsi" w:cstheme="minorBidi"/>
            <w:iCs w:val="0"/>
            <w:noProof/>
            <w:sz w:val="22"/>
            <w:szCs w:val="22"/>
          </w:rPr>
          <w:tab/>
        </w:r>
        <w:r w:rsidRPr="00FA7B33">
          <w:rPr>
            <w:rStyle w:val="Hyperlink"/>
            <w:noProof/>
          </w:rPr>
          <w:t>Opioid/Chemical Treatment Programs</w:t>
        </w:r>
        <w:r>
          <w:rPr>
            <w:noProof/>
            <w:webHidden/>
          </w:rPr>
          <w:tab/>
        </w:r>
        <w:r>
          <w:rPr>
            <w:noProof/>
            <w:webHidden/>
          </w:rPr>
          <w:fldChar w:fldCharType="begin"/>
        </w:r>
        <w:r>
          <w:rPr>
            <w:noProof/>
            <w:webHidden/>
          </w:rPr>
          <w:instrText xml:space="preserve"> PAGEREF _Toc394643363 \h </w:instrText>
        </w:r>
        <w:r>
          <w:rPr>
            <w:noProof/>
            <w:webHidden/>
          </w:rPr>
        </w:r>
        <w:r>
          <w:rPr>
            <w:noProof/>
            <w:webHidden/>
          </w:rPr>
          <w:fldChar w:fldCharType="separate"/>
        </w:r>
        <w:r>
          <w:rPr>
            <w:noProof/>
            <w:webHidden/>
          </w:rPr>
          <w:t>80</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64" w:history="1">
        <w:r w:rsidRPr="00FA7B33">
          <w:rPr>
            <w:rStyle w:val="Hyperlink"/>
            <w:rFonts w:ascii="Arial Bold" w:hAnsi="Arial Bold"/>
            <w:noProof/>
          </w:rPr>
          <w:t>g.</w:t>
        </w:r>
        <w:r>
          <w:rPr>
            <w:rFonts w:asciiTheme="minorHAnsi" w:eastAsiaTheme="minorEastAsia" w:hAnsiTheme="minorHAnsi" w:cstheme="minorBidi"/>
            <w:iCs w:val="0"/>
            <w:noProof/>
            <w:sz w:val="22"/>
            <w:szCs w:val="22"/>
          </w:rPr>
          <w:tab/>
        </w:r>
        <w:r w:rsidRPr="00FA7B33">
          <w:rPr>
            <w:rStyle w:val="Hyperlink"/>
            <w:noProof/>
          </w:rPr>
          <w:t>Outpatient Rehabilitation Services</w:t>
        </w:r>
        <w:r>
          <w:rPr>
            <w:noProof/>
            <w:webHidden/>
          </w:rPr>
          <w:tab/>
        </w:r>
        <w:r>
          <w:rPr>
            <w:noProof/>
            <w:webHidden/>
          </w:rPr>
          <w:fldChar w:fldCharType="begin"/>
        </w:r>
        <w:r>
          <w:rPr>
            <w:noProof/>
            <w:webHidden/>
          </w:rPr>
          <w:instrText xml:space="preserve"> PAGEREF _Toc394643364 \h </w:instrText>
        </w:r>
        <w:r>
          <w:rPr>
            <w:noProof/>
            <w:webHidden/>
          </w:rPr>
        </w:r>
        <w:r>
          <w:rPr>
            <w:noProof/>
            <w:webHidden/>
          </w:rPr>
          <w:fldChar w:fldCharType="separate"/>
        </w:r>
        <w:r>
          <w:rPr>
            <w:noProof/>
            <w:webHidden/>
          </w:rPr>
          <w:t>80</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65" w:history="1">
        <w:r w:rsidRPr="00FA7B33">
          <w:rPr>
            <w:rStyle w:val="Hyperlink"/>
            <w:rFonts w:ascii="Arial Bold" w:hAnsi="Arial Bold"/>
            <w:noProof/>
          </w:rPr>
          <w:t>h.</w:t>
        </w:r>
        <w:r>
          <w:rPr>
            <w:rFonts w:asciiTheme="minorHAnsi" w:eastAsiaTheme="minorEastAsia" w:hAnsiTheme="minorHAnsi" w:cstheme="minorBidi"/>
            <w:iCs w:val="0"/>
            <w:noProof/>
            <w:sz w:val="22"/>
            <w:szCs w:val="22"/>
          </w:rPr>
          <w:tab/>
        </w:r>
        <w:r w:rsidRPr="00FA7B33">
          <w:rPr>
            <w:rStyle w:val="Hyperlink"/>
            <w:noProof/>
          </w:rPr>
          <w:t>Residential Rehabilitation</w:t>
        </w:r>
        <w:r>
          <w:rPr>
            <w:noProof/>
            <w:webHidden/>
          </w:rPr>
          <w:tab/>
        </w:r>
        <w:r>
          <w:rPr>
            <w:noProof/>
            <w:webHidden/>
          </w:rPr>
          <w:fldChar w:fldCharType="begin"/>
        </w:r>
        <w:r>
          <w:rPr>
            <w:noProof/>
            <w:webHidden/>
          </w:rPr>
          <w:instrText xml:space="preserve"> PAGEREF _Toc394643365 \h </w:instrText>
        </w:r>
        <w:r>
          <w:rPr>
            <w:noProof/>
            <w:webHidden/>
          </w:rPr>
        </w:r>
        <w:r>
          <w:rPr>
            <w:noProof/>
            <w:webHidden/>
          </w:rPr>
          <w:fldChar w:fldCharType="separate"/>
        </w:r>
        <w:r>
          <w:rPr>
            <w:noProof/>
            <w:webHidden/>
          </w:rPr>
          <w:t>81</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66" w:history="1">
        <w:r w:rsidRPr="00FA7B33">
          <w:rPr>
            <w:rStyle w:val="Hyperlink"/>
            <w:rFonts w:ascii="Arial Bold" w:hAnsi="Arial Bold"/>
            <w:noProof/>
          </w:rPr>
          <w:t>i.</w:t>
        </w:r>
        <w:r>
          <w:rPr>
            <w:rFonts w:asciiTheme="minorHAnsi" w:eastAsiaTheme="minorEastAsia" w:hAnsiTheme="minorHAnsi" w:cstheme="minorBidi"/>
            <w:iCs w:val="0"/>
            <w:noProof/>
            <w:sz w:val="22"/>
            <w:szCs w:val="22"/>
          </w:rPr>
          <w:tab/>
        </w:r>
        <w:r w:rsidRPr="00FA7B33">
          <w:rPr>
            <w:rStyle w:val="Hyperlink"/>
            <w:noProof/>
          </w:rPr>
          <w:t>Supported Living Programs (SLP) or Long-Term Care Residential Services</w:t>
        </w:r>
        <w:r>
          <w:rPr>
            <w:noProof/>
            <w:webHidden/>
          </w:rPr>
          <w:tab/>
        </w:r>
        <w:r>
          <w:rPr>
            <w:noProof/>
            <w:webHidden/>
          </w:rPr>
          <w:fldChar w:fldCharType="begin"/>
        </w:r>
        <w:r>
          <w:rPr>
            <w:noProof/>
            <w:webHidden/>
          </w:rPr>
          <w:instrText xml:space="preserve"> PAGEREF _Toc394643366 \h </w:instrText>
        </w:r>
        <w:r>
          <w:rPr>
            <w:noProof/>
            <w:webHidden/>
          </w:rPr>
        </w:r>
        <w:r>
          <w:rPr>
            <w:noProof/>
            <w:webHidden/>
          </w:rPr>
          <w:fldChar w:fldCharType="separate"/>
        </w:r>
        <w:r>
          <w:rPr>
            <w:noProof/>
            <w:webHidden/>
          </w:rPr>
          <w:t>81</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67" w:history="1">
        <w:r w:rsidRPr="00FA7B33">
          <w:rPr>
            <w:rStyle w:val="Hyperlink"/>
            <w:noProof/>
          </w:rPr>
          <w:t>2.</w:t>
        </w:r>
        <w:r>
          <w:rPr>
            <w:rFonts w:asciiTheme="minorHAnsi" w:eastAsiaTheme="minorEastAsia" w:hAnsiTheme="minorHAnsi" w:cstheme="minorBidi"/>
            <w:caps w:val="0"/>
            <w:noProof/>
            <w:sz w:val="22"/>
            <w:szCs w:val="22"/>
          </w:rPr>
          <w:tab/>
        </w:r>
        <w:r w:rsidRPr="00FA7B33">
          <w:rPr>
            <w:rStyle w:val="Hyperlink"/>
            <w:noProof/>
          </w:rPr>
          <w:t>ACTIVITES OF DAILY LIVING (ADLs)</w:t>
        </w:r>
        <w:r>
          <w:rPr>
            <w:noProof/>
            <w:webHidden/>
          </w:rPr>
          <w:tab/>
        </w:r>
        <w:r>
          <w:rPr>
            <w:noProof/>
            <w:webHidden/>
          </w:rPr>
          <w:fldChar w:fldCharType="begin"/>
        </w:r>
        <w:r>
          <w:rPr>
            <w:noProof/>
            <w:webHidden/>
          </w:rPr>
          <w:instrText xml:space="preserve"> PAGEREF _Toc394643367 \h </w:instrText>
        </w:r>
        <w:r>
          <w:rPr>
            <w:noProof/>
            <w:webHidden/>
          </w:rPr>
        </w:r>
        <w:r>
          <w:rPr>
            <w:noProof/>
            <w:webHidden/>
          </w:rPr>
          <w:fldChar w:fldCharType="separate"/>
        </w:r>
        <w:r>
          <w:rPr>
            <w:noProof/>
            <w:webHidden/>
          </w:rPr>
          <w:t>82</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68"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Basic ADLs</w:t>
        </w:r>
        <w:r>
          <w:rPr>
            <w:noProof/>
            <w:webHidden/>
          </w:rPr>
          <w:tab/>
        </w:r>
        <w:r>
          <w:rPr>
            <w:noProof/>
            <w:webHidden/>
          </w:rPr>
          <w:fldChar w:fldCharType="begin"/>
        </w:r>
        <w:r>
          <w:rPr>
            <w:noProof/>
            <w:webHidden/>
          </w:rPr>
          <w:instrText xml:space="preserve"> PAGEREF _Toc394643368 \h </w:instrText>
        </w:r>
        <w:r>
          <w:rPr>
            <w:noProof/>
            <w:webHidden/>
          </w:rPr>
        </w:r>
        <w:r>
          <w:rPr>
            <w:noProof/>
            <w:webHidden/>
          </w:rPr>
          <w:fldChar w:fldCharType="separate"/>
        </w:r>
        <w:r>
          <w:rPr>
            <w:noProof/>
            <w:webHidden/>
          </w:rPr>
          <w:t>82</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69"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Instrumental ADLs (IADLs)</w:t>
        </w:r>
        <w:r>
          <w:rPr>
            <w:noProof/>
            <w:webHidden/>
          </w:rPr>
          <w:tab/>
        </w:r>
        <w:r>
          <w:rPr>
            <w:noProof/>
            <w:webHidden/>
          </w:rPr>
          <w:fldChar w:fldCharType="begin"/>
        </w:r>
        <w:r>
          <w:rPr>
            <w:noProof/>
            <w:webHidden/>
          </w:rPr>
          <w:instrText xml:space="preserve"> PAGEREF _Toc394643369 \h </w:instrText>
        </w:r>
        <w:r>
          <w:rPr>
            <w:noProof/>
            <w:webHidden/>
          </w:rPr>
        </w:r>
        <w:r>
          <w:rPr>
            <w:noProof/>
            <w:webHidden/>
          </w:rPr>
          <w:fldChar w:fldCharType="separate"/>
        </w:r>
        <w:r>
          <w:rPr>
            <w:noProof/>
            <w:webHidden/>
          </w:rPr>
          <w:t>82</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70" w:history="1">
        <w:r w:rsidRPr="00FA7B33">
          <w:rPr>
            <w:rStyle w:val="Hyperlink"/>
            <w:noProof/>
          </w:rPr>
          <w:t>3.</w:t>
        </w:r>
        <w:r>
          <w:rPr>
            <w:rFonts w:asciiTheme="minorHAnsi" w:eastAsiaTheme="minorEastAsia" w:hAnsiTheme="minorHAnsi" w:cstheme="minorBidi"/>
            <w:caps w:val="0"/>
            <w:noProof/>
            <w:sz w:val="22"/>
            <w:szCs w:val="22"/>
          </w:rPr>
          <w:tab/>
        </w:r>
        <w:r w:rsidRPr="00FA7B33">
          <w:rPr>
            <w:rStyle w:val="Hyperlink"/>
            <w:noProof/>
          </w:rPr>
          <w:t>MOBILITY</w:t>
        </w:r>
        <w:r>
          <w:rPr>
            <w:noProof/>
            <w:webHidden/>
          </w:rPr>
          <w:tab/>
        </w:r>
        <w:r>
          <w:rPr>
            <w:noProof/>
            <w:webHidden/>
          </w:rPr>
          <w:fldChar w:fldCharType="begin"/>
        </w:r>
        <w:r>
          <w:rPr>
            <w:noProof/>
            <w:webHidden/>
          </w:rPr>
          <w:instrText xml:space="preserve"> PAGEREF _Toc394643370 \h </w:instrText>
        </w:r>
        <w:r>
          <w:rPr>
            <w:noProof/>
            <w:webHidden/>
          </w:rPr>
        </w:r>
        <w:r>
          <w:rPr>
            <w:noProof/>
            <w:webHidden/>
          </w:rPr>
          <w:fldChar w:fldCharType="separate"/>
        </w:r>
        <w:r>
          <w:rPr>
            <w:noProof/>
            <w:webHidden/>
          </w:rPr>
          <w:t>83</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71"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Therapy</w:t>
        </w:r>
        <w:r>
          <w:rPr>
            <w:noProof/>
            <w:webHidden/>
          </w:rPr>
          <w:tab/>
        </w:r>
        <w:r>
          <w:rPr>
            <w:noProof/>
            <w:webHidden/>
          </w:rPr>
          <w:fldChar w:fldCharType="begin"/>
        </w:r>
        <w:r>
          <w:rPr>
            <w:noProof/>
            <w:webHidden/>
          </w:rPr>
          <w:instrText xml:space="preserve"> PAGEREF _Toc394643371 \h </w:instrText>
        </w:r>
        <w:r>
          <w:rPr>
            <w:noProof/>
            <w:webHidden/>
          </w:rPr>
        </w:r>
        <w:r>
          <w:rPr>
            <w:noProof/>
            <w:webHidden/>
          </w:rPr>
          <w:fldChar w:fldCharType="separate"/>
        </w:r>
        <w:r>
          <w:rPr>
            <w:noProof/>
            <w:webHidden/>
          </w:rPr>
          <w:t>83</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72"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Adaptive Devices</w:t>
        </w:r>
        <w:r>
          <w:rPr>
            <w:noProof/>
            <w:webHidden/>
          </w:rPr>
          <w:tab/>
        </w:r>
        <w:r>
          <w:rPr>
            <w:noProof/>
            <w:webHidden/>
          </w:rPr>
          <w:fldChar w:fldCharType="begin"/>
        </w:r>
        <w:r>
          <w:rPr>
            <w:noProof/>
            <w:webHidden/>
          </w:rPr>
          <w:instrText xml:space="preserve"> PAGEREF _Toc394643372 \h </w:instrText>
        </w:r>
        <w:r>
          <w:rPr>
            <w:noProof/>
            <w:webHidden/>
          </w:rPr>
        </w:r>
        <w:r>
          <w:rPr>
            <w:noProof/>
            <w:webHidden/>
          </w:rPr>
          <w:fldChar w:fldCharType="separate"/>
        </w:r>
        <w:r>
          <w:rPr>
            <w:noProof/>
            <w:webHidden/>
          </w:rPr>
          <w:t>84</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73" w:history="1">
        <w:r w:rsidRPr="00FA7B33">
          <w:rPr>
            <w:rStyle w:val="Hyperlink"/>
            <w:noProof/>
          </w:rPr>
          <w:t>4.</w:t>
        </w:r>
        <w:r>
          <w:rPr>
            <w:rFonts w:asciiTheme="minorHAnsi" w:eastAsiaTheme="minorEastAsia" w:hAnsiTheme="minorHAnsi" w:cstheme="minorBidi"/>
            <w:caps w:val="0"/>
            <w:noProof/>
            <w:sz w:val="22"/>
            <w:szCs w:val="22"/>
          </w:rPr>
          <w:tab/>
        </w:r>
        <w:r w:rsidRPr="00FA7B33">
          <w:rPr>
            <w:rStyle w:val="Hyperlink"/>
            <w:noProof/>
          </w:rPr>
          <w:t>Ataxia</w:t>
        </w:r>
        <w:r>
          <w:rPr>
            <w:noProof/>
            <w:webHidden/>
          </w:rPr>
          <w:tab/>
        </w:r>
        <w:r>
          <w:rPr>
            <w:noProof/>
            <w:webHidden/>
          </w:rPr>
          <w:fldChar w:fldCharType="begin"/>
        </w:r>
        <w:r>
          <w:rPr>
            <w:noProof/>
            <w:webHidden/>
          </w:rPr>
          <w:instrText xml:space="preserve"> PAGEREF _Toc394643373 \h </w:instrText>
        </w:r>
        <w:r>
          <w:rPr>
            <w:noProof/>
            <w:webHidden/>
          </w:rPr>
        </w:r>
        <w:r>
          <w:rPr>
            <w:noProof/>
            <w:webHidden/>
          </w:rPr>
          <w:fldChar w:fldCharType="separate"/>
        </w:r>
        <w:r>
          <w:rPr>
            <w:noProof/>
            <w:webHidden/>
          </w:rPr>
          <w:t>85</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74" w:history="1">
        <w:r w:rsidRPr="00FA7B33">
          <w:rPr>
            <w:rStyle w:val="Hyperlink"/>
            <w:noProof/>
          </w:rPr>
          <w:t>5.</w:t>
        </w:r>
        <w:r>
          <w:rPr>
            <w:rFonts w:asciiTheme="minorHAnsi" w:eastAsiaTheme="minorEastAsia" w:hAnsiTheme="minorHAnsi" w:cstheme="minorBidi"/>
            <w:caps w:val="0"/>
            <w:noProof/>
            <w:sz w:val="22"/>
            <w:szCs w:val="22"/>
          </w:rPr>
          <w:tab/>
        </w:r>
        <w:r w:rsidRPr="00FA7B33">
          <w:rPr>
            <w:rStyle w:val="Hyperlink"/>
            <w:noProof/>
          </w:rPr>
          <w:t>NEUROMUSCULAR re-education</w:t>
        </w:r>
        <w:r>
          <w:rPr>
            <w:noProof/>
            <w:webHidden/>
          </w:rPr>
          <w:tab/>
        </w:r>
        <w:r>
          <w:rPr>
            <w:noProof/>
            <w:webHidden/>
          </w:rPr>
          <w:fldChar w:fldCharType="begin"/>
        </w:r>
        <w:r>
          <w:rPr>
            <w:noProof/>
            <w:webHidden/>
          </w:rPr>
          <w:instrText xml:space="preserve"> PAGEREF _Toc394643374 \h </w:instrText>
        </w:r>
        <w:r>
          <w:rPr>
            <w:noProof/>
            <w:webHidden/>
          </w:rPr>
        </w:r>
        <w:r>
          <w:rPr>
            <w:noProof/>
            <w:webHidden/>
          </w:rPr>
          <w:fldChar w:fldCharType="separate"/>
        </w:r>
        <w:r>
          <w:rPr>
            <w:noProof/>
            <w:webHidden/>
          </w:rPr>
          <w:t>86</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75"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Motor Control</w:t>
        </w:r>
        <w:r>
          <w:rPr>
            <w:noProof/>
            <w:webHidden/>
          </w:rPr>
          <w:tab/>
        </w:r>
        <w:r>
          <w:rPr>
            <w:noProof/>
            <w:webHidden/>
          </w:rPr>
          <w:fldChar w:fldCharType="begin"/>
        </w:r>
        <w:r>
          <w:rPr>
            <w:noProof/>
            <w:webHidden/>
          </w:rPr>
          <w:instrText xml:space="preserve"> PAGEREF _Toc394643375 \h </w:instrText>
        </w:r>
        <w:r>
          <w:rPr>
            <w:noProof/>
            <w:webHidden/>
          </w:rPr>
        </w:r>
        <w:r>
          <w:rPr>
            <w:noProof/>
            <w:webHidden/>
          </w:rPr>
          <w:fldChar w:fldCharType="separate"/>
        </w:r>
        <w:r>
          <w:rPr>
            <w:noProof/>
            <w:webHidden/>
          </w:rPr>
          <w:t>86</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76"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Motor Learning</w:t>
        </w:r>
        <w:r>
          <w:rPr>
            <w:noProof/>
            <w:webHidden/>
          </w:rPr>
          <w:tab/>
        </w:r>
        <w:r>
          <w:rPr>
            <w:noProof/>
            <w:webHidden/>
          </w:rPr>
          <w:fldChar w:fldCharType="begin"/>
        </w:r>
        <w:r>
          <w:rPr>
            <w:noProof/>
            <w:webHidden/>
          </w:rPr>
          <w:instrText xml:space="preserve"> PAGEREF _Toc394643376 \h </w:instrText>
        </w:r>
        <w:r>
          <w:rPr>
            <w:noProof/>
            <w:webHidden/>
          </w:rPr>
        </w:r>
        <w:r>
          <w:rPr>
            <w:noProof/>
            <w:webHidden/>
          </w:rPr>
          <w:fldChar w:fldCharType="separate"/>
        </w:r>
        <w:r>
          <w:rPr>
            <w:noProof/>
            <w:webHidden/>
          </w:rPr>
          <w:t>86</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77" w:history="1">
        <w:r w:rsidRPr="00FA7B33">
          <w:rPr>
            <w:rStyle w:val="Hyperlink"/>
            <w:noProof/>
          </w:rPr>
          <w:t>6.</w:t>
        </w:r>
        <w:r>
          <w:rPr>
            <w:rFonts w:asciiTheme="minorHAnsi" w:eastAsiaTheme="minorEastAsia" w:hAnsiTheme="minorHAnsi" w:cstheme="minorBidi"/>
            <w:caps w:val="0"/>
            <w:noProof/>
            <w:sz w:val="22"/>
            <w:szCs w:val="22"/>
          </w:rPr>
          <w:tab/>
        </w:r>
        <w:r w:rsidRPr="00FA7B33">
          <w:rPr>
            <w:rStyle w:val="Hyperlink"/>
            <w:noProof/>
          </w:rPr>
          <w:t>Work Conditioning</w:t>
        </w:r>
        <w:r>
          <w:rPr>
            <w:noProof/>
            <w:webHidden/>
          </w:rPr>
          <w:tab/>
        </w:r>
        <w:r>
          <w:rPr>
            <w:noProof/>
            <w:webHidden/>
          </w:rPr>
          <w:fldChar w:fldCharType="begin"/>
        </w:r>
        <w:r>
          <w:rPr>
            <w:noProof/>
            <w:webHidden/>
          </w:rPr>
          <w:instrText xml:space="preserve"> PAGEREF _Toc394643377 \h </w:instrText>
        </w:r>
        <w:r>
          <w:rPr>
            <w:noProof/>
            <w:webHidden/>
          </w:rPr>
        </w:r>
        <w:r>
          <w:rPr>
            <w:noProof/>
            <w:webHidden/>
          </w:rPr>
          <w:fldChar w:fldCharType="separate"/>
        </w:r>
        <w:r>
          <w:rPr>
            <w:noProof/>
            <w:webHidden/>
          </w:rPr>
          <w:t>87</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78" w:history="1">
        <w:r w:rsidRPr="00FA7B33">
          <w:rPr>
            <w:rStyle w:val="Hyperlink"/>
            <w:noProof/>
          </w:rPr>
          <w:t>7.</w:t>
        </w:r>
        <w:r>
          <w:rPr>
            <w:rFonts w:asciiTheme="minorHAnsi" w:eastAsiaTheme="minorEastAsia" w:hAnsiTheme="minorHAnsi" w:cstheme="minorBidi"/>
            <w:caps w:val="0"/>
            <w:noProof/>
            <w:sz w:val="22"/>
            <w:szCs w:val="22"/>
          </w:rPr>
          <w:tab/>
        </w:r>
        <w:r w:rsidRPr="00FA7B33">
          <w:rPr>
            <w:rStyle w:val="Hyperlink"/>
            <w:noProof/>
          </w:rPr>
          <w:t>Work Simulation</w:t>
        </w:r>
        <w:r>
          <w:rPr>
            <w:noProof/>
            <w:webHidden/>
          </w:rPr>
          <w:tab/>
        </w:r>
        <w:r>
          <w:rPr>
            <w:noProof/>
            <w:webHidden/>
          </w:rPr>
          <w:fldChar w:fldCharType="begin"/>
        </w:r>
        <w:r>
          <w:rPr>
            <w:noProof/>
            <w:webHidden/>
          </w:rPr>
          <w:instrText xml:space="preserve"> PAGEREF _Toc394643378 \h </w:instrText>
        </w:r>
        <w:r>
          <w:rPr>
            <w:noProof/>
            <w:webHidden/>
          </w:rPr>
        </w:r>
        <w:r>
          <w:rPr>
            <w:noProof/>
            <w:webHidden/>
          </w:rPr>
          <w:fldChar w:fldCharType="separate"/>
        </w:r>
        <w:r>
          <w:rPr>
            <w:noProof/>
            <w:webHidden/>
          </w:rPr>
          <w:t>87</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79" w:history="1">
        <w:r w:rsidRPr="00FA7B33">
          <w:rPr>
            <w:rStyle w:val="Hyperlink"/>
            <w:noProof/>
          </w:rPr>
          <w:t>8.</w:t>
        </w:r>
        <w:r>
          <w:rPr>
            <w:rFonts w:asciiTheme="minorHAnsi" w:eastAsiaTheme="minorEastAsia" w:hAnsiTheme="minorHAnsi" w:cstheme="minorBidi"/>
            <w:caps w:val="0"/>
            <w:noProof/>
            <w:sz w:val="22"/>
            <w:szCs w:val="22"/>
          </w:rPr>
          <w:tab/>
        </w:r>
        <w:r w:rsidRPr="00FA7B33">
          <w:rPr>
            <w:rStyle w:val="Hyperlink"/>
            <w:noProof/>
          </w:rPr>
          <w:t>MUSCLE TONE AND JOINT RESTRICTION MANAGEMENT, Including spasticity</w:t>
        </w:r>
        <w:r>
          <w:rPr>
            <w:noProof/>
            <w:webHidden/>
          </w:rPr>
          <w:tab/>
        </w:r>
        <w:r>
          <w:rPr>
            <w:noProof/>
            <w:webHidden/>
          </w:rPr>
          <w:fldChar w:fldCharType="begin"/>
        </w:r>
        <w:r>
          <w:rPr>
            <w:noProof/>
            <w:webHidden/>
          </w:rPr>
          <w:instrText xml:space="preserve"> PAGEREF _Toc394643379 \h </w:instrText>
        </w:r>
        <w:r>
          <w:rPr>
            <w:noProof/>
            <w:webHidden/>
          </w:rPr>
        </w:r>
        <w:r>
          <w:rPr>
            <w:noProof/>
            <w:webHidden/>
          </w:rPr>
          <w:fldChar w:fldCharType="separate"/>
        </w:r>
        <w:r>
          <w:rPr>
            <w:noProof/>
            <w:webHidden/>
          </w:rPr>
          <w:t>87</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80"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Orthotics and Casting</w:t>
        </w:r>
        <w:r>
          <w:rPr>
            <w:noProof/>
            <w:webHidden/>
          </w:rPr>
          <w:tab/>
        </w:r>
        <w:r>
          <w:rPr>
            <w:noProof/>
            <w:webHidden/>
          </w:rPr>
          <w:fldChar w:fldCharType="begin"/>
        </w:r>
        <w:r>
          <w:rPr>
            <w:noProof/>
            <w:webHidden/>
          </w:rPr>
          <w:instrText xml:space="preserve"> PAGEREF _Toc394643380 \h </w:instrText>
        </w:r>
        <w:r>
          <w:rPr>
            <w:noProof/>
            <w:webHidden/>
          </w:rPr>
        </w:r>
        <w:r>
          <w:rPr>
            <w:noProof/>
            <w:webHidden/>
          </w:rPr>
          <w:fldChar w:fldCharType="separate"/>
        </w:r>
        <w:r>
          <w:rPr>
            <w:noProof/>
            <w:webHidden/>
          </w:rPr>
          <w:t>88</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81"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Postural Control</w:t>
        </w:r>
        <w:r>
          <w:rPr>
            <w:noProof/>
            <w:webHidden/>
          </w:rPr>
          <w:tab/>
        </w:r>
        <w:r>
          <w:rPr>
            <w:noProof/>
            <w:webHidden/>
          </w:rPr>
          <w:fldChar w:fldCharType="begin"/>
        </w:r>
        <w:r>
          <w:rPr>
            <w:noProof/>
            <w:webHidden/>
          </w:rPr>
          <w:instrText xml:space="preserve"> PAGEREF _Toc394643381 \h </w:instrText>
        </w:r>
        <w:r>
          <w:rPr>
            <w:noProof/>
            <w:webHidden/>
          </w:rPr>
        </w:r>
        <w:r>
          <w:rPr>
            <w:noProof/>
            <w:webHidden/>
          </w:rPr>
          <w:fldChar w:fldCharType="separate"/>
        </w:r>
        <w:r>
          <w:rPr>
            <w:noProof/>
            <w:webHidden/>
          </w:rPr>
          <w:t>88</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82" w:history="1">
        <w:r w:rsidRPr="00FA7B33">
          <w:rPr>
            <w:rStyle w:val="Hyperlink"/>
            <w:rFonts w:ascii="Arial Bold" w:hAnsi="Arial Bold"/>
            <w:noProof/>
          </w:rPr>
          <w:t>c.</w:t>
        </w:r>
        <w:r>
          <w:rPr>
            <w:rFonts w:asciiTheme="minorHAnsi" w:eastAsiaTheme="minorEastAsia" w:hAnsiTheme="minorHAnsi" w:cstheme="minorBidi"/>
            <w:iCs w:val="0"/>
            <w:noProof/>
            <w:sz w:val="22"/>
            <w:szCs w:val="22"/>
          </w:rPr>
          <w:tab/>
        </w:r>
        <w:r w:rsidRPr="00FA7B33">
          <w:rPr>
            <w:rStyle w:val="Hyperlink"/>
            <w:noProof/>
          </w:rPr>
          <w:t>Functional and Therapeutic Activities</w:t>
        </w:r>
        <w:r>
          <w:rPr>
            <w:noProof/>
            <w:webHidden/>
          </w:rPr>
          <w:tab/>
        </w:r>
        <w:r>
          <w:rPr>
            <w:noProof/>
            <w:webHidden/>
          </w:rPr>
          <w:fldChar w:fldCharType="begin"/>
        </w:r>
        <w:r>
          <w:rPr>
            <w:noProof/>
            <w:webHidden/>
          </w:rPr>
          <w:instrText xml:space="preserve"> PAGEREF _Toc394643382 \h </w:instrText>
        </w:r>
        <w:r>
          <w:rPr>
            <w:noProof/>
            <w:webHidden/>
          </w:rPr>
        </w:r>
        <w:r>
          <w:rPr>
            <w:noProof/>
            <w:webHidden/>
          </w:rPr>
          <w:fldChar w:fldCharType="separate"/>
        </w:r>
        <w:r>
          <w:rPr>
            <w:noProof/>
            <w:webHidden/>
          </w:rPr>
          <w:t>88</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83" w:history="1">
        <w:r w:rsidRPr="00FA7B33">
          <w:rPr>
            <w:rStyle w:val="Hyperlink"/>
            <w:rFonts w:ascii="Arial Bold" w:hAnsi="Arial Bold"/>
            <w:noProof/>
          </w:rPr>
          <w:t>d.</w:t>
        </w:r>
        <w:r>
          <w:rPr>
            <w:rFonts w:asciiTheme="minorHAnsi" w:eastAsiaTheme="minorEastAsia" w:hAnsiTheme="minorHAnsi" w:cstheme="minorBidi"/>
            <w:iCs w:val="0"/>
            <w:noProof/>
            <w:sz w:val="22"/>
            <w:szCs w:val="22"/>
          </w:rPr>
          <w:tab/>
        </w:r>
        <w:r w:rsidRPr="00FA7B33">
          <w:rPr>
            <w:rStyle w:val="Hyperlink"/>
            <w:noProof/>
          </w:rPr>
          <w:t>Therapeutic Nerve and Motor Point Blocks</w:t>
        </w:r>
        <w:r>
          <w:rPr>
            <w:noProof/>
            <w:webHidden/>
          </w:rPr>
          <w:tab/>
        </w:r>
        <w:r>
          <w:rPr>
            <w:noProof/>
            <w:webHidden/>
          </w:rPr>
          <w:fldChar w:fldCharType="begin"/>
        </w:r>
        <w:r>
          <w:rPr>
            <w:noProof/>
            <w:webHidden/>
          </w:rPr>
          <w:instrText xml:space="preserve"> PAGEREF _Toc394643383 \h </w:instrText>
        </w:r>
        <w:r>
          <w:rPr>
            <w:noProof/>
            <w:webHidden/>
          </w:rPr>
        </w:r>
        <w:r>
          <w:rPr>
            <w:noProof/>
            <w:webHidden/>
          </w:rPr>
          <w:fldChar w:fldCharType="separate"/>
        </w:r>
        <w:r>
          <w:rPr>
            <w:noProof/>
            <w:webHidden/>
          </w:rPr>
          <w:t>88</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84" w:history="1">
        <w:r w:rsidRPr="00FA7B33">
          <w:rPr>
            <w:rStyle w:val="Hyperlink"/>
            <w:rFonts w:ascii="Arial Bold" w:hAnsi="Arial Bold"/>
            <w:noProof/>
          </w:rPr>
          <w:t>e.</w:t>
        </w:r>
        <w:r>
          <w:rPr>
            <w:rFonts w:asciiTheme="minorHAnsi" w:eastAsiaTheme="minorEastAsia" w:hAnsiTheme="minorHAnsi" w:cstheme="minorBidi"/>
            <w:iCs w:val="0"/>
            <w:noProof/>
            <w:sz w:val="22"/>
            <w:szCs w:val="22"/>
          </w:rPr>
          <w:tab/>
        </w:r>
        <w:r w:rsidRPr="00FA7B33">
          <w:rPr>
            <w:rStyle w:val="Hyperlink"/>
            <w:noProof/>
          </w:rPr>
          <w:t>Botulinum Toxin (Botox) Injections</w:t>
        </w:r>
        <w:r>
          <w:rPr>
            <w:noProof/>
            <w:webHidden/>
          </w:rPr>
          <w:tab/>
        </w:r>
        <w:r>
          <w:rPr>
            <w:noProof/>
            <w:webHidden/>
          </w:rPr>
          <w:fldChar w:fldCharType="begin"/>
        </w:r>
        <w:r>
          <w:rPr>
            <w:noProof/>
            <w:webHidden/>
          </w:rPr>
          <w:instrText xml:space="preserve"> PAGEREF _Toc394643384 \h </w:instrText>
        </w:r>
        <w:r>
          <w:rPr>
            <w:noProof/>
            <w:webHidden/>
          </w:rPr>
        </w:r>
        <w:r>
          <w:rPr>
            <w:noProof/>
            <w:webHidden/>
          </w:rPr>
          <w:fldChar w:fldCharType="separate"/>
        </w:r>
        <w:r>
          <w:rPr>
            <w:noProof/>
            <w:webHidden/>
          </w:rPr>
          <w:t>88</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85" w:history="1">
        <w:r w:rsidRPr="00FA7B33">
          <w:rPr>
            <w:rStyle w:val="Hyperlink"/>
            <w:rFonts w:ascii="Arial Bold" w:hAnsi="Arial Bold"/>
            <w:noProof/>
          </w:rPr>
          <w:t>f.</w:t>
        </w:r>
        <w:r>
          <w:rPr>
            <w:rFonts w:asciiTheme="minorHAnsi" w:eastAsiaTheme="minorEastAsia" w:hAnsiTheme="minorHAnsi" w:cstheme="minorBidi"/>
            <w:iCs w:val="0"/>
            <w:noProof/>
            <w:sz w:val="22"/>
            <w:szCs w:val="22"/>
          </w:rPr>
          <w:tab/>
        </w:r>
        <w:r w:rsidRPr="00FA7B33">
          <w:rPr>
            <w:rStyle w:val="Hyperlink"/>
            <w:noProof/>
          </w:rPr>
          <w:t>Pharmaceutical Agents</w:t>
        </w:r>
        <w:r>
          <w:rPr>
            <w:noProof/>
            <w:webHidden/>
          </w:rPr>
          <w:tab/>
        </w:r>
        <w:r>
          <w:rPr>
            <w:noProof/>
            <w:webHidden/>
          </w:rPr>
          <w:fldChar w:fldCharType="begin"/>
        </w:r>
        <w:r>
          <w:rPr>
            <w:noProof/>
            <w:webHidden/>
          </w:rPr>
          <w:instrText xml:space="preserve"> PAGEREF _Toc394643385 \h </w:instrText>
        </w:r>
        <w:r>
          <w:rPr>
            <w:noProof/>
            <w:webHidden/>
          </w:rPr>
        </w:r>
        <w:r>
          <w:rPr>
            <w:noProof/>
            <w:webHidden/>
          </w:rPr>
          <w:fldChar w:fldCharType="separate"/>
        </w:r>
        <w:r>
          <w:rPr>
            <w:noProof/>
            <w:webHidden/>
          </w:rPr>
          <w:t>89</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86" w:history="1">
        <w:r w:rsidRPr="00FA7B33">
          <w:rPr>
            <w:rStyle w:val="Hyperlink"/>
            <w:rFonts w:ascii="Arial Bold" w:hAnsi="Arial Bold"/>
            <w:noProof/>
          </w:rPr>
          <w:t>g.</w:t>
        </w:r>
        <w:r>
          <w:rPr>
            <w:rFonts w:asciiTheme="minorHAnsi" w:eastAsiaTheme="minorEastAsia" w:hAnsiTheme="minorHAnsi" w:cstheme="minorBidi"/>
            <w:iCs w:val="0"/>
            <w:noProof/>
            <w:sz w:val="22"/>
            <w:szCs w:val="22"/>
          </w:rPr>
          <w:tab/>
        </w:r>
        <w:r w:rsidRPr="00FA7B33">
          <w:rPr>
            <w:rStyle w:val="Hyperlink"/>
            <w:noProof/>
          </w:rPr>
          <w:t>Intrathecal Baclofen Drug Delivery</w:t>
        </w:r>
        <w:r>
          <w:rPr>
            <w:noProof/>
            <w:webHidden/>
          </w:rPr>
          <w:tab/>
        </w:r>
        <w:r>
          <w:rPr>
            <w:noProof/>
            <w:webHidden/>
          </w:rPr>
          <w:fldChar w:fldCharType="begin"/>
        </w:r>
        <w:r>
          <w:rPr>
            <w:noProof/>
            <w:webHidden/>
          </w:rPr>
          <w:instrText xml:space="preserve"> PAGEREF _Toc394643386 \h </w:instrText>
        </w:r>
        <w:r>
          <w:rPr>
            <w:noProof/>
            <w:webHidden/>
          </w:rPr>
        </w:r>
        <w:r>
          <w:rPr>
            <w:noProof/>
            <w:webHidden/>
          </w:rPr>
          <w:fldChar w:fldCharType="separate"/>
        </w:r>
        <w:r>
          <w:rPr>
            <w:noProof/>
            <w:webHidden/>
          </w:rPr>
          <w:t>90</w:t>
        </w:r>
        <w:r>
          <w:rPr>
            <w:noProof/>
            <w:webHidden/>
          </w:rPr>
          <w:fldChar w:fldCharType="end"/>
        </w:r>
      </w:hyperlink>
    </w:p>
    <w:p w:rsidR="00203DF3" w:rsidRDefault="00203DF3">
      <w:pPr>
        <w:pStyle w:val="TOC1"/>
        <w:tabs>
          <w:tab w:val="right" w:leader="dot" w:pos="9350"/>
        </w:tabs>
        <w:rPr>
          <w:rFonts w:asciiTheme="minorHAnsi" w:eastAsiaTheme="minorEastAsia" w:hAnsiTheme="minorHAnsi" w:cstheme="minorBidi"/>
          <w:b w:val="0"/>
          <w:bCs w:val="0"/>
          <w:caps w:val="0"/>
          <w:noProof/>
          <w:sz w:val="22"/>
          <w:szCs w:val="22"/>
        </w:rPr>
      </w:pPr>
      <w:hyperlink w:anchor="_Toc394643387" w:history="1">
        <w:r w:rsidRPr="00FA7B33">
          <w:rPr>
            <w:rStyle w:val="Hyperlink"/>
            <w:noProof/>
          </w:rPr>
          <w:t>j.</w:t>
        </w:r>
        <w:r>
          <w:rPr>
            <w:rFonts w:asciiTheme="minorHAnsi" w:eastAsiaTheme="minorEastAsia" w:hAnsiTheme="minorHAnsi" w:cstheme="minorBidi"/>
            <w:b w:val="0"/>
            <w:bCs w:val="0"/>
            <w:caps w:val="0"/>
            <w:noProof/>
            <w:sz w:val="22"/>
            <w:szCs w:val="22"/>
          </w:rPr>
          <w:tab/>
        </w:r>
        <w:r w:rsidRPr="00FA7B33">
          <w:rPr>
            <w:rStyle w:val="Hyperlink"/>
            <w:noProof/>
          </w:rPr>
          <w:t>NONOPERATIVE THERAPEUTIC PROCEDURES – VISION, SPEECH, SWALLOWING, BALANCE, &amp; HEARING</w:t>
        </w:r>
        <w:r>
          <w:rPr>
            <w:noProof/>
            <w:webHidden/>
          </w:rPr>
          <w:tab/>
        </w:r>
        <w:r>
          <w:rPr>
            <w:noProof/>
            <w:webHidden/>
          </w:rPr>
          <w:fldChar w:fldCharType="begin"/>
        </w:r>
        <w:r>
          <w:rPr>
            <w:noProof/>
            <w:webHidden/>
          </w:rPr>
          <w:instrText xml:space="preserve"> PAGEREF _Toc394643387 \h </w:instrText>
        </w:r>
        <w:r>
          <w:rPr>
            <w:noProof/>
            <w:webHidden/>
          </w:rPr>
        </w:r>
        <w:r>
          <w:rPr>
            <w:noProof/>
            <w:webHidden/>
          </w:rPr>
          <w:fldChar w:fldCharType="separate"/>
        </w:r>
        <w:r>
          <w:rPr>
            <w:noProof/>
            <w:webHidden/>
          </w:rPr>
          <w:t>92</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88" w:history="1">
        <w:r w:rsidRPr="00FA7B33">
          <w:rPr>
            <w:rStyle w:val="Hyperlink"/>
            <w:noProof/>
          </w:rPr>
          <w:t>1.</w:t>
        </w:r>
        <w:r>
          <w:rPr>
            <w:rFonts w:asciiTheme="minorHAnsi" w:eastAsiaTheme="minorEastAsia" w:hAnsiTheme="minorHAnsi" w:cstheme="minorBidi"/>
            <w:caps w:val="0"/>
            <w:noProof/>
            <w:sz w:val="22"/>
            <w:szCs w:val="22"/>
          </w:rPr>
          <w:tab/>
        </w:r>
        <w:r w:rsidRPr="00FA7B33">
          <w:rPr>
            <w:rStyle w:val="Hyperlink"/>
            <w:noProof/>
          </w:rPr>
          <w:t>VISUAL TREATMENT</w:t>
        </w:r>
        <w:r>
          <w:rPr>
            <w:noProof/>
            <w:webHidden/>
          </w:rPr>
          <w:tab/>
        </w:r>
        <w:r>
          <w:rPr>
            <w:noProof/>
            <w:webHidden/>
          </w:rPr>
          <w:fldChar w:fldCharType="begin"/>
        </w:r>
        <w:r>
          <w:rPr>
            <w:noProof/>
            <w:webHidden/>
          </w:rPr>
          <w:instrText xml:space="preserve"> PAGEREF _Toc394643388 \h </w:instrText>
        </w:r>
        <w:r>
          <w:rPr>
            <w:noProof/>
            <w:webHidden/>
          </w:rPr>
        </w:r>
        <w:r>
          <w:rPr>
            <w:noProof/>
            <w:webHidden/>
          </w:rPr>
          <w:fldChar w:fldCharType="separate"/>
        </w:r>
        <w:r>
          <w:rPr>
            <w:noProof/>
            <w:webHidden/>
          </w:rPr>
          <w:t>92</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89"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Visual Acuity and Visual Field Function</w:t>
        </w:r>
        <w:r>
          <w:rPr>
            <w:noProof/>
            <w:webHidden/>
          </w:rPr>
          <w:tab/>
        </w:r>
        <w:r>
          <w:rPr>
            <w:noProof/>
            <w:webHidden/>
          </w:rPr>
          <w:fldChar w:fldCharType="begin"/>
        </w:r>
        <w:r>
          <w:rPr>
            <w:noProof/>
            <w:webHidden/>
          </w:rPr>
          <w:instrText xml:space="preserve"> PAGEREF _Toc394643389 \h </w:instrText>
        </w:r>
        <w:r>
          <w:rPr>
            <w:noProof/>
            <w:webHidden/>
          </w:rPr>
        </w:r>
        <w:r>
          <w:rPr>
            <w:noProof/>
            <w:webHidden/>
          </w:rPr>
          <w:fldChar w:fldCharType="separate"/>
        </w:r>
        <w:r>
          <w:rPr>
            <w:noProof/>
            <w:webHidden/>
          </w:rPr>
          <w:t>92</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90"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Disorders Involving Ocular Motor Control and Ocular Alignment:</w:t>
        </w:r>
        <w:r>
          <w:rPr>
            <w:noProof/>
            <w:webHidden/>
          </w:rPr>
          <w:tab/>
        </w:r>
        <w:r>
          <w:rPr>
            <w:noProof/>
            <w:webHidden/>
          </w:rPr>
          <w:fldChar w:fldCharType="begin"/>
        </w:r>
        <w:r>
          <w:rPr>
            <w:noProof/>
            <w:webHidden/>
          </w:rPr>
          <w:instrText xml:space="preserve"> PAGEREF _Toc394643390 \h </w:instrText>
        </w:r>
        <w:r>
          <w:rPr>
            <w:noProof/>
            <w:webHidden/>
          </w:rPr>
        </w:r>
        <w:r>
          <w:rPr>
            <w:noProof/>
            <w:webHidden/>
          </w:rPr>
          <w:fldChar w:fldCharType="separate"/>
        </w:r>
        <w:r>
          <w:rPr>
            <w:noProof/>
            <w:webHidden/>
          </w:rPr>
          <w:t>93</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91" w:history="1">
        <w:r w:rsidRPr="00FA7B33">
          <w:rPr>
            <w:rStyle w:val="Hyperlink"/>
            <w:rFonts w:ascii="Arial Bold" w:hAnsi="Arial Bold"/>
            <w:noProof/>
          </w:rPr>
          <w:t>c.</w:t>
        </w:r>
        <w:r>
          <w:rPr>
            <w:rFonts w:asciiTheme="minorHAnsi" w:eastAsiaTheme="minorEastAsia" w:hAnsiTheme="minorHAnsi" w:cstheme="minorBidi"/>
            <w:iCs w:val="0"/>
            <w:noProof/>
            <w:sz w:val="22"/>
            <w:szCs w:val="22"/>
          </w:rPr>
          <w:tab/>
        </w:r>
        <w:r w:rsidRPr="00FA7B33">
          <w:rPr>
            <w:rStyle w:val="Hyperlink"/>
            <w:noProof/>
          </w:rPr>
          <w:t>Visual Perception</w:t>
        </w:r>
        <w:r>
          <w:rPr>
            <w:noProof/>
            <w:webHidden/>
          </w:rPr>
          <w:tab/>
        </w:r>
        <w:r>
          <w:rPr>
            <w:noProof/>
            <w:webHidden/>
          </w:rPr>
          <w:fldChar w:fldCharType="begin"/>
        </w:r>
        <w:r>
          <w:rPr>
            <w:noProof/>
            <w:webHidden/>
          </w:rPr>
          <w:instrText xml:space="preserve"> PAGEREF _Toc394643391 \h </w:instrText>
        </w:r>
        <w:r>
          <w:rPr>
            <w:noProof/>
            <w:webHidden/>
          </w:rPr>
        </w:r>
        <w:r>
          <w:rPr>
            <w:noProof/>
            <w:webHidden/>
          </w:rPr>
          <w:fldChar w:fldCharType="separate"/>
        </w:r>
        <w:r>
          <w:rPr>
            <w:noProof/>
            <w:webHidden/>
          </w:rPr>
          <w:t>93</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92" w:history="1">
        <w:r w:rsidRPr="00FA7B33">
          <w:rPr>
            <w:rStyle w:val="Hyperlink"/>
            <w:rFonts w:ascii="Arial Bold" w:hAnsi="Arial Bold"/>
            <w:noProof/>
          </w:rPr>
          <w:t>d.</w:t>
        </w:r>
        <w:r>
          <w:rPr>
            <w:rFonts w:asciiTheme="minorHAnsi" w:eastAsiaTheme="minorEastAsia" w:hAnsiTheme="minorHAnsi" w:cstheme="minorBidi"/>
            <w:iCs w:val="0"/>
            <w:noProof/>
            <w:sz w:val="22"/>
            <w:szCs w:val="22"/>
          </w:rPr>
          <w:tab/>
        </w:r>
        <w:r w:rsidRPr="00FA7B33">
          <w:rPr>
            <w:rStyle w:val="Hyperlink"/>
            <w:noProof/>
          </w:rPr>
          <w:t>Visual Inattention</w:t>
        </w:r>
        <w:r>
          <w:rPr>
            <w:noProof/>
            <w:webHidden/>
          </w:rPr>
          <w:tab/>
        </w:r>
        <w:r>
          <w:rPr>
            <w:noProof/>
            <w:webHidden/>
          </w:rPr>
          <w:fldChar w:fldCharType="begin"/>
        </w:r>
        <w:r>
          <w:rPr>
            <w:noProof/>
            <w:webHidden/>
          </w:rPr>
          <w:instrText xml:space="preserve"> PAGEREF _Toc394643392 \h </w:instrText>
        </w:r>
        <w:r>
          <w:rPr>
            <w:noProof/>
            <w:webHidden/>
          </w:rPr>
        </w:r>
        <w:r>
          <w:rPr>
            <w:noProof/>
            <w:webHidden/>
          </w:rPr>
          <w:fldChar w:fldCharType="separate"/>
        </w:r>
        <w:r>
          <w:rPr>
            <w:noProof/>
            <w:webHidden/>
          </w:rPr>
          <w:t>93</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93" w:history="1">
        <w:r w:rsidRPr="00FA7B33">
          <w:rPr>
            <w:rStyle w:val="Hyperlink"/>
            <w:rFonts w:ascii="Arial Bold" w:hAnsi="Arial Bold"/>
            <w:noProof/>
          </w:rPr>
          <w:t>e.</w:t>
        </w:r>
        <w:r>
          <w:rPr>
            <w:rFonts w:asciiTheme="minorHAnsi" w:eastAsiaTheme="minorEastAsia" w:hAnsiTheme="minorHAnsi" w:cstheme="minorBidi"/>
            <w:iCs w:val="0"/>
            <w:noProof/>
            <w:sz w:val="22"/>
            <w:szCs w:val="22"/>
          </w:rPr>
          <w:tab/>
        </w:r>
        <w:r w:rsidRPr="00FA7B33">
          <w:rPr>
            <w:rStyle w:val="Hyperlink"/>
            <w:noProof/>
          </w:rPr>
          <w:t>Total Time Frames for all Vision Therapy (Orthoptic Therapy)</w:t>
        </w:r>
        <w:r>
          <w:rPr>
            <w:noProof/>
            <w:webHidden/>
          </w:rPr>
          <w:tab/>
        </w:r>
        <w:r>
          <w:rPr>
            <w:noProof/>
            <w:webHidden/>
          </w:rPr>
          <w:fldChar w:fldCharType="begin"/>
        </w:r>
        <w:r>
          <w:rPr>
            <w:noProof/>
            <w:webHidden/>
          </w:rPr>
          <w:instrText xml:space="preserve"> PAGEREF _Toc394643393 \h </w:instrText>
        </w:r>
        <w:r>
          <w:rPr>
            <w:noProof/>
            <w:webHidden/>
          </w:rPr>
        </w:r>
        <w:r>
          <w:rPr>
            <w:noProof/>
            <w:webHidden/>
          </w:rPr>
          <w:fldChar w:fldCharType="separate"/>
        </w:r>
        <w:r>
          <w:rPr>
            <w:noProof/>
            <w:webHidden/>
          </w:rPr>
          <w:t>94</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394" w:history="1">
        <w:r w:rsidRPr="00FA7B33">
          <w:rPr>
            <w:rStyle w:val="Hyperlink"/>
            <w:noProof/>
          </w:rPr>
          <w:t>2.</w:t>
        </w:r>
        <w:r>
          <w:rPr>
            <w:rFonts w:asciiTheme="minorHAnsi" w:eastAsiaTheme="minorEastAsia" w:hAnsiTheme="minorHAnsi" w:cstheme="minorBidi"/>
            <w:caps w:val="0"/>
            <w:noProof/>
            <w:sz w:val="22"/>
            <w:szCs w:val="22"/>
          </w:rPr>
          <w:tab/>
        </w:r>
        <w:r w:rsidRPr="00FA7B33">
          <w:rPr>
            <w:rStyle w:val="Hyperlink"/>
            <w:noProof/>
          </w:rPr>
          <w:t>NEURO-OTOLOGIC TREATMENTS</w:t>
        </w:r>
        <w:r>
          <w:rPr>
            <w:noProof/>
            <w:webHidden/>
          </w:rPr>
          <w:tab/>
        </w:r>
        <w:r>
          <w:rPr>
            <w:noProof/>
            <w:webHidden/>
          </w:rPr>
          <w:fldChar w:fldCharType="begin"/>
        </w:r>
        <w:r>
          <w:rPr>
            <w:noProof/>
            <w:webHidden/>
          </w:rPr>
          <w:instrText xml:space="preserve"> PAGEREF _Toc394643394 \h </w:instrText>
        </w:r>
        <w:r>
          <w:rPr>
            <w:noProof/>
            <w:webHidden/>
          </w:rPr>
        </w:r>
        <w:r>
          <w:rPr>
            <w:noProof/>
            <w:webHidden/>
          </w:rPr>
          <w:fldChar w:fldCharType="separate"/>
        </w:r>
        <w:r>
          <w:rPr>
            <w:noProof/>
            <w:webHidden/>
          </w:rPr>
          <w:t>94</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95"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Treatment of Fixed Lesions</w:t>
        </w:r>
        <w:r>
          <w:rPr>
            <w:noProof/>
            <w:webHidden/>
          </w:rPr>
          <w:tab/>
        </w:r>
        <w:r>
          <w:rPr>
            <w:noProof/>
            <w:webHidden/>
          </w:rPr>
          <w:fldChar w:fldCharType="begin"/>
        </w:r>
        <w:r>
          <w:rPr>
            <w:noProof/>
            <w:webHidden/>
          </w:rPr>
          <w:instrText xml:space="preserve"> PAGEREF _Toc394643395 \h </w:instrText>
        </w:r>
        <w:r>
          <w:rPr>
            <w:noProof/>
            <w:webHidden/>
          </w:rPr>
        </w:r>
        <w:r>
          <w:rPr>
            <w:noProof/>
            <w:webHidden/>
          </w:rPr>
          <w:fldChar w:fldCharType="separate"/>
        </w:r>
        <w:r>
          <w:rPr>
            <w:noProof/>
            <w:webHidden/>
          </w:rPr>
          <w:t>94</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96"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Treatment of Recurrent, Non-Progressive Otologic Disorders</w:t>
        </w:r>
        <w:r>
          <w:rPr>
            <w:noProof/>
            <w:webHidden/>
          </w:rPr>
          <w:tab/>
        </w:r>
        <w:r>
          <w:rPr>
            <w:noProof/>
            <w:webHidden/>
          </w:rPr>
          <w:fldChar w:fldCharType="begin"/>
        </w:r>
        <w:r>
          <w:rPr>
            <w:noProof/>
            <w:webHidden/>
          </w:rPr>
          <w:instrText xml:space="preserve"> PAGEREF _Toc394643396 \h </w:instrText>
        </w:r>
        <w:r>
          <w:rPr>
            <w:noProof/>
            <w:webHidden/>
          </w:rPr>
        </w:r>
        <w:r>
          <w:rPr>
            <w:noProof/>
            <w:webHidden/>
          </w:rPr>
          <w:fldChar w:fldCharType="separate"/>
        </w:r>
        <w:r>
          <w:rPr>
            <w:noProof/>
            <w:webHidden/>
          </w:rPr>
          <w:t>95</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97" w:history="1">
        <w:r w:rsidRPr="00FA7B33">
          <w:rPr>
            <w:rStyle w:val="Hyperlink"/>
            <w:rFonts w:ascii="Arial Bold" w:hAnsi="Arial Bold"/>
            <w:noProof/>
          </w:rPr>
          <w:t>c.</w:t>
        </w:r>
        <w:r>
          <w:rPr>
            <w:rFonts w:asciiTheme="minorHAnsi" w:eastAsiaTheme="minorEastAsia" w:hAnsiTheme="minorHAnsi" w:cstheme="minorBidi"/>
            <w:iCs w:val="0"/>
            <w:noProof/>
            <w:sz w:val="22"/>
            <w:szCs w:val="22"/>
          </w:rPr>
          <w:tab/>
        </w:r>
        <w:r w:rsidRPr="00FA7B33">
          <w:rPr>
            <w:rStyle w:val="Hyperlink"/>
            <w:noProof/>
          </w:rPr>
          <w:t>Treatment of Progressive Otologic Disorders</w:t>
        </w:r>
        <w:r>
          <w:rPr>
            <w:noProof/>
            <w:webHidden/>
          </w:rPr>
          <w:tab/>
        </w:r>
        <w:r>
          <w:rPr>
            <w:noProof/>
            <w:webHidden/>
          </w:rPr>
          <w:fldChar w:fldCharType="begin"/>
        </w:r>
        <w:r>
          <w:rPr>
            <w:noProof/>
            <w:webHidden/>
          </w:rPr>
          <w:instrText xml:space="preserve"> PAGEREF _Toc394643397 \h </w:instrText>
        </w:r>
        <w:r>
          <w:rPr>
            <w:noProof/>
            <w:webHidden/>
          </w:rPr>
        </w:r>
        <w:r>
          <w:rPr>
            <w:noProof/>
            <w:webHidden/>
          </w:rPr>
          <w:fldChar w:fldCharType="separate"/>
        </w:r>
        <w:r>
          <w:rPr>
            <w:noProof/>
            <w:webHidden/>
          </w:rPr>
          <w:t>95</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98" w:history="1">
        <w:r w:rsidRPr="00FA7B33">
          <w:rPr>
            <w:rStyle w:val="Hyperlink"/>
            <w:rFonts w:ascii="Arial Bold" w:hAnsi="Arial Bold"/>
            <w:noProof/>
          </w:rPr>
          <w:t>d.</w:t>
        </w:r>
        <w:r>
          <w:rPr>
            <w:rFonts w:asciiTheme="minorHAnsi" w:eastAsiaTheme="minorEastAsia" w:hAnsiTheme="minorHAnsi" w:cstheme="minorBidi"/>
            <w:iCs w:val="0"/>
            <w:noProof/>
            <w:sz w:val="22"/>
            <w:szCs w:val="22"/>
          </w:rPr>
          <w:tab/>
        </w:r>
        <w:r w:rsidRPr="00FA7B33">
          <w:rPr>
            <w:rStyle w:val="Hyperlink"/>
            <w:noProof/>
          </w:rPr>
          <w:t>In-Office Treatment Procedures</w:t>
        </w:r>
        <w:r>
          <w:rPr>
            <w:noProof/>
            <w:webHidden/>
          </w:rPr>
          <w:tab/>
        </w:r>
        <w:r>
          <w:rPr>
            <w:noProof/>
            <w:webHidden/>
          </w:rPr>
          <w:fldChar w:fldCharType="begin"/>
        </w:r>
        <w:r>
          <w:rPr>
            <w:noProof/>
            <w:webHidden/>
          </w:rPr>
          <w:instrText xml:space="preserve"> PAGEREF _Toc394643398 \h </w:instrText>
        </w:r>
        <w:r>
          <w:rPr>
            <w:noProof/>
            <w:webHidden/>
          </w:rPr>
        </w:r>
        <w:r>
          <w:rPr>
            <w:noProof/>
            <w:webHidden/>
          </w:rPr>
          <w:fldChar w:fldCharType="separate"/>
        </w:r>
        <w:r>
          <w:rPr>
            <w:noProof/>
            <w:webHidden/>
          </w:rPr>
          <w:t>96</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399" w:history="1">
        <w:r w:rsidRPr="00FA7B33">
          <w:rPr>
            <w:rStyle w:val="Hyperlink"/>
            <w:rFonts w:ascii="Arial Bold" w:hAnsi="Arial Bold"/>
            <w:noProof/>
          </w:rPr>
          <w:t>e.</w:t>
        </w:r>
        <w:r>
          <w:rPr>
            <w:rFonts w:asciiTheme="minorHAnsi" w:eastAsiaTheme="minorEastAsia" w:hAnsiTheme="minorHAnsi" w:cstheme="minorBidi"/>
            <w:iCs w:val="0"/>
            <w:noProof/>
            <w:sz w:val="22"/>
            <w:szCs w:val="22"/>
          </w:rPr>
          <w:tab/>
        </w:r>
        <w:r w:rsidRPr="00FA7B33">
          <w:rPr>
            <w:rStyle w:val="Hyperlink"/>
            <w:noProof/>
          </w:rPr>
          <w:t>Tympanostomy</w:t>
        </w:r>
        <w:r>
          <w:rPr>
            <w:noProof/>
            <w:webHidden/>
          </w:rPr>
          <w:tab/>
        </w:r>
        <w:r>
          <w:rPr>
            <w:noProof/>
            <w:webHidden/>
          </w:rPr>
          <w:fldChar w:fldCharType="begin"/>
        </w:r>
        <w:r>
          <w:rPr>
            <w:noProof/>
            <w:webHidden/>
          </w:rPr>
          <w:instrText xml:space="preserve"> PAGEREF _Toc394643399 \h </w:instrText>
        </w:r>
        <w:r>
          <w:rPr>
            <w:noProof/>
            <w:webHidden/>
          </w:rPr>
        </w:r>
        <w:r>
          <w:rPr>
            <w:noProof/>
            <w:webHidden/>
          </w:rPr>
          <w:fldChar w:fldCharType="separate"/>
        </w:r>
        <w:r>
          <w:rPr>
            <w:noProof/>
            <w:webHidden/>
          </w:rPr>
          <w:t>96</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400" w:history="1">
        <w:r w:rsidRPr="00FA7B33">
          <w:rPr>
            <w:rStyle w:val="Hyperlink"/>
            <w:rFonts w:ascii="Arial Bold" w:hAnsi="Arial Bold"/>
            <w:noProof/>
          </w:rPr>
          <w:t>f.</w:t>
        </w:r>
        <w:r>
          <w:rPr>
            <w:rFonts w:asciiTheme="minorHAnsi" w:eastAsiaTheme="minorEastAsia" w:hAnsiTheme="minorHAnsi" w:cstheme="minorBidi"/>
            <w:iCs w:val="0"/>
            <w:noProof/>
            <w:sz w:val="22"/>
            <w:szCs w:val="22"/>
          </w:rPr>
          <w:tab/>
        </w:r>
        <w:r w:rsidRPr="00FA7B33">
          <w:rPr>
            <w:rStyle w:val="Hyperlink"/>
            <w:noProof/>
          </w:rPr>
          <w:t>Vestibular Rehabilitation</w:t>
        </w:r>
        <w:r>
          <w:rPr>
            <w:noProof/>
            <w:webHidden/>
          </w:rPr>
          <w:tab/>
        </w:r>
        <w:r>
          <w:rPr>
            <w:noProof/>
            <w:webHidden/>
          </w:rPr>
          <w:fldChar w:fldCharType="begin"/>
        </w:r>
        <w:r>
          <w:rPr>
            <w:noProof/>
            <w:webHidden/>
          </w:rPr>
          <w:instrText xml:space="preserve"> PAGEREF _Toc394643400 \h </w:instrText>
        </w:r>
        <w:r>
          <w:rPr>
            <w:noProof/>
            <w:webHidden/>
          </w:rPr>
        </w:r>
        <w:r>
          <w:rPr>
            <w:noProof/>
            <w:webHidden/>
          </w:rPr>
          <w:fldChar w:fldCharType="separate"/>
        </w:r>
        <w:r>
          <w:rPr>
            <w:noProof/>
            <w:webHidden/>
          </w:rPr>
          <w:t>96</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01" w:history="1">
        <w:r w:rsidRPr="00FA7B33">
          <w:rPr>
            <w:rStyle w:val="Hyperlink"/>
            <w:noProof/>
          </w:rPr>
          <w:t>3.</w:t>
        </w:r>
        <w:r>
          <w:rPr>
            <w:rFonts w:asciiTheme="minorHAnsi" w:eastAsiaTheme="minorEastAsia" w:hAnsiTheme="minorHAnsi" w:cstheme="minorBidi"/>
            <w:caps w:val="0"/>
            <w:noProof/>
            <w:sz w:val="22"/>
            <w:szCs w:val="22"/>
          </w:rPr>
          <w:tab/>
        </w:r>
        <w:r w:rsidRPr="00FA7B33">
          <w:rPr>
            <w:rStyle w:val="Hyperlink"/>
            <w:noProof/>
          </w:rPr>
          <w:t>SWALLOWING IMPAIRMENTS (DYSPHAGIA)</w:t>
        </w:r>
        <w:r>
          <w:rPr>
            <w:noProof/>
            <w:webHidden/>
          </w:rPr>
          <w:tab/>
        </w:r>
        <w:r>
          <w:rPr>
            <w:noProof/>
            <w:webHidden/>
          </w:rPr>
          <w:fldChar w:fldCharType="begin"/>
        </w:r>
        <w:r>
          <w:rPr>
            <w:noProof/>
            <w:webHidden/>
          </w:rPr>
          <w:instrText xml:space="preserve"> PAGEREF _Toc394643401 \h </w:instrText>
        </w:r>
        <w:r>
          <w:rPr>
            <w:noProof/>
            <w:webHidden/>
          </w:rPr>
        </w:r>
        <w:r>
          <w:rPr>
            <w:noProof/>
            <w:webHidden/>
          </w:rPr>
          <w:fldChar w:fldCharType="separate"/>
        </w:r>
        <w:r>
          <w:rPr>
            <w:noProof/>
            <w:webHidden/>
          </w:rPr>
          <w:t>99</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402"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Compensatory Treatment</w:t>
        </w:r>
        <w:r>
          <w:rPr>
            <w:noProof/>
            <w:webHidden/>
          </w:rPr>
          <w:tab/>
        </w:r>
        <w:r>
          <w:rPr>
            <w:noProof/>
            <w:webHidden/>
          </w:rPr>
          <w:fldChar w:fldCharType="begin"/>
        </w:r>
        <w:r>
          <w:rPr>
            <w:noProof/>
            <w:webHidden/>
          </w:rPr>
          <w:instrText xml:space="preserve"> PAGEREF _Toc394643402 \h </w:instrText>
        </w:r>
        <w:r>
          <w:rPr>
            <w:noProof/>
            <w:webHidden/>
          </w:rPr>
        </w:r>
        <w:r>
          <w:rPr>
            <w:noProof/>
            <w:webHidden/>
          </w:rPr>
          <w:fldChar w:fldCharType="separate"/>
        </w:r>
        <w:r>
          <w:rPr>
            <w:noProof/>
            <w:webHidden/>
          </w:rPr>
          <w:t>100</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403"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Therapy Techniques</w:t>
        </w:r>
        <w:r>
          <w:rPr>
            <w:noProof/>
            <w:webHidden/>
          </w:rPr>
          <w:tab/>
        </w:r>
        <w:r>
          <w:rPr>
            <w:noProof/>
            <w:webHidden/>
          </w:rPr>
          <w:fldChar w:fldCharType="begin"/>
        </w:r>
        <w:r>
          <w:rPr>
            <w:noProof/>
            <w:webHidden/>
          </w:rPr>
          <w:instrText xml:space="preserve"> PAGEREF _Toc394643403 \h </w:instrText>
        </w:r>
        <w:r>
          <w:rPr>
            <w:noProof/>
            <w:webHidden/>
          </w:rPr>
        </w:r>
        <w:r>
          <w:rPr>
            <w:noProof/>
            <w:webHidden/>
          </w:rPr>
          <w:fldChar w:fldCharType="separate"/>
        </w:r>
        <w:r>
          <w:rPr>
            <w:noProof/>
            <w:webHidden/>
          </w:rPr>
          <w:t>100</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04" w:history="1">
        <w:r w:rsidRPr="00FA7B33">
          <w:rPr>
            <w:rStyle w:val="Hyperlink"/>
            <w:noProof/>
          </w:rPr>
          <w:t>4.</w:t>
        </w:r>
        <w:r>
          <w:rPr>
            <w:rFonts w:asciiTheme="minorHAnsi" w:eastAsiaTheme="minorEastAsia" w:hAnsiTheme="minorHAnsi" w:cstheme="minorBidi"/>
            <w:caps w:val="0"/>
            <w:noProof/>
            <w:sz w:val="22"/>
            <w:szCs w:val="22"/>
          </w:rPr>
          <w:tab/>
        </w:r>
        <w:r w:rsidRPr="00FA7B33">
          <w:rPr>
            <w:rStyle w:val="Hyperlink"/>
            <w:noProof/>
          </w:rPr>
          <w:t>COMMUNICATION</w:t>
        </w:r>
        <w:r>
          <w:rPr>
            <w:noProof/>
            <w:webHidden/>
          </w:rPr>
          <w:tab/>
        </w:r>
        <w:r>
          <w:rPr>
            <w:noProof/>
            <w:webHidden/>
          </w:rPr>
          <w:fldChar w:fldCharType="begin"/>
        </w:r>
        <w:r>
          <w:rPr>
            <w:noProof/>
            <w:webHidden/>
          </w:rPr>
          <w:instrText xml:space="preserve"> PAGEREF _Toc394643404 \h </w:instrText>
        </w:r>
        <w:r>
          <w:rPr>
            <w:noProof/>
            <w:webHidden/>
          </w:rPr>
        </w:r>
        <w:r>
          <w:rPr>
            <w:noProof/>
            <w:webHidden/>
          </w:rPr>
          <w:fldChar w:fldCharType="separate"/>
        </w:r>
        <w:r>
          <w:rPr>
            <w:noProof/>
            <w:webHidden/>
          </w:rPr>
          <w:t>101</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405"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Motor Speech Disorders</w:t>
        </w:r>
        <w:r>
          <w:rPr>
            <w:noProof/>
            <w:webHidden/>
          </w:rPr>
          <w:tab/>
        </w:r>
        <w:r>
          <w:rPr>
            <w:noProof/>
            <w:webHidden/>
          </w:rPr>
          <w:fldChar w:fldCharType="begin"/>
        </w:r>
        <w:r>
          <w:rPr>
            <w:noProof/>
            <w:webHidden/>
          </w:rPr>
          <w:instrText xml:space="preserve"> PAGEREF _Toc394643405 \h </w:instrText>
        </w:r>
        <w:r>
          <w:rPr>
            <w:noProof/>
            <w:webHidden/>
          </w:rPr>
        </w:r>
        <w:r>
          <w:rPr>
            <w:noProof/>
            <w:webHidden/>
          </w:rPr>
          <w:fldChar w:fldCharType="separate"/>
        </w:r>
        <w:r>
          <w:rPr>
            <w:noProof/>
            <w:webHidden/>
          </w:rPr>
          <w:t>101</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406"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Voice Disorders</w:t>
        </w:r>
        <w:r>
          <w:rPr>
            <w:noProof/>
            <w:webHidden/>
          </w:rPr>
          <w:tab/>
        </w:r>
        <w:r>
          <w:rPr>
            <w:noProof/>
            <w:webHidden/>
          </w:rPr>
          <w:fldChar w:fldCharType="begin"/>
        </w:r>
        <w:r>
          <w:rPr>
            <w:noProof/>
            <w:webHidden/>
          </w:rPr>
          <w:instrText xml:space="preserve"> PAGEREF _Toc394643406 \h </w:instrText>
        </w:r>
        <w:r>
          <w:rPr>
            <w:noProof/>
            <w:webHidden/>
          </w:rPr>
        </w:r>
        <w:r>
          <w:rPr>
            <w:noProof/>
            <w:webHidden/>
          </w:rPr>
          <w:fldChar w:fldCharType="separate"/>
        </w:r>
        <w:r>
          <w:rPr>
            <w:noProof/>
            <w:webHidden/>
          </w:rPr>
          <w:t>101</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407" w:history="1">
        <w:r w:rsidRPr="00FA7B33">
          <w:rPr>
            <w:rStyle w:val="Hyperlink"/>
            <w:rFonts w:ascii="Arial Bold" w:hAnsi="Arial Bold"/>
            <w:noProof/>
          </w:rPr>
          <w:t>c.</w:t>
        </w:r>
        <w:r>
          <w:rPr>
            <w:rFonts w:asciiTheme="minorHAnsi" w:eastAsiaTheme="minorEastAsia" w:hAnsiTheme="minorHAnsi" w:cstheme="minorBidi"/>
            <w:iCs w:val="0"/>
            <w:noProof/>
            <w:sz w:val="22"/>
            <w:szCs w:val="22"/>
          </w:rPr>
          <w:tab/>
        </w:r>
        <w:r w:rsidRPr="00FA7B33">
          <w:rPr>
            <w:rStyle w:val="Hyperlink"/>
            <w:noProof/>
          </w:rPr>
          <w:t>Language Disorders</w:t>
        </w:r>
        <w:r>
          <w:rPr>
            <w:noProof/>
            <w:webHidden/>
          </w:rPr>
          <w:tab/>
        </w:r>
        <w:r>
          <w:rPr>
            <w:noProof/>
            <w:webHidden/>
          </w:rPr>
          <w:fldChar w:fldCharType="begin"/>
        </w:r>
        <w:r>
          <w:rPr>
            <w:noProof/>
            <w:webHidden/>
          </w:rPr>
          <w:instrText xml:space="preserve"> PAGEREF _Toc394643407 \h </w:instrText>
        </w:r>
        <w:r>
          <w:rPr>
            <w:noProof/>
            <w:webHidden/>
          </w:rPr>
        </w:r>
        <w:r>
          <w:rPr>
            <w:noProof/>
            <w:webHidden/>
          </w:rPr>
          <w:fldChar w:fldCharType="separate"/>
        </w:r>
        <w:r>
          <w:rPr>
            <w:noProof/>
            <w:webHidden/>
          </w:rPr>
          <w:t>101</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408" w:history="1">
        <w:r w:rsidRPr="00FA7B33">
          <w:rPr>
            <w:rStyle w:val="Hyperlink"/>
            <w:rFonts w:ascii="Arial Bold" w:hAnsi="Arial Bold"/>
            <w:noProof/>
          </w:rPr>
          <w:t>d.</w:t>
        </w:r>
        <w:r>
          <w:rPr>
            <w:rFonts w:asciiTheme="minorHAnsi" w:eastAsiaTheme="minorEastAsia" w:hAnsiTheme="minorHAnsi" w:cstheme="minorBidi"/>
            <w:iCs w:val="0"/>
            <w:noProof/>
            <w:sz w:val="22"/>
            <w:szCs w:val="22"/>
          </w:rPr>
          <w:tab/>
        </w:r>
        <w:r w:rsidRPr="00FA7B33">
          <w:rPr>
            <w:rStyle w:val="Hyperlink"/>
            <w:noProof/>
          </w:rPr>
          <w:t>Cognitive-Communicative Disorders</w:t>
        </w:r>
        <w:r>
          <w:rPr>
            <w:noProof/>
            <w:webHidden/>
          </w:rPr>
          <w:tab/>
        </w:r>
        <w:r>
          <w:rPr>
            <w:noProof/>
            <w:webHidden/>
          </w:rPr>
          <w:fldChar w:fldCharType="begin"/>
        </w:r>
        <w:r>
          <w:rPr>
            <w:noProof/>
            <w:webHidden/>
          </w:rPr>
          <w:instrText xml:space="preserve"> PAGEREF _Toc394643408 \h </w:instrText>
        </w:r>
        <w:r>
          <w:rPr>
            <w:noProof/>
            <w:webHidden/>
          </w:rPr>
        </w:r>
        <w:r>
          <w:rPr>
            <w:noProof/>
            <w:webHidden/>
          </w:rPr>
          <w:fldChar w:fldCharType="separate"/>
        </w:r>
        <w:r>
          <w:rPr>
            <w:noProof/>
            <w:webHidden/>
          </w:rPr>
          <w:t>101</w:t>
        </w:r>
        <w:r>
          <w:rPr>
            <w:noProof/>
            <w:webHidden/>
          </w:rPr>
          <w:fldChar w:fldCharType="end"/>
        </w:r>
      </w:hyperlink>
    </w:p>
    <w:p w:rsidR="00203DF3" w:rsidRDefault="00203DF3">
      <w:pPr>
        <w:pStyle w:val="TOC1"/>
        <w:tabs>
          <w:tab w:val="right" w:leader="dot" w:pos="9350"/>
        </w:tabs>
        <w:rPr>
          <w:rFonts w:asciiTheme="minorHAnsi" w:eastAsiaTheme="minorEastAsia" w:hAnsiTheme="minorHAnsi" w:cstheme="minorBidi"/>
          <w:b w:val="0"/>
          <w:bCs w:val="0"/>
          <w:caps w:val="0"/>
          <w:noProof/>
          <w:sz w:val="22"/>
          <w:szCs w:val="22"/>
        </w:rPr>
      </w:pPr>
      <w:hyperlink w:anchor="_Toc394643409" w:history="1">
        <w:r w:rsidRPr="00FA7B33">
          <w:rPr>
            <w:rStyle w:val="Hyperlink"/>
            <w:noProof/>
          </w:rPr>
          <w:t>k.</w:t>
        </w:r>
        <w:r>
          <w:rPr>
            <w:rFonts w:asciiTheme="minorHAnsi" w:eastAsiaTheme="minorEastAsia" w:hAnsiTheme="minorHAnsi" w:cstheme="minorBidi"/>
            <w:b w:val="0"/>
            <w:bCs w:val="0"/>
            <w:caps w:val="0"/>
            <w:noProof/>
            <w:sz w:val="22"/>
            <w:szCs w:val="22"/>
          </w:rPr>
          <w:tab/>
        </w:r>
        <w:r w:rsidRPr="00FA7B33">
          <w:rPr>
            <w:rStyle w:val="Hyperlink"/>
            <w:noProof/>
          </w:rPr>
          <w:t>NONOPERATIVE THERAPEUTIC PROCEDURES – RETURN TO WORK, DRIVING, &amp; OTHER</w:t>
        </w:r>
        <w:r>
          <w:rPr>
            <w:noProof/>
            <w:webHidden/>
          </w:rPr>
          <w:tab/>
        </w:r>
        <w:r>
          <w:rPr>
            <w:noProof/>
            <w:webHidden/>
          </w:rPr>
          <w:fldChar w:fldCharType="begin"/>
        </w:r>
        <w:r>
          <w:rPr>
            <w:noProof/>
            <w:webHidden/>
          </w:rPr>
          <w:instrText xml:space="preserve"> PAGEREF _Toc394643409 \h </w:instrText>
        </w:r>
        <w:r>
          <w:rPr>
            <w:noProof/>
            <w:webHidden/>
          </w:rPr>
        </w:r>
        <w:r>
          <w:rPr>
            <w:noProof/>
            <w:webHidden/>
          </w:rPr>
          <w:fldChar w:fldCharType="separate"/>
        </w:r>
        <w:r>
          <w:rPr>
            <w:noProof/>
            <w:webHidden/>
          </w:rPr>
          <w:t>105</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10" w:history="1">
        <w:r w:rsidRPr="00FA7B33">
          <w:rPr>
            <w:rStyle w:val="Hyperlink"/>
            <w:noProof/>
          </w:rPr>
          <w:t>1.</w:t>
        </w:r>
        <w:r>
          <w:rPr>
            <w:rFonts w:asciiTheme="minorHAnsi" w:eastAsiaTheme="minorEastAsia" w:hAnsiTheme="minorHAnsi" w:cstheme="minorBidi"/>
            <w:caps w:val="0"/>
            <w:noProof/>
            <w:sz w:val="22"/>
            <w:szCs w:val="22"/>
          </w:rPr>
          <w:tab/>
        </w:r>
        <w:r w:rsidRPr="00FA7B33">
          <w:rPr>
            <w:rStyle w:val="Hyperlink"/>
            <w:noProof/>
          </w:rPr>
          <w:t>DRIVING</w:t>
        </w:r>
        <w:r>
          <w:rPr>
            <w:noProof/>
            <w:webHidden/>
          </w:rPr>
          <w:tab/>
        </w:r>
        <w:r>
          <w:rPr>
            <w:noProof/>
            <w:webHidden/>
          </w:rPr>
          <w:fldChar w:fldCharType="begin"/>
        </w:r>
        <w:r>
          <w:rPr>
            <w:noProof/>
            <w:webHidden/>
          </w:rPr>
          <w:instrText xml:space="preserve"> PAGEREF _Toc394643410 \h </w:instrText>
        </w:r>
        <w:r>
          <w:rPr>
            <w:noProof/>
            <w:webHidden/>
          </w:rPr>
        </w:r>
        <w:r>
          <w:rPr>
            <w:noProof/>
            <w:webHidden/>
          </w:rPr>
          <w:fldChar w:fldCharType="separate"/>
        </w:r>
        <w:r>
          <w:rPr>
            <w:noProof/>
            <w:webHidden/>
          </w:rPr>
          <w:t>105</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11" w:history="1">
        <w:r w:rsidRPr="00FA7B33">
          <w:rPr>
            <w:rStyle w:val="Hyperlink"/>
            <w:noProof/>
          </w:rPr>
          <w:t>2.</w:t>
        </w:r>
        <w:r>
          <w:rPr>
            <w:rFonts w:asciiTheme="minorHAnsi" w:eastAsiaTheme="minorEastAsia" w:hAnsiTheme="minorHAnsi" w:cstheme="minorBidi"/>
            <w:caps w:val="0"/>
            <w:noProof/>
            <w:sz w:val="22"/>
            <w:szCs w:val="22"/>
          </w:rPr>
          <w:tab/>
        </w:r>
        <w:r w:rsidRPr="00FA7B33">
          <w:rPr>
            <w:rStyle w:val="Hyperlink"/>
            <w:noProof/>
          </w:rPr>
          <w:t>RETURN TO WORK</w:t>
        </w:r>
        <w:r>
          <w:rPr>
            <w:noProof/>
            <w:webHidden/>
          </w:rPr>
          <w:tab/>
        </w:r>
        <w:r>
          <w:rPr>
            <w:noProof/>
            <w:webHidden/>
          </w:rPr>
          <w:fldChar w:fldCharType="begin"/>
        </w:r>
        <w:r>
          <w:rPr>
            <w:noProof/>
            <w:webHidden/>
          </w:rPr>
          <w:instrText xml:space="preserve"> PAGEREF _Toc394643411 \h </w:instrText>
        </w:r>
        <w:r>
          <w:rPr>
            <w:noProof/>
            <w:webHidden/>
          </w:rPr>
        </w:r>
        <w:r>
          <w:rPr>
            <w:noProof/>
            <w:webHidden/>
          </w:rPr>
          <w:fldChar w:fldCharType="separate"/>
        </w:r>
        <w:r>
          <w:rPr>
            <w:noProof/>
            <w:webHidden/>
          </w:rPr>
          <w:t>106</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412"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Return to Work – MTBI</w:t>
        </w:r>
        <w:r>
          <w:rPr>
            <w:noProof/>
            <w:webHidden/>
          </w:rPr>
          <w:tab/>
        </w:r>
        <w:r>
          <w:rPr>
            <w:noProof/>
            <w:webHidden/>
          </w:rPr>
          <w:fldChar w:fldCharType="begin"/>
        </w:r>
        <w:r>
          <w:rPr>
            <w:noProof/>
            <w:webHidden/>
          </w:rPr>
          <w:instrText xml:space="preserve"> PAGEREF _Toc394643412 \h </w:instrText>
        </w:r>
        <w:r>
          <w:rPr>
            <w:noProof/>
            <w:webHidden/>
          </w:rPr>
        </w:r>
        <w:r>
          <w:rPr>
            <w:noProof/>
            <w:webHidden/>
          </w:rPr>
          <w:fldChar w:fldCharType="separate"/>
        </w:r>
        <w:r>
          <w:rPr>
            <w:noProof/>
            <w:webHidden/>
          </w:rPr>
          <w:t>106</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413"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Return to Work – Moderate/Severe TBI</w:t>
        </w:r>
        <w:r>
          <w:rPr>
            <w:noProof/>
            <w:webHidden/>
          </w:rPr>
          <w:tab/>
        </w:r>
        <w:r>
          <w:rPr>
            <w:noProof/>
            <w:webHidden/>
          </w:rPr>
          <w:fldChar w:fldCharType="begin"/>
        </w:r>
        <w:r>
          <w:rPr>
            <w:noProof/>
            <w:webHidden/>
          </w:rPr>
          <w:instrText xml:space="preserve"> PAGEREF _Toc394643413 \h </w:instrText>
        </w:r>
        <w:r>
          <w:rPr>
            <w:noProof/>
            <w:webHidden/>
          </w:rPr>
        </w:r>
        <w:r>
          <w:rPr>
            <w:noProof/>
            <w:webHidden/>
          </w:rPr>
          <w:fldChar w:fldCharType="separate"/>
        </w:r>
        <w:r>
          <w:rPr>
            <w:noProof/>
            <w:webHidden/>
          </w:rPr>
          <w:t>108</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414" w:history="1">
        <w:r w:rsidRPr="00FA7B33">
          <w:rPr>
            <w:rStyle w:val="Hyperlink"/>
            <w:rFonts w:ascii="Arial Bold" w:hAnsi="Arial Bold"/>
            <w:noProof/>
          </w:rPr>
          <w:t>c.</w:t>
        </w:r>
        <w:r>
          <w:rPr>
            <w:rFonts w:asciiTheme="minorHAnsi" w:eastAsiaTheme="minorEastAsia" w:hAnsiTheme="minorHAnsi" w:cstheme="minorBidi"/>
            <w:iCs w:val="0"/>
            <w:noProof/>
            <w:sz w:val="22"/>
            <w:szCs w:val="22"/>
          </w:rPr>
          <w:tab/>
        </w:r>
        <w:r w:rsidRPr="00FA7B33">
          <w:rPr>
            <w:rStyle w:val="Hyperlink"/>
            <w:noProof/>
          </w:rPr>
          <w:t>The Following Should be Considered when Attempting to Return an Injured Worker with Moderate/Severe TBI to Work</w:t>
        </w:r>
        <w:r>
          <w:rPr>
            <w:noProof/>
            <w:webHidden/>
          </w:rPr>
          <w:tab/>
        </w:r>
        <w:r>
          <w:rPr>
            <w:noProof/>
            <w:webHidden/>
          </w:rPr>
          <w:fldChar w:fldCharType="begin"/>
        </w:r>
        <w:r>
          <w:rPr>
            <w:noProof/>
            <w:webHidden/>
          </w:rPr>
          <w:instrText xml:space="preserve"> PAGEREF _Toc394643414 \h </w:instrText>
        </w:r>
        <w:r>
          <w:rPr>
            <w:noProof/>
            <w:webHidden/>
          </w:rPr>
        </w:r>
        <w:r>
          <w:rPr>
            <w:noProof/>
            <w:webHidden/>
          </w:rPr>
          <w:fldChar w:fldCharType="separate"/>
        </w:r>
        <w:r>
          <w:rPr>
            <w:noProof/>
            <w:webHidden/>
          </w:rPr>
          <w:t>108</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15" w:history="1">
        <w:r w:rsidRPr="00FA7B33">
          <w:rPr>
            <w:rStyle w:val="Hyperlink"/>
            <w:noProof/>
          </w:rPr>
          <w:t>3.</w:t>
        </w:r>
        <w:r>
          <w:rPr>
            <w:rFonts w:asciiTheme="minorHAnsi" w:eastAsiaTheme="minorEastAsia" w:hAnsiTheme="minorHAnsi" w:cstheme="minorBidi"/>
            <w:caps w:val="0"/>
            <w:noProof/>
            <w:sz w:val="22"/>
            <w:szCs w:val="22"/>
          </w:rPr>
          <w:tab/>
        </w:r>
        <w:r w:rsidRPr="00FA7B33">
          <w:rPr>
            <w:rStyle w:val="Hyperlink"/>
            <w:noProof/>
          </w:rPr>
          <w:t>VOCATIONAL REHABILITATION</w:t>
        </w:r>
        <w:r>
          <w:rPr>
            <w:noProof/>
            <w:webHidden/>
          </w:rPr>
          <w:tab/>
        </w:r>
        <w:r>
          <w:rPr>
            <w:noProof/>
            <w:webHidden/>
          </w:rPr>
          <w:fldChar w:fldCharType="begin"/>
        </w:r>
        <w:r>
          <w:rPr>
            <w:noProof/>
            <w:webHidden/>
          </w:rPr>
          <w:instrText xml:space="preserve"> PAGEREF _Toc394643415 \h </w:instrText>
        </w:r>
        <w:r>
          <w:rPr>
            <w:noProof/>
            <w:webHidden/>
          </w:rPr>
        </w:r>
        <w:r>
          <w:rPr>
            <w:noProof/>
            <w:webHidden/>
          </w:rPr>
          <w:fldChar w:fldCharType="separate"/>
        </w:r>
        <w:r>
          <w:rPr>
            <w:noProof/>
            <w:webHidden/>
          </w:rPr>
          <w:t>109</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16" w:history="1">
        <w:r w:rsidRPr="00FA7B33">
          <w:rPr>
            <w:rStyle w:val="Hyperlink"/>
            <w:noProof/>
          </w:rPr>
          <w:t>4.</w:t>
        </w:r>
        <w:r>
          <w:rPr>
            <w:rFonts w:asciiTheme="minorHAnsi" w:eastAsiaTheme="minorEastAsia" w:hAnsiTheme="minorHAnsi" w:cstheme="minorBidi"/>
            <w:caps w:val="0"/>
            <w:noProof/>
            <w:sz w:val="22"/>
            <w:szCs w:val="22"/>
          </w:rPr>
          <w:tab/>
        </w:r>
        <w:r w:rsidRPr="00FA7B33">
          <w:rPr>
            <w:rStyle w:val="Hyperlink"/>
            <w:noProof/>
          </w:rPr>
          <w:t>COMPLEMENTARY AND ALTERNATIVE MEDICINE (CAM)</w:t>
        </w:r>
        <w:r>
          <w:rPr>
            <w:noProof/>
            <w:webHidden/>
          </w:rPr>
          <w:tab/>
        </w:r>
        <w:r>
          <w:rPr>
            <w:noProof/>
            <w:webHidden/>
          </w:rPr>
          <w:fldChar w:fldCharType="begin"/>
        </w:r>
        <w:r>
          <w:rPr>
            <w:noProof/>
            <w:webHidden/>
          </w:rPr>
          <w:instrText xml:space="preserve"> PAGEREF _Toc394643416 \h </w:instrText>
        </w:r>
        <w:r>
          <w:rPr>
            <w:noProof/>
            <w:webHidden/>
          </w:rPr>
        </w:r>
        <w:r>
          <w:rPr>
            <w:noProof/>
            <w:webHidden/>
          </w:rPr>
          <w:fldChar w:fldCharType="separate"/>
        </w:r>
        <w:r>
          <w:rPr>
            <w:noProof/>
            <w:webHidden/>
          </w:rPr>
          <w:t>109</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17" w:history="1">
        <w:r w:rsidRPr="00FA7B33">
          <w:rPr>
            <w:rStyle w:val="Hyperlink"/>
            <w:noProof/>
          </w:rPr>
          <w:t>5.</w:t>
        </w:r>
        <w:r>
          <w:rPr>
            <w:rFonts w:asciiTheme="minorHAnsi" w:eastAsiaTheme="minorEastAsia" w:hAnsiTheme="minorHAnsi" w:cstheme="minorBidi"/>
            <w:caps w:val="0"/>
            <w:noProof/>
            <w:sz w:val="22"/>
            <w:szCs w:val="22"/>
          </w:rPr>
          <w:tab/>
        </w:r>
        <w:r w:rsidRPr="00FA7B33">
          <w:rPr>
            <w:rStyle w:val="Hyperlink"/>
            <w:noProof/>
          </w:rPr>
          <w:t>OTHER TREATMENTS</w:t>
        </w:r>
        <w:r>
          <w:rPr>
            <w:noProof/>
            <w:webHidden/>
          </w:rPr>
          <w:tab/>
        </w:r>
        <w:r>
          <w:rPr>
            <w:noProof/>
            <w:webHidden/>
          </w:rPr>
          <w:fldChar w:fldCharType="begin"/>
        </w:r>
        <w:r>
          <w:rPr>
            <w:noProof/>
            <w:webHidden/>
          </w:rPr>
          <w:instrText xml:space="preserve"> PAGEREF _Toc394643417 \h </w:instrText>
        </w:r>
        <w:r>
          <w:rPr>
            <w:noProof/>
            <w:webHidden/>
          </w:rPr>
        </w:r>
        <w:r>
          <w:rPr>
            <w:noProof/>
            <w:webHidden/>
          </w:rPr>
          <w:fldChar w:fldCharType="separate"/>
        </w:r>
        <w:r>
          <w:rPr>
            <w:noProof/>
            <w:webHidden/>
          </w:rPr>
          <w:t>110</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418"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Hyperbaric Oxygen</w:t>
        </w:r>
        <w:r>
          <w:rPr>
            <w:noProof/>
            <w:webHidden/>
          </w:rPr>
          <w:tab/>
        </w:r>
        <w:r>
          <w:rPr>
            <w:noProof/>
            <w:webHidden/>
          </w:rPr>
          <w:fldChar w:fldCharType="begin"/>
        </w:r>
        <w:r>
          <w:rPr>
            <w:noProof/>
            <w:webHidden/>
          </w:rPr>
          <w:instrText xml:space="preserve"> PAGEREF _Toc394643418 \h </w:instrText>
        </w:r>
        <w:r>
          <w:rPr>
            <w:noProof/>
            <w:webHidden/>
          </w:rPr>
        </w:r>
        <w:r>
          <w:rPr>
            <w:noProof/>
            <w:webHidden/>
          </w:rPr>
          <w:fldChar w:fldCharType="separate"/>
        </w:r>
        <w:r>
          <w:rPr>
            <w:noProof/>
            <w:webHidden/>
          </w:rPr>
          <w:t>110</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419"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Deep Thalamic Stimulation</w:t>
        </w:r>
        <w:r>
          <w:rPr>
            <w:noProof/>
            <w:webHidden/>
          </w:rPr>
          <w:tab/>
        </w:r>
        <w:r>
          <w:rPr>
            <w:noProof/>
            <w:webHidden/>
          </w:rPr>
          <w:fldChar w:fldCharType="begin"/>
        </w:r>
        <w:r>
          <w:rPr>
            <w:noProof/>
            <w:webHidden/>
          </w:rPr>
          <w:instrText xml:space="preserve"> PAGEREF _Toc394643419 \h </w:instrText>
        </w:r>
        <w:r>
          <w:rPr>
            <w:noProof/>
            <w:webHidden/>
          </w:rPr>
        </w:r>
        <w:r>
          <w:rPr>
            <w:noProof/>
            <w:webHidden/>
          </w:rPr>
          <w:fldChar w:fldCharType="separate"/>
        </w:r>
        <w:r>
          <w:rPr>
            <w:noProof/>
            <w:webHidden/>
          </w:rPr>
          <w:t>110</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420" w:history="1">
        <w:r w:rsidRPr="00FA7B33">
          <w:rPr>
            <w:rStyle w:val="Hyperlink"/>
            <w:rFonts w:ascii="Arial Bold" w:hAnsi="Arial Bold"/>
            <w:noProof/>
          </w:rPr>
          <w:t>c.</w:t>
        </w:r>
        <w:r>
          <w:rPr>
            <w:rFonts w:asciiTheme="minorHAnsi" w:eastAsiaTheme="minorEastAsia" w:hAnsiTheme="minorHAnsi" w:cstheme="minorBidi"/>
            <w:iCs w:val="0"/>
            <w:noProof/>
            <w:sz w:val="22"/>
            <w:szCs w:val="22"/>
          </w:rPr>
          <w:tab/>
        </w:r>
        <w:r w:rsidRPr="00FA7B33">
          <w:rPr>
            <w:rStyle w:val="Hyperlink"/>
            <w:noProof/>
          </w:rPr>
          <w:t>Transcranial Magnetic Stimulation</w:t>
        </w:r>
        <w:r>
          <w:rPr>
            <w:noProof/>
            <w:webHidden/>
          </w:rPr>
          <w:tab/>
        </w:r>
        <w:r>
          <w:rPr>
            <w:noProof/>
            <w:webHidden/>
          </w:rPr>
          <w:fldChar w:fldCharType="begin"/>
        </w:r>
        <w:r>
          <w:rPr>
            <w:noProof/>
            <w:webHidden/>
          </w:rPr>
          <w:instrText xml:space="preserve"> PAGEREF _Toc394643420 \h </w:instrText>
        </w:r>
        <w:r>
          <w:rPr>
            <w:noProof/>
            <w:webHidden/>
          </w:rPr>
        </w:r>
        <w:r>
          <w:rPr>
            <w:noProof/>
            <w:webHidden/>
          </w:rPr>
          <w:fldChar w:fldCharType="separate"/>
        </w:r>
        <w:r>
          <w:rPr>
            <w:noProof/>
            <w:webHidden/>
          </w:rPr>
          <w:t>110</w:t>
        </w:r>
        <w:r>
          <w:rPr>
            <w:noProof/>
            <w:webHidden/>
          </w:rPr>
          <w:fldChar w:fldCharType="end"/>
        </w:r>
      </w:hyperlink>
    </w:p>
    <w:p w:rsidR="00203DF3" w:rsidRDefault="00203DF3">
      <w:pPr>
        <w:pStyle w:val="TOC1"/>
        <w:tabs>
          <w:tab w:val="right" w:leader="dot" w:pos="9350"/>
        </w:tabs>
        <w:rPr>
          <w:rFonts w:asciiTheme="minorHAnsi" w:eastAsiaTheme="minorEastAsia" w:hAnsiTheme="minorHAnsi" w:cstheme="minorBidi"/>
          <w:b w:val="0"/>
          <w:bCs w:val="0"/>
          <w:caps w:val="0"/>
          <w:noProof/>
          <w:sz w:val="22"/>
          <w:szCs w:val="22"/>
        </w:rPr>
      </w:pPr>
      <w:hyperlink w:anchor="_Toc394643421" w:history="1">
        <w:r w:rsidRPr="00FA7B33">
          <w:rPr>
            <w:rStyle w:val="Hyperlink"/>
            <w:noProof/>
          </w:rPr>
          <w:t>l.</w:t>
        </w:r>
        <w:r>
          <w:rPr>
            <w:rFonts w:asciiTheme="minorHAnsi" w:eastAsiaTheme="minorEastAsia" w:hAnsiTheme="minorHAnsi" w:cstheme="minorBidi"/>
            <w:b w:val="0"/>
            <w:bCs w:val="0"/>
            <w:caps w:val="0"/>
            <w:noProof/>
            <w:sz w:val="22"/>
            <w:szCs w:val="22"/>
          </w:rPr>
          <w:tab/>
        </w:r>
        <w:r w:rsidRPr="00FA7B33">
          <w:rPr>
            <w:rStyle w:val="Hyperlink"/>
            <w:noProof/>
          </w:rPr>
          <w:t>OPERATIVE THERAPEUTIC PROCEDURES</w:t>
        </w:r>
        <w:r>
          <w:rPr>
            <w:noProof/>
            <w:webHidden/>
          </w:rPr>
          <w:tab/>
        </w:r>
        <w:r>
          <w:rPr>
            <w:noProof/>
            <w:webHidden/>
          </w:rPr>
          <w:fldChar w:fldCharType="begin"/>
        </w:r>
        <w:r>
          <w:rPr>
            <w:noProof/>
            <w:webHidden/>
          </w:rPr>
          <w:instrText xml:space="preserve"> PAGEREF _Toc394643421 \h </w:instrText>
        </w:r>
        <w:r>
          <w:rPr>
            <w:noProof/>
            <w:webHidden/>
          </w:rPr>
        </w:r>
        <w:r>
          <w:rPr>
            <w:noProof/>
            <w:webHidden/>
          </w:rPr>
          <w:fldChar w:fldCharType="separate"/>
        </w:r>
        <w:r>
          <w:rPr>
            <w:noProof/>
            <w:webHidden/>
          </w:rPr>
          <w:t>111</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22" w:history="1">
        <w:r w:rsidRPr="00FA7B33">
          <w:rPr>
            <w:rStyle w:val="Hyperlink"/>
            <w:noProof/>
          </w:rPr>
          <w:t>1.</w:t>
        </w:r>
        <w:r>
          <w:rPr>
            <w:rFonts w:asciiTheme="minorHAnsi" w:eastAsiaTheme="minorEastAsia" w:hAnsiTheme="minorHAnsi" w:cstheme="minorBidi"/>
            <w:caps w:val="0"/>
            <w:noProof/>
            <w:sz w:val="22"/>
            <w:szCs w:val="22"/>
          </w:rPr>
          <w:tab/>
        </w:r>
        <w:r w:rsidRPr="00FA7B33">
          <w:rPr>
            <w:rStyle w:val="Hyperlink"/>
            <w:noProof/>
          </w:rPr>
          <w:t>EXTRACRANIAL SOFT TISSUE</w:t>
        </w:r>
        <w:r>
          <w:rPr>
            <w:noProof/>
            <w:webHidden/>
          </w:rPr>
          <w:tab/>
        </w:r>
        <w:r>
          <w:rPr>
            <w:noProof/>
            <w:webHidden/>
          </w:rPr>
          <w:fldChar w:fldCharType="begin"/>
        </w:r>
        <w:r>
          <w:rPr>
            <w:noProof/>
            <w:webHidden/>
          </w:rPr>
          <w:instrText xml:space="preserve"> PAGEREF _Toc394643422 \h </w:instrText>
        </w:r>
        <w:r>
          <w:rPr>
            <w:noProof/>
            <w:webHidden/>
          </w:rPr>
        </w:r>
        <w:r>
          <w:rPr>
            <w:noProof/>
            <w:webHidden/>
          </w:rPr>
          <w:fldChar w:fldCharType="separate"/>
        </w:r>
        <w:r>
          <w:rPr>
            <w:noProof/>
            <w:webHidden/>
          </w:rPr>
          <w:t>111</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23" w:history="1">
        <w:r w:rsidRPr="00FA7B33">
          <w:rPr>
            <w:rStyle w:val="Hyperlink"/>
            <w:noProof/>
          </w:rPr>
          <w:t>2.</w:t>
        </w:r>
        <w:r>
          <w:rPr>
            <w:rFonts w:asciiTheme="minorHAnsi" w:eastAsiaTheme="minorEastAsia" w:hAnsiTheme="minorHAnsi" w:cstheme="minorBidi"/>
            <w:caps w:val="0"/>
            <w:noProof/>
            <w:sz w:val="22"/>
            <w:szCs w:val="22"/>
          </w:rPr>
          <w:tab/>
        </w:r>
        <w:r w:rsidRPr="00FA7B33">
          <w:rPr>
            <w:rStyle w:val="Hyperlink"/>
            <w:noProof/>
          </w:rPr>
          <w:t>MAXILLOFACIAL</w:t>
        </w:r>
        <w:r>
          <w:rPr>
            <w:noProof/>
            <w:webHidden/>
          </w:rPr>
          <w:tab/>
        </w:r>
        <w:r>
          <w:rPr>
            <w:noProof/>
            <w:webHidden/>
          </w:rPr>
          <w:fldChar w:fldCharType="begin"/>
        </w:r>
        <w:r>
          <w:rPr>
            <w:noProof/>
            <w:webHidden/>
          </w:rPr>
          <w:instrText xml:space="preserve"> PAGEREF _Toc394643423 \h </w:instrText>
        </w:r>
        <w:r>
          <w:rPr>
            <w:noProof/>
            <w:webHidden/>
          </w:rPr>
        </w:r>
        <w:r>
          <w:rPr>
            <w:noProof/>
            <w:webHidden/>
          </w:rPr>
          <w:fldChar w:fldCharType="separate"/>
        </w:r>
        <w:r>
          <w:rPr>
            <w:noProof/>
            <w:webHidden/>
          </w:rPr>
          <w:t>111</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24" w:history="1">
        <w:r w:rsidRPr="00FA7B33">
          <w:rPr>
            <w:rStyle w:val="Hyperlink"/>
            <w:noProof/>
          </w:rPr>
          <w:t>3.</w:t>
        </w:r>
        <w:r>
          <w:rPr>
            <w:rFonts w:asciiTheme="minorHAnsi" w:eastAsiaTheme="minorEastAsia" w:hAnsiTheme="minorHAnsi" w:cstheme="minorBidi"/>
            <w:caps w:val="0"/>
            <w:noProof/>
            <w:sz w:val="22"/>
            <w:szCs w:val="22"/>
          </w:rPr>
          <w:tab/>
        </w:r>
        <w:r w:rsidRPr="00FA7B33">
          <w:rPr>
            <w:rStyle w:val="Hyperlink"/>
            <w:noProof/>
          </w:rPr>
          <w:t>SKULL</w:t>
        </w:r>
        <w:r>
          <w:rPr>
            <w:noProof/>
            <w:webHidden/>
          </w:rPr>
          <w:tab/>
        </w:r>
        <w:r>
          <w:rPr>
            <w:noProof/>
            <w:webHidden/>
          </w:rPr>
          <w:fldChar w:fldCharType="begin"/>
        </w:r>
        <w:r>
          <w:rPr>
            <w:noProof/>
            <w:webHidden/>
          </w:rPr>
          <w:instrText xml:space="preserve"> PAGEREF _Toc394643424 \h </w:instrText>
        </w:r>
        <w:r>
          <w:rPr>
            <w:noProof/>
            <w:webHidden/>
          </w:rPr>
        </w:r>
        <w:r>
          <w:rPr>
            <w:noProof/>
            <w:webHidden/>
          </w:rPr>
          <w:fldChar w:fldCharType="separate"/>
        </w:r>
        <w:r>
          <w:rPr>
            <w:noProof/>
            <w:webHidden/>
          </w:rPr>
          <w:t>111</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25" w:history="1">
        <w:r w:rsidRPr="00FA7B33">
          <w:rPr>
            <w:rStyle w:val="Hyperlink"/>
            <w:noProof/>
          </w:rPr>
          <w:t>4.</w:t>
        </w:r>
        <w:r>
          <w:rPr>
            <w:rFonts w:asciiTheme="minorHAnsi" w:eastAsiaTheme="minorEastAsia" w:hAnsiTheme="minorHAnsi" w:cstheme="minorBidi"/>
            <w:caps w:val="0"/>
            <w:noProof/>
            <w:sz w:val="22"/>
            <w:szCs w:val="22"/>
          </w:rPr>
          <w:tab/>
        </w:r>
        <w:r w:rsidRPr="00FA7B33">
          <w:rPr>
            <w:rStyle w:val="Hyperlink"/>
            <w:noProof/>
          </w:rPr>
          <w:t>BRAIN</w:t>
        </w:r>
        <w:r>
          <w:rPr>
            <w:noProof/>
            <w:webHidden/>
          </w:rPr>
          <w:tab/>
        </w:r>
        <w:r>
          <w:rPr>
            <w:noProof/>
            <w:webHidden/>
          </w:rPr>
          <w:fldChar w:fldCharType="begin"/>
        </w:r>
        <w:r>
          <w:rPr>
            <w:noProof/>
            <w:webHidden/>
          </w:rPr>
          <w:instrText xml:space="preserve"> PAGEREF _Toc394643425 \h </w:instrText>
        </w:r>
        <w:r>
          <w:rPr>
            <w:noProof/>
            <w:webHidden/>
          </w:rPr>
        </w:r>
        <w:r>
          <w:rPr>
            <w:noProof/>
            <w:webHidden/>
          </w:rPr>
          <w:fldChar w:fldCharType="separate"/>
        </w:r>
        <w:r>
          <w:rPr>
            <w:noProof/>
            <w:webHidden/>
          </w:rPr>
          <w:t>111</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26" w:history="1">
        <w:r w:rsidRPr="00FA7B33">
          <w:rPr>
            <w:rStyle w:val="Hyperlink"/>
            <w:noProof/>
          </w:rPr>
          <w:t>5.</w:t>
        </w:r>
        <w:r>
          <w:rPr>
            <w:rFonts w:asciiTheme="minorHAnsi" w:eastAsiaTheme="minorEastAsia" w:hAnsiTheme="minorHAnsi" w:cstheme="minorBidi"/>
            <w:caps w:val="0"/>
            <w:noProof/>
            <w:sz w:val="22"/>
            <w:szCs w:val="22"/>
          </w:rPr>
          <w:tab/>
        </w:r>
        <w:r w:rsidRPr="00FA7B33">
          <w:rPr>
            <w:rStyle w:val="Hyperlink"/>
            <w:noProof/>
          </w:rPr>
          <w:t>CEREBRAL SPINAL FLUID (CSF)</w:t>
        </w:r>
        <w:r>
          <w:rPr>
            <w:noProof/>
            <w:webHidden/>
          </w:rPr>
          <w:tab/>
        </w:r>
        <w:r>
          <w:rPr>
            <w:noProof/>
            <w:webHidden/>
          </w:rPr>
          <w:fldChar w:fldCharType="begin"/>
        </w:r>
        <w:r>
          <w:rPr>
            <w:noProof/>
            <w:webHidden/>
          </w:rPr>
          <w:instrText xml:space="preserve"> PAGEREF _Toc394643426 \h </w:instrText>
        </w:r>
        <w:r>
          <w:rPr>
            <w:noProof/>
            <w:webHidden/>
          </w:rPr>
        </w:r>
        <w:r>
          <w:rPr>
            <w:noProof/>
            <w:webHidden/>
          </w:rPr>
          <w:fldChar w:fldCharType="separate"/>
        </w:r>
        <w:r>
          <w:rPr>
            <w:noProof/>
            <w:webHidden/>
          </w:rPr>
          <w:t>112</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427"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CSF Leak or Fistula</w:t>
        </w:r>
        <w:r>
          <w:rPr>
            <w:noProof/>
            <w:webHidden/>
          </w:rPr>
          <w:tab/>
        </w:r>
        <w:r>
          <w:rPr>
            <w:noProof/>
            <w:webHidden/>
          </w:rPr>
          <w:fldChar w:fldCharType="begin"/>
        </w:r>
        <w:r>
          <w:rPr>
            <w:noProof/>
            <w:webHidden/>
          </w:rPr>
          <w:instrText xml:space="preserve"> PAGEREF _Toc394643427 \h </w:instrText>
        </w:r>
        <w:r>
          <w:rPr>
            <w:noProof/>
            <w:webHidden/>
          </w:rPr>
        </w:r>
        <w:r>
          <w:rPr>
            <w:noProof/>
            <w:webHidden/>
          </w:rPr>
          <w:fldChar w:fldCharType="separate"/>
        </w:r>
        <w:r>
          <w:rPr>
            <w:noProof/>
            <w:webHidden/>
          </w:rPr>
          <w:t>112</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428"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Ventricular Shunting</w:t>
        </w:r>
        <w:r>
          <w:rPr>
            <w:noProof/>
            <w:webHidden/>
          </w:rPr>
          <w:tab/>
        </w:r>
        <w:r>
          <w:rPr>
            <w:noProof/>
            <w:webHidden/>
          </w:rPr>
          <w:fldChar w:fldCharType="begin"/>
        </w:r>
        <w:r>
          <w:rPr>
            <w:noProof/>
            <w:webHidden/>
          </w:rPr>
          <w:instrText xml:space="preserve"> PAGEREF _Toc394643428 \h </w:instrText>
        </w:r>
        <w:r>
          <w:rPr>
            <w:noProof/>
            <w:webHidden/>
          </w:rPr>
        </w:r>
        <w:r>
          <w:rPr>
            <w:noProof/>
            <w:webHidden/>
          </w:rPr>
          <w:fldChar w:fldCharType="separate"/>
        </w:r>
        <w:r>
          <w:rPr>
            <w:noProof/>
            <w:webHidden/>
          </w:rPr>
          <w:t>112</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429" w:history="1">
        <w:r w:rsidRPr="00FA7B33">
          <w:rPr>
            <w:rStyle w:val="Hyperlink"/>
            <w:rFonts w:ascii="Arial Bold" w:hAnsi="Arial Bold"/>
            <w:noProof/>
          </w:rPr>
          <w:t>c.</w:t>
        </w:r>
        <w:r>
          <w:rPr>
            <w:rFonts w:asciiTheme="minorHAnsi" w:eastAsiaTheme="minorEastAsia" w:hAnsiTheme="minorHAnsi" w:cstheme="minorBidi"/>
            <w:iCs w:val="0"/>
            <w:noProof/>
            <w:sz w:val="22"/>
            <w:szCs w:val="22"/>
          </w:rPr>
          <w:tab/>
        </w:r>
        <w:r w:rsidRPr="00FA7B33">
          <w:rPr>
            <w:rStyle w:val="Hyperlink"/>
            <w:noProof/>
          </w:rPr>
          <w:t>Ventriculostomy</w:t>
        </w:r>
        <w:r>
          <w:rPr>
            <w:noProof/>
            <w:webHidden/>
          </w:rPr>
          <w:tab/>
        </w:r>
        <w:r>
          <w:rPr>
            <w:noProof/>
            <w:webHidden/>
          </w:rPr>
          <w:fldChar w:fldCharType="begin"/>
        </w:r>
        <w:r>
          <w:rPr>
            <w:noProof/>
            <w:webHidden/>
          </w:rPr>
          <w:instrText xml:space="preserve"> PAGEREF _Toc394643429 \h </w:instrText>
        </w:r>
        <w:r>
          <w:rPr>
            <w:noProof/>
            <w:webHidden/>
          </w:rPr>
        </w:r>
        <w:r>
          <w:rPr>
            <w:noProof/>
            <w:webHidden/>
          </w:rPr>
          <w:fldChar w:fldCharType="separate"/>
        </w:r>
        <w:r>
          <w:rPr>
            <w:noProof/>
            <w:webHidden/>
          </w:rPr>
          <w:t>112</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30" w:history="1">
        <w:r w:rsidRPr="00FA7B33">
          <w:rPr>
            <w:rStyle w:val="Hyperlink"/>
            <w:noProof/>
          </w:rPr>
          <w:t>6.</w:t>
        </w:r>
        <w:r>
          <w:rPr>
            <w:rFonts w:asciiTheme="minorHAnsi" w:eastAsiaTheme="minorEastAsia" w:hAnsiTheme="minorHAnsi" w:cstheme="minorBidi"/>
            <w:caps w:val="0"/>
            <w:noProof/>
            <w:sz w:val="22"/>
            <w:szCs w:val="22"/>
          </w:rPr>
          <w:tab/>
        </w:r>
        <w:r w:rsidRPr="00FA7B33">
          <w:rPr>
            <w:rStyle w:val="Hyperlink"/>
            <w:noProof/>
          </w:rPr>
          <w:t>OPHTHALMOLOGIC</w:t>
        </w:r>
        <w:r>
          <w:rPr>
            <w:noProof/>
            <w:webHidden/>
          </w:rPr>
          <w:tab/>
        </w:r>
        <w:r>
          <w:rPr>
            <w:noProof/>
            <w:webHidden/>
          </w:rPr>
          <w:fldChar w:fldCharType="begin"/>
        </w:r>
        <w:r>
          <w:rPr>
            <w:noProof/>
            <w:webHidden/>
          </w:rPr>
          <w:instrText xml:space="preserve"> PAGEREF _Toc394643430 \h </w:instrText>
        </w:r>
        <w:r>
          <w:rPr>
            <w:noProof/>
            <w:webHidden/>
          </w:rPr>
        </w:r>
        <w:r>
          <w:rPr>
            <w:noProof/>
            <w:webHidden/>
          </w:rPr>
          <w:fldChar w:fldCharType="separate"/>
        </w:r>
        <w:r>
          <w:rPr>
            <w:noProof/>
            <w:webHidden/>
          </w:rPr>
          <w:t>112</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31" w:history="1">
        <w:r w:rsidRPr="00FA7B33">
          <w:rPr>
            <w:rStyle w:val="Hyperlink"/>
            <w:noProof/>
          </w:rPr>
          <w:t>7.</w:t>
        </w:r>
        <w:r>
          <w:rPr>
            <w:rFonts w:asciiTheme="minorHAnsi" w:eastAsiaTheme="minorEastAsia" w:hAnsiTheme="minorHAnsi" w:cstheme="minorBidi"/>
            <w:caps w:val="0"/>
            <w:noProof/>
            <w:sz w:val="22"/>
            <w:szCs w:val="22"/>
          </w:rPr>
          <w:tab/>
        </w:r>
        <w:r w:rsidRPr="00FA7B33">
          <w:rPr>
            <w:rStyle w:val="Hyperlink"/>
            <w:noProof/>
          </w:rPr>
          <w:t>OTOLOGIC</w:t>
        </w:r>
        <w:r>
          <w:rPr>
            <w:noProof/>
            <w:webHidden/>
          </w:rPr>
          <w:tab/>
        </w:r>
        <w:r>
          <w:rPr>
            <w:noProof/>
            <w:webHidden/>
          </w:rPr>
          <w:fldChar w:fldCharType="begin"/>
        </w:r>
        <w:r>
          <w:rPr>
            <w:noProof/>
            <w:webHidden/>
          </w:rPr>
          <w:instrText xml:space="preserve"> PAGEREF _Toc394643431 \h </w:instrText>
        </w:r>
        <w:r>
          <w:rPr>
            <w:noProof/>
            <w:webHidden/>
          </w:rPr>
        </w:r>
        <w:r>
          <w:rPr>
            <w:noProof/>
            <w:webHidden/>
          </w:rPr>
          <w:fldChar w:fldCharType="separate"/>
        </w:r>
        <w:r>
          <w:rPr>
            <w:noProof/>
            <w:webHidden/>
          </w:rPr>
          <w:t>113</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432" w:history="1">
        <w:r w:rsidRPr="00FA7B33">
          <w:rPr>
            <w:rStyle w:val="Hyperlink"/>
            <w:rFonts w:ascii="Arial Bold" w:hAnsi="Arial Bold"/>
            <w:noProof/>
          </w:rPr>
          <w:t>a.</w:t>
        </w:r>
        <w:r>
          <w:rPr>
            <w:rFonts w:asciiTheme="minorHAnsi" w:eastAsiaTheme="minorEastAsia" w:hAnsiTheme="minorHAnsi" w:cstheme="minorBidi"/>
            <w:iCs w:val="0"/>
            <w:noProof/>
            <w:sz w:val="22"/>
            <w:szCs w:val="22"/>
          </w:rPr>
          <w:tab/>
        </w:r>
        <w:r w:rsidRPr="00FA7B33">
          <w:rPr>
            <w:rStyle w:val="Hyperlink"/>
            <w:noProof/>
          </w:rPr>
          <w:t>Direct Trauma Or Barotrauma</w:t>
        </w:r>
        <w:r>
          <w:rPr>
            <w:noProof/>
            <w:webHidden/>
          </w:rPr>
          <w:tab/>
        </w:r>
        <w:r>
          <w:rPr>
            <w:noProof/>
            <w:webHidden/>
          </w:rPr>
          <w:fldChar w:fldCharType="begin"/>
        </w:r>
        <w:r>
          <w:rPr>
            <w:noProof/>
            <w:webHidden/>
          </w:rPr>
          <w:instrText xml:space="preserve"> PAGEREF _Toc394643432 \h </w:instrText>
        </w:r>
        <w:r>
          <w:rPr>
            <w:noProof/>
            <w:webHidden/>
          </w:rPr>
        </w:r>
        <w:r>
          <w:rPr>
            <w:noProof/>
            <w:webHidden/>
          </w:rPr>
          <w:fldChar w:fldCharType="separate"/>
        </w:r>
        <w:r>
          <w:rPr>
            <w:noProof/>
            <w:webHidden/>
          </w:rPr>
          <w:t>113</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433" w:history="1">
        <w:r w:rsidRPr="00FA7B33">
          <w:rPr>
            <w:rStyle w:val="Hyperlink"/>
            <w:rFonts w:ascii="Arial Bold" w:hAnsi="Arial Bold"/>
            <w:noProof/>
          </w:rPr>
          <w:t>b.</w:t>
        </w:r>
        <w:r>
          <w:rPr>
            <w:rFonts w:asciiTheme="minorHAnsi" w:eastAsiaTheme="minorEastAsia" w:hAnsiTheme="minorHAnsi" w:cstheme="minorBidi"/>
            <w:iCs w:val="0"/>
            <w:noProof/>
            <w:sz w:val="22"/>
            <w:szCs w:val="22"/>
          </w:rPr>
          <w:tab/>
        </w:r>
        <w:r w:rsidRPr="00FA7B33">
          <w:rPr>
            <w:rStyle w:val="Hyperlink"/>
            <w:noProof/>
          </w:rPr>
          <w:t>Tympanostomy</w:t>
        </w:r>
        <w:r>
          <w:rPr>
            <w:noProof/>
            <w:webHidden/>
          </w:rPr>
          <w:tab/>
        </w:r>
        <w:r>
          <w:rPr>
            <w:noProof/>
            <w:webHidden/>
          </w:rPr>
          <w:fldChar w:fldCharType="begin"/>
        </w:r>
        <w:r>
          <w:rPr>
            <w:noProof/>
            <w:webHidden/>
          </w:rPr>
          <w:instrText xml:space="preserve"> PAGEREF _Toc394643433 \h </w:instrText>
        </w:r>
        <w:r>
          <w:rPr>
            <w:noProof/>
            <w:webHidden/>
          </w:rPr>
        </w:r>
        <w:r>
          <w:rPr>
            <w:noProof/>
            <w:webHidden/>
          </w:rPr>
          <w:fldChar w:fldCharType="separate"/>
        </w:r>
        <w:r>
          <w:rPr>
            <w:noProof/>
            <w:webHidden/>
          </w:rPr>
          <w:t>113</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434" w:history="1">
        <w:r w:rsidRPr="00FA7B33">
          <w:rPr>
            <w:rStyle w:val="Hyperlink"/>
            <w:rFonts w:ascii="Arial Bold" w:hAnsi="Arial Bold"/>
            <w:noProof/>
          </w:rPr>
          <w:t>c.</w:t>
        </w:r>
        <w:r>
          <w:rPr>
            <w:rFonts w:asciiTheme="minorHAnsi" w:eastAsiaTheme="minorEastAsia" w:hAnsiTheme="minorHAnsi" w:cstheme="minorBidi"/>
            <w:iCs w:val="0"/>
            <w:noProof/>
            <w:sz w:val="22"/>
            <w:szCs w:val="22"/>
          </w:rPr>
          <w:tab/>
        </w:r>
        <w:r w:rsidRPr="00FA7B33">
          <w:rPr>
            <w:rStyle w:val="Hyperlink"/>
            <w:noProof/>
          </w:rPr>
          <w:t>Middle Ear Exploration</w:t>
        </w:r>
        <w:r>
          <w:rPr>
            <w:noProof/>
            <w:webHidden/>
          </w:rPr>
          <w:tab/>
        </w:r>
        <w:r>
          <w:rPr>
            <w:noProof/>
            <w:webHidden/>
          </w:rPr>
          <w:fldChar w:fldCharType="begin"/>
        </w:r>
        <w:r>
          <w:rPr>
            <w:noProof/>
            <w:webHidden/>
          </w:rPr>
          <w:instrText xml:space="preserve"> PAGEREF _Toc394643434 \h </w:instrText>
        </w:r>
        <w:r>
          <w:rPr>
            <w:noProof/>
            <w:webHidden/>
          </w:rPr>
        </w:r>
        <w:r>
          <w:rPr>
            <w:noProof/>
            <w:webHidden/>
          </w:rPr>
          <w:fldChar w:fldCharType="separate"/>
        </w:r>
        <w:r>
          <w:rPr>
            <w:noProof/>
            <w:webHidden/>
          </w:rPr>
          <w:t>113</w:t>
        </w:r>
        <w:r>
          <w:rPr>
            <w:noProof/>
            <w:webHidden/>
          </w:rPr>
          <w:fldChar w:fldCharType="end"/>
        </w:r>
      </w:hyperlink>
    </w:p>
    <w:p w:rsidR="00203DF3" w:rsidRDefault="00203DF3">
      <w:pPr>
        <w:pStyle w:val="TOC3"/>
        <w:tabs>
          <w:tab w:val="left" w:pos="2160"/>
          <w:tab w:val="right" w:leader="dot" w:pos="9350"/>
        </w:tabs>
        <w:rPr>
          <w:rFonts w:asciiTheme="minorHAnsi" w:eastAsiaTheme="minorEastAsia" w:hAnsiTheme="minorHAnsi" w:cstheme="minorBidi"/>
          <w:iCs w:val="0"/>
          <w:noProof/>
          <w:sz w:val="22"/>
          <w:szCs w:val="22"/>
        </w:rPr>
      </w:pPr>
      <w:hyperlink w:anchor="_Toc394643435" w:history="1">
        <w:r w:rsidRPr="00FA7B33">
          <w:rPr>
            <w:rStyle w:val="Hyperlink"/>
            <w:rFonts w:ascii="Arial Bold" w:hAnsi="Arial Bold"/>
            <w:noProof/>
          </w:rPr>
          <w:t>d.</w:t>
        </w:r>
        <w:r>
          <w:rPr>
            <w:rFonts w:asciiTheme="minorHAnsi" w:eastAsiaTheme="minorEastAsia" w:hAnsiTheme="minorHAnsi" w:cstheme="minorBidi"/>
            <w:iCs w:val="0"/>
            <w:noProof/>
            <w:sz w:val="22"/>
            <w:szCs w:val="22"/>
          </w:rPr>
          <w:tab/>
        </w:r>
        <w:r w:rsidRPr="00FA7B33">
          <w:rPr>
            <w:rStyle w:val="Hyperlink"/>
            <w:noProof/>
          </w:rPr>
          <w:t>Vestibular Nerve Section</w:t>
        </w:r>
        <w:r>
          <w:rPr>
            <w:noProof/>
            <w:webHidden/>
          </w:rPr>
          <w:tab/>
        </w:r>
        <w:r>
          <w:rPr>
            <w:noProof/>
            <w:webHidden/>
          </w:rPr>
          <w:fldChar w:fldCharType="begin"/>
        </w:r>
        <w:r>
          <w:rPr>
            <w:noProof/>
            <w:webHidden/>
          </w:rPr>
          <w:instrText xml:space="preserve"> PAGEREF _Toc394643435 \h </w:instrText>
        </w:r>
        <w:r>
          <w:rPr>
            <w:noProof/>
            <w:webHidden/>
          </w:rPr>
        </w:r>
        <w:r>
          <w:rPr>
            <w:noProof/>
            <w:webHidden/>
          </w:rPr>
          <w:fldChar w:fldCharType="separate"/>
        </w:r>
        <w:r>
          <w:rPr>
            <w:noProof/>
            <w:webHidden/>
          </w:rPr>
          <w:t>114</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36" w:history="1">
        <w:r w:rsidRPr="00FA7B33">
          <w:rPr>
            <w:rStyle w:val="Hyperlink"/>
            <w:noProof/>
          </w:rPr>
          <w:t>8.</w:t>
        </w:r>
        <w:r>
          <w:rPr>
            <w:rFonts w:asciiTheme="minorHAnsi" w:eastAsiaTheme="minorEastAsia" w:hAnsiTheme="minorHAnsi" w:cstheme="minorBidi"/>
            <w:caps w:val="0"/>
            <w:noProof/>
            <w:sz w:val="22"/>
            <w:szCs w:val="22"/>
          </w:rPr>
          <w:tab/>
        </w:r>
        <w:r w:rsidRPr="00FA7B33">
          <w:rPr>
            <w:rStyle w:val="Hyperlink"/>
            <w:noProof/>
          </w:rPr>
          <w:t>DECOMPRESSION OF FACIAL NERVE</w:t>
        </w:r>
        <w:r>
          <w:rPr>
            <w:noProof/>
            <w:webHidden/>
          </w:rPr>
          <w:tab/>
        </w:r>
        <w:r>
          <w:rPr>
            <w:noProof/>
            <w:webHidden/>
          </w:rPr>
          <w:fldChar w:fldCharType="begin"/>
        </w:r>
        <w:r>
          <w:rPr>
            <w:noProof/>
            <w:webHidden/>
          </w:rPr>
          <w:instrText xml:space="preserve"> PAGEREF _Toc394643436 \h </w:instrText>
        </w:r>
        <w:r>
          <w:rPr>
            <w:noProof/>
            <w:webHidden/>
          </w:rPr>
        </w:r>
        <w:r>
          <w:rPr>
            <w:noProof/>
            <w:webHidden/>
          </w:rPr>
          <w:fldChar w:fldCharType="separate"/>
        </w:r>
        <w:r>
          <w:rPr>
            <w:noProof/>
            <w:webHidden/>
          </w:rPr>
          <w:t>114</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37" w:history="1">
        <w:r w:rsidRPr="00FA7B33">
          <w:rPr>
            <w:rStyle w:val="Hyperlink"/>
            <w:noProof/>
          </w:rPr>
          <w:t>9.</w:t>
        </w:r>
        <w:r>
          <w:rPr>
            <w:rFonts w:asciiTheme="minorHAnsi" w:eastAsiaTheme="minorEastAsia" w:hAnsiTheme="minorHAnsi" w:cstheme="minorBidi"/>
            <w:caps w:val="0"/>
            <w:noProof/>
            <w:sz w:val="22"/>
            <w:szCs w:val="22"/>
          </w:rPr>
          <w:tab/>
        </w:r>
        <w:r w:rsidRPr="00FA7B33">
          <w:rPr>
            <w:rStyle w:val="Hyperlink"/>
            <w:noProof/>
          </w:rPr>
          <w:t>OTHER CRANIAL NERVE REPAIR OR DECOMPRESSION</w:t>
        </w:r>
        <w:r>
          <w:rPr>
            <w:noProof/>
            <w:webHidden/>
          </w:rPr>
          <w:tab/>
        </w:r>
        <w:r>
          <w:rPr>
            <w:noProof/>
            <w:webHidden/>
          </w:rPr>
          <w:fldChar w:fldCharType="begin"/>
        </w:r>
        <w:r>
          <w:rPr>
            <w:noProof/>
            <w:webHidden/>
          </w:rPr>
          <w:instrText xml:space="preserve"> PAGEREF _Toc394643437 \h </w:instrText>
        </w:r>
        <w:r>
          <w:rPr>
            <w:noProof/>
            <w:webHidden/>
          </w:rPr>
        </w:r>
        <w:r>
          <w:rPr>
            <w:noProof/>
            <w:webHidden/>
          </w:rPr>
          <w:fldChar w:fldCharType="separate"/>
        </w:r>
        <w:r>
          <w:rPr>
            <w:noProof/>
            <w:webHidden/>
          </w:rPr>
          <w:t>114</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38" w:history="1">
        <w:r w:rsidRPr="00FA7B33">
          <w:rPr>
            <w:rStyle w:val="Hyperlink"/>
            <w:noProof/>
          </w:rPr>
          <w:t>10.</w:t>
        </w:r>
        <w:r>
          <w:rPr>
            <w:rFonts w:asciiTheme="minorHAnsi" w:eastAsiaTheme="minorEastAsia" w:hAnsiTheme="minorHAnsi" w:cstheme="minorBidi"/>
            <w:caps w:val="0"/>
            <w:noProof/>
            <w:sz w:val="22"/>
            <w:szCs w:val="22"/>
          </w:rPr>
          <w:tab/>
        </w:r>
        <w:r w:rsidRPr="00FA7B33">
          <w:rPr>
            <w:rStyle w:val="Hyperlink"/>
            <w:noProof/>
          </w:rPr>
          <w:t>VASCULAR INJURY</w:t>
        </w:r>
        <w:r>
          <w:rPr>
            <w:noProof/>
            <w:webHidden/>
          </w:rPr>
          <w:tab/>
        </w:r>
        <w:r>
          <w:rPr>
            <w:noProof/>
            <w:webHidden/>
          </w:rPr>
          <w:fldChar w:fldCharType="begin"/>
        </w:r>
        <w:r>
          <w:rPr>
            <w:noProof/>
            <w:webHidden/>
          </w:rPr>
          <w:instrText xml:space="preserve"> PAGEREF _Toc394643438 \h </w:instrText>
        </w:r>
        <w:r>
          <w:rPr>
            <w:noProof/>
            <w:webHidden/>
          </w:rPr>
        </w:r>
        <w:r>
          <w:rPr>
            <w:noProof/>
            <w:webHidden/>
          </w:rPr>
          <w:fldChar w:fldCharType="separate"/>
        </w:r>
        <w:r>
          <w:rPr>
            <w:noProof/>
            <w:webHidden/>
          </w:rPr>
          <w:t>114</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39" w:history="1">
        <w:r w:rsidRPr="00FA7B33">
          <w:rPr>
            <w:rStyle w:val="Hyperlink"/>
            <w:noProof/>
          </w:rPr>
          <w:t>11.</w:t>
        </w:r>
        <w:r>
          <w:rPr>
            <w:rFonts w:asciiTheme="minorHAnsi" w:eastAsiaTheme="minorEastAsia" w:hAnsiTheme="minorHAnsi" w:cstheme="minorBidi"/>
            <w:caps w:val="0"/>
            <w:noProof/>
            <w:sz w:val="22"/>
            <w:szCs w:val="22"/>
          </w:rPr>
          <w:tab/>
        </w:r>
        <w:r w:rsidRPr="00FA7B33">
          <w:rPr>
            <w:rStyle w:val="Hyperlink"/>
            <w:noProof/>
          </w:rPr>
          <w:t>PERIPHERAL NERVE INJURY</w:t>
        </w:r>
        <w:r>
          <w:rPr>
            <w:noProof/>
            <w:webHidden/>
          </w:rPr>
          <w:tab/>
        </w:r>
        <w:r>
          <w:rPr>
            <w:noProof/>
            <w:webHidden/>
          </w:rPr>
          <w:fldChar w:fldCharType="begin"/>
        </w:r>
        <w:r>
          <w:rPr>
            <w:noProof/>
            <w:webHidden/>
          </w:rPr>
          <w:instrText xml:space="preserve"> PAGEREF _Toc394643439 \h </w:instrText>
        </w:r>
        <w:r>
          <w:rPr>
            <w:noProof/>
            <w:webHidden/>
          </w:rPr>
        </w:r>
        <w:r>
          <w:rPr>
            <w:noProof/>
            <w:webHidden/>
          </w:rPr>
          <w:fldChar w:fldCharType="separate"/>
        </w:r>
        <w:r>
          <w:rPr>
            <w:noProof/>
            <w:webHidden/>
          </w:rPr>
          <w:t>114</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40" w:history="1">
        <w:r w:rsidRPr="00FA7B33">
          <w:rPr>
            <w:rStyle w:val="Hyperlink"/>
            <w:noProof/>
          </w:rPr>
          <w:t>12.</w:t>
        </w:r>
        <w:r>
          <w:rPr>
            <w:rFonts w:asciiTheme="minorHAnsi" w:eastAsiaTheme="minorEastAsia" w:hAnsiTheme="minorHAnsi" w:cstheme="minorBidi"/>
            <w:caps w:val="0"/>
            <w:noProof/>
            <w:sz w:val="22"/>
            <w:szCs w:val="22"/>
          </w:rPr>
          <w:tab/>
        </w:r>
        <w:r w:rsidRPr="00FA7B33">
          <w:rPr>
            <w:rStyle w:val="Hyperlink"/>
            <w:noProof/>
          </w:rPr>
          <w:t>ORTHOPEDIC</w:t>
        </w:r>
        <w:r>
          <w:rPr>
            <w:noProof/>
            <w:webHidden/>
          </w:rPr>
          <w:tab/>
        </w:r>
        <w:r>
          <w:rPr>
            <w:noProof/>
            <w:webHidden/>
          </w:rPr>
          <w:fldChar w:fldCharType="begin"/>
        </w:r>
        <w:r>
          <w:rPr>
            <w:noProof/>
            <w:webHidden/>
          </w:rPr>
          <w:instrText xml:space="preserve"> PAGEREF _Toc394643440 \h </w:instrText>
        </w:r>
        <w:r>
          <w:rPr>
            <w:noProof/>
            <w:webHidden/>
          </w:rPr>
        </w:r>
        <w:r>
          <w:rPr>
            <w:noProof/>
            <w:webHidden/>
          </w:rPr>
          <w:fldChar w:fldCharType="separate"/>
        </w:r>
        <w:r>
          <w:rPr>
            <w:noProof/>
            <w:webHidden/>
          </w:rPr>
          <w:t>114</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41" w:history="1">
        <w:r w:rsidRPr="00FA7B33">
          <w:rPr>
            <w:rStyle w:val="Hyperlink"/>
            <w:noProof/>
          </w:rPr>
          <w:t>13.</w:t>
        </w:r>
        <w:r>
          <w:rPr>
            <w:rFonts w:asciiTheme="minorHAnsi" w:eastAsiaTheme="minorEastAsia" w:hAnsiTheme="minorHAnsi" w:cstheme="minorBidi"/>
            <w:caps w:val="0"/>
            <w:noProof/>
            <w:sz w:val="22"/>
            <w:szCs w:val="22"/>
          </w:rPr>
          <w:tab/>
        </w:r>
        <w:r w:rsidRPr="00FA7B33">
          <w:rPr>
            <w:rStyle w:val="Hyperlink"/>
            <w:noProof/>
          </w:rPr>
          <w:t>SPASTICITY</w:t>
        </w:r>
        <w:r>
          <w:rPr>
            <w:noProof/>
            <w:webHidden/>
          </w:rPr>
          <w:tab/>
        </w:r>
        <w:r>
          <w:rPr>
            <w:noProof/>
            <w:webHidden/>
          </w:rPr>
          <w:fldChar w:fldCharType="begin"/>
        </w:r>
        <w:r>
          <w:rPr>
            <w:noProof/>
            <w:webHidden/>
          </w:rPr>
          <w:instrText xml:space="preserve"> PAGEREF _Toc394643441 \h </w:instrText>
        </w:r>
        <w:r>
          <w:rPr>
            <w:noProof/>
            <w:webHidden/>
          </w:rPr>
        </w:r>
        <w:r>
          <w:rPr>
            <w:noProof/>
            <w:webHidden/>
          </w:rPr>
          <w:fldChar w:fldCharType="separate"/>
        </w:r>
        <w:r>
          <w:rPr>
            <w:noProof/>
            <w:webHidden/>
          </w:rPr>
          <w:t>115</w:t>
        </w:r>
        <w:r>
          <w:rPr>
            <w:noProof/>
            <w:webHidden/>
          </w:rPr>
          <w:fldChar w:fldCharType="end"/>
        </w:r>
      </w:hyperlink>
    </w:p>
    <w:p w:rsidR="00203DF3" w:rsidRDefault="00203DF3">
      <w:pPr>
        <w:pStyle w:val="TOC1"/>
        <w:tabs>
          <w:tab w:val="right" w:leader="dot" w:pos="9350"/>
        </w:tabs>
        <w:rPr>
          <w:rFonts w:asciiTheme="minorHAnsi" w:eastAsiaTheme="minorEastAsia" w:hAnsiTheme="minorHAnsi" w:cstheme="minorBidi"/>
          <w:b w:val="0"/>
          <w:bCs w:val="0"/>
          <w:caps w:val="0"/>
          <w:noProof/>
          <w:sz w:val="22"/>
          <w:szCs w:val="22"/>
        </w:rPr>
      </w:pPr>
      <w:hyperlink w:anchor="_Toc394643442" w:history="1">
        <w:r w:rsidRPr="00FA7B33">
          <w:rPr>
            <w:rStyle w:val="Hyperlink"/>
            <w:noProof/>
          </w:rPr>
          <w:t>m.</w:t>
        </w:r>
        <w:r>
          <w:rPr>
            <w:rFonts w:asciiTheme="minorHAnsi" w:eastAsiaTheme="minorEastAsia" w:hAnsiTheme="minorHAnsi" w:cstheme="minorBidi"/>
            <w:b w:val="0"/>
            <w:bCs w:val="0"/>
            <w:caps w:val="0"/>
            <w:noProof/>
            <w:sz w:val="22"/>
            <w:szCs w:val="22"/>
          </w:rPr>
          <w:tab/>
        </w:r>
        <w:r w:rsidRPr="00FA7B33">
          <w:rPr>
            <w:rStyle w:val="Hyperlink"/>
            <w:noProof/>
          </w:rPr>
          <w:t>MAINTENANCE MANAGEMENT</w:t>
        </w:r>
        <w:r>
          <w:rPr>
            <w:noProof/>
            <w:webHidden/>
          </w:rPr>
          <w:tab/>
        </w:r>
        <w:r>
          <w:rPr>
            <w:noProof/>
            <w:webHidden/>
          </w:rPr>
          <w:fldChar w:fldCharType="begin"/>
        </w:r>
        <w:r>
          <w:rPr>
            <w:noProof/>
            <w:webHidden/>
          </w:rPr>
          <w:instrText xml:space="preserve"> PAGEREF _Toc394643442 \h </w:instrText>
        </w:r>
        <w:r>
          <w:rPr>
            <w:noProof/>
            <w:webHidden/>
          </w:rPr>
        </w:r>
        <w:r>
          <w:rPr>
            <w:noProof/>
            <w:webHidden/>
          </w:rPr>
          <w:fldChar w:fldCharType="separate"/>
        </w:r>
        <w:r>
          <w:rPr>
            <w:noProof/>
            <w:webHidden/>
          </w:rPr>
          <w:t>116</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43" w:history="1">
        <w:r w:rsidRPr="00FA7B33">
          <w:rPr>
            <w:rStyle w:val="Hyperlink"/>
            <w:noProof/>
          </w:rPr>
          <w:t>1.</w:t>
        </w:r>
        <w:r>
          <w:rPr>
            <w:rFonts w:asciiTheme="minorHAnsi" w:eastAsiaTheme="minorEastAsia" w:hAnsiTheme="minorHAnsi" w:cstheme="minorBidi"/>
            <w:caps w:val="0"/>
            <w:noProof/>
            <w:sz w:val="22"/>
            <w:szCs w:val="22"/>
          </w:rPr>
          <w:tab/>
        </w:r>
        <w:r w:rsidRPr="00FA7B33">
          <w:rPr>
            <w:rStyle w:val="Hyperlink"/>
            <w:noProof/>
          </w:rPr>
          <w:t>GENERAL PRINCIPLES</w:t>
        </w:r>
        <w:r>
          <w:rPr>
            <w:noProof/>
            <w:webHidden/>
          </w:rPr>
          <w:tab/>
        </w:r>
        <w:r>
          <w:rPr>
            <w:noProof/>
            <w:webHidden/>
          </w:rPr>
          <w:fldChar w:fldCharType="begin"/>
        </w:r>
        <w:r>
          <w:rPr>
            <w:noProof/>
            <w:webHidden/>
          </w:rPr>
          <w:instrText xml:space="preserve"> PAGEREF _Toc394643443 \h </w:instrText>
        </w:r>
        <w:r>
          <w:rPr>
            <w:noProof/>
            <w:webHidden/>
          </w:rPr>
        </w:r>
        <w:r>
          <w:rPr>
            <w:noProof/>
            <w:webHidden/>
          </w:rPr>
          <w:fldChar w:fldCharType="separate"/>
        </w:r>
        <w:r>
          <w:rPr>
            <w:noProof/>
            <w:webHidden/>
          </w:rPr>
          <w:t>116</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44" w:history="1">
        <w:r w:rsidRPr="00FA7B33">
          <w:rPr>
            <w:rStyle w:val="Hyperlink"/>
            <w:noProof/>
          </w:rPr>
          <w:t>2.</w:t>
        </w:r>
        <w:r>
          <w:rPr>
            <w:rFonts w:asciiTheme="minorHAnsi" w:eastAsiaTheme="minorEastAsia" w:hAnsiTheme="minorHAnsi" w:cstheme="minorBidi"/>
            <w:caps w:val="0"/>
            <w:noProof/>
            <w:sz w:val="22"/>
            <w:szCs w:val="22"/>
          </w:rPr>
          <w:tab/>
        </w:r>
        <w:r w:rsidRPr="00FA7B33">
          <w:rPr>
            <w:rStyle w:val="Hyperlink"/>
            <w:noProof/>
          </w:rPr>
          <w:t>COGNITIVE/BEHAVIORAL/PSYCHOLOGICAL MANAGEMENT</w:t>
        </w:r>
        <w:r>
          <w:rPr>
            <w:noProof/>
            <w:webHidden/>
          </w:rPr>
          <w:tab/>
        </w:r>
        <w:r>
          <w:rPr>
            <w:noProof/>
            <w:webHidden/>
          </w:rPr>
          <w:fldChar w:fldCharType="begin"/>
        </w:r>
        <w:r>
          <w:rPr>
            <w:noProof/>
            <w:webHidden/>
          </w:rPr>
          <w:instrText xml:space="preserve"> PAGEREF _Toc394643444 \h </w:instrText>
        </w:r>
        <w:r>
          <w:rPr>
            <w:noProof/>
            <w:webHidden/>
          </w:rPr>
        </w:r>
        <w:r>
          <w:rPr>
            <w:noProof/>
            <w:webHidden/>
          </w:rPr>
          <w:fldChar w:fldCharType="separate"/>
        </w:r>
        <w:r>
          <w:rPr>
            <w:noProof/>
            <w:webHidden/>
          </w:rPr>
          <w:t>117</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45" w:history="1">
        <w:r w:rsidRPr="00FA7B33">
          <w:rPr>
            <w:rStyle w:val="Hyperlink"/>
            <w:noProof/>
          </w:rPr>
          <w:t>3.</w:t>
        </w:r>
        <w:r>
          <w:rPr>
            <w:rFonts w:asciiTheme="minorHAnsi" w:eastAsiaTheme="minorEastAsia" w:hAnsiTheme="minorHAnsi" w:cstheme="minorBidi"/>
            <w:caps w:val="0"/>
            <w:noProof/>
            <w:sz w:val="22"/>
            <w:szCs w:val="22"/>
          </w:rPr>
          <w:tab/>
        </w:r>
        <w:r w:rsidRPr="00FA7B33">
          <w:rPr>
            <w:rStyle w:val="Hyperlink"/>
            <w:noProof/>
          </w:rPr>
          <w:t>EXERCISE PROGRAMS REQUIRING SPECIAL FACILITIES</w:t>
        </w:r>
        <w:r>
          <w:rPr>
            <w:noProof/>
            <w:webHidden/>
          </w:rPr>
          <w:tab/>
        </w:r>
        <w:r>
          <w:rPr>
            <w:noProof/>
            <w:webHidden/>
          </w:rPr>
          <w:fldChar w:fldCharType="begin"/>
        </w:r>
        <w:r>
          <w:rPr>
            <w:noProof/>
            <w:webHidden/>
          </w:rPr>
          <w:instrText xml:space="preserve"> PAGEREF _Toc394643445 \h </w:instrText>
        </w:r>
        <w:r>
          <w:rPr>
            <w:noProof/>
            <w:webHidden/>
          </w:rPr>
        </w:r>
        <w:r>
          <w:rPr>
            <w:noProof/>
            <w:webHidden/>
          </w:rPr>
          <w:fldChar w:fldCharType="separate"/>
        </w:r>
        <w:r>
          <w:rPr>
            <w:noProof/>
            <w:webHidden/>
          </w:rPr>
          <w:t>118</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46" w:history="1">
        <w:r w:rsidRPr="00FA7B33">
          <w:rPr>
            <w:rStyle w:val="Hyperlink"/>
            <w:noProof/>
          </w:rPr>
          <w:t>4.</w:t>
        </w:r>
        <w:r>
          <w:rPr>
            <w:rFonts w:asciiTheme="minorHAnsi" w:eastAsiaTheme="minorEastAsia" w:hAnsiTheme="minorHAnsi" w:cstheme="minorBidi"/>
            <w:caps w:val="0"/>
            <w:noProof/>
            <w:sz w:val="22"/>
            <w:szCs w:val="22"/>
          </w:rPr>
          <w:tab/>
        </w:r>
        <w:r w:rsidRPr="00FA7B33">
          <w:rPr>
            <w:rStyle w:val="Hyperlink"/>
            <w:noProof/>
          </w:rPr>
          <w:t>HOME EXERCISE PROGRAMS AND EXERCISE EQUIPMENT</w:t>
        </w:r>
        <w:r>
          <w:rPr>
            <w:noProof/>
            <w:webHidden/>
          </w:rPr>
          <w:tab/>
        </w:r>
        <w:r>
          <w:rPr>
            <w:noProof/>
            <w:webHidden/>
          </w:rPr>
          <w:fldChar w:fldCharType="begin"/>
        </w:r>
        <w:r>
          <w:rPr>
            <w:noProof/>
            <w:webHidden/>
          </w:rPr>
          <w:instrText xml:space="preserve"> PAGEREF _Toc394643446 \h </w:instrText>
        </w:r>
        <w:r>
          <w:rPr>
            <w:noProof/>
            <w:webHidden/>
          </w:rPr>
        </w:r>
        <w:r>
          <w:rPr>
            <w:noProof/>
            <w:webHidden/>
          </w:rPr>
          <w:fldChar w:fldCharType="separate"/>
        </w:r>
        <w:r>
          <w:rPr>
            <w:noProof/>
            <w:webHidden/>
          </w:rPr>
          <w:t>118</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47" w:history="1">
        <w:r w:rsidRPr="00FA7B33">
          <w:rPr>
            <w:rStyle w:val="Hyperlink"/>
            <w:noProof/>
          </w:rPr>
          <w:t>5.</w:t>
        </w:r>
        <w:r>
          <w:rPr>
            <w:rFonts w:asciiTheme="minorHAnsi" w:eastAsiaTheme="minorEastAsia" w:hAnsiTheme="minorHAnsi" w:cstheme="minorBidi"/>
            <w:caps w:val="0"/>
            <w:noProof/>
            <w:sz w:val="22"/>
            <w:szCs w:val="22"/>
          </w:rPr>
          <w:tab/>
        </w:r>
        <w:r w:rsidRPr="00FA7B33">
          <w:rPr>
            <w:rStyle w:val="Hyperlink"/>
            <w:noProof/>
          </w:rPr>
          <w:t>LONG-TERM RESIDENTIAL CARE</w:t>
        </w:r>
        <w:r>
          <w:rPr>
            <w:noProof/>
            <w:webHidden/>
          </w:rPr>
          <w:tab/>
        </w:r>
        <w:r>
          <w:rPr>
            <w:noProof/>
            <w:webHidden/>
          </w:rPr>
          <w:fldChar w:fldCharType="begin"/>
        </w:r>
        <w:r>
          <w:rPr>
            <w:noProof/>
            <w:webHidden/>
          </w:rPr>
          <w:instrText xml:space="preserve"> PAGEREF _Toc394643447 \h </w:instrText>
        </w:r>
        <w:r>
          <w:rPr>
            <w:noProof/>
            <w:webHidden/>
          </w:rPr>
        </w:r>
        <w:r>
          <w:rPr>
            <w:noProof/>
            <w:webHidden/>
          </w:rPr>
          <w:fldChar w:fldCharType="separate"/>
        </w:r>
        <w:r>
          <w:rPr>
            <w:noProof/>
            <w:webHidden/>
          </w:rPr>
          <w:t>118</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48" w:history="1">
        <w:r w:rsidRPr="00FA7B33">
          <w:rPr>
            <w:rStyle w:val="Hyperlink"/>
            <w:noProof/>
          </w:rPr>
          <w:t>6.</w:t>
        </w:r>
        <w:r>
          <w:rPr>
            <w:rFonts w:asciiTheme="minorHAnsi" w:eastAsiaTheme="minorEastAsia" w:hAnsiTheme="minorHAnsi" w:cstheme="minorBidi"/>
            <w:caps w:val="0"/>
            <w:noProof/>
            <w:sz w:val="22"/>
            <w:szCs w:val="22"/>
          </w:rPr>
          <w:tab/>
        </w:r>
        <w:r w:rsidRPr="00FA7B33">
          <w:rPr>
            <w:rStyle w:val="Hyperlink"/>
            <w:noProof/>
          </w:rPr>
          <w:t>MAINTENANCE HOME CARE</w:t>
        </w:r>
        <w:r>
          <w:rPr>
            <w:noProof/>
            <w:webHidden/>
          </w:rPr>
          <w:tab/>
        </w:r>
        <w:r>
          <w:rPr>
            <w:noProof/>
            <w:webHidden/>
          </w:rPr>
          <w:fldChar w:fldCharType="begin"/>
        </w:r>
        <w:r>
          <w:rPr>
            <w:noProof/>
            <w:webHidden/>
          </w:rPr>
          <w:instrText xml:space="preserve"> PAGEREF _Toc394643448 \h </w:instrText>
        </w:r>
        <w:r>
          <w:rPr>
            <w:noProof/>
            <w:webHidden/>
          </w:rPr>
        </w:r>
        <w:r>
          <w:rPr>
            <w:noProof/>
            <w:webHidden/>
          </w:rPr>
          <w:fldChar w:fldCharType="separate"/>
        </w:r>
        <w:r>
          <w:rPr>
            <w:noProof/>
            <w:webHidden/>
          </w:rPr>
          <w:t>119</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49" w:history="1">
        <w:r w:rsidRPr="00FA7B33">
          <w:rPr>
            <w:rStyle w:val="Hyperlink"/>
            <w:noProof/>
          </w:rPr>
          <w:t>7.</w:t>
        </w:r>
        <w:r>
          <w:rPr>
            <w:rFonts w:asciiTheme="minorHAnsi" w:eastAsiaTheme="minorEastAsia" w:hAnsiTheme="minorHAnsi" w:cstheme="minorBidi"/>
            <w:caps w:val="0"/>
            <w:noProof/>
            <w:sz w:val="22"/>
            <w:szCs w:val="22"/>
          </w:rPr>
          <w:tab/>
        </w:r>
        <w:r w:rsidRPr="00FA7B33">
          <w:rPr>
            <w:rStyle w:val="Hyperlink"/>
            <w:noProof/>
          </w:rPr>
          <w:t>MEDICATION MANAGEMENT</w:t>
        </w:r>
        <w:r>
          <w:rPr>
            <w:noProof/>
            <w:webHidden/>
          </w:rPr>
          <w:tab/>
        </w:r>
        <w:r>
          <w:rPr>
            <w:noProof/>
            <w:webHidden/>
          </w:rPr>
          <w:fldChar w:fldCharType="begin"/>
        </w:r>
        <w:r>
          <w:rPr>
            <w:noProof/>
            <w:webHidden/>
          </w:rPr>
          <w:instrText xml:space="preserve"> PAGEREF _Toc394643449 \h </w:instrText>
        </w:r>
        <w:r>
          <w:rPr>
            <w:noProof/>
            <w:webHidden/>
          </w:rPr>
        </w:r>
        <w:r>
          <w:rPr>
            <w:noProof/>
            <w:webHidden/>
          </w:rPr>
          <w:fldChar w:fldCharType="separate"/>
        </w:r>
        <w:r>
          <w:rPr>
            <w:noProof/>
            <w:webHidden/>
          </w:rPr>
          <w:t>119</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50" w:history="1">
        <w:r w:rsidRPr="00FA7B33">
          <w:rPr>
            <w:rStyle w:val="Hyperlink"/>
            <w:noProof/>
          </w:rPr>
          <w:t>8.</w:t>
        </w:r>
        <w:r>
          <w:rPr>
            <w:rFonts w:asciiTheme="minorHAnsi" w:eastAsiaTheme="minorEastAsia" w:hAnsiTheme="minorHAnsi" w:cstheme="minorBidi"/>
            <w:caps w:val="0"/>
            <w:noProof/>
            <w:sz w:val="22"/>
            <w:szCs w:val="22"/>
          </w:rPr>
          <w:tab/>
        </w:r>
        <w:r w:rsidRPr="00FA7B33">
          <w:rPr>
            <w:rStyle w:val="Hyperlink"/>
            <w:noProof/>
          </w:rPr>
          <w:t>NEUROMEDICAL MANAGEMENT</w:t>
        </w:r>
        <w:r>
          <w:rPr>
            <w:noProof/>
            <w:webHidden/>
          </w:rPr>
          <w:tab/>
        </w:r>
        <w:r>
          <w:rPr>
            <w:noProof/>
            <w:webHidden/>
          </w:rPr>
          <w:fldChar w:fldCharType="begin"/>
        </w:r>
        <w:r>
          <w:rPr>
            <w:noProof/>
            <w:webHidden/>
          </w:rPr>
          <w:instrText xml:space="preserve"> PAGEREF _Toc394643450 \h </w:instrText>
        </w:r>
        <w:r>
          <w:rPr>
            <w:noProof/>
            <w:webHidden/>
          </w:rPr>
        </w:r>
        <w:r>
          <w:rPr>
            <w:noProof/>
            <w:webHidden/>
          </w:rPr>
          <w:fldChar w:fldCharType="separate"/>
        </w:r>
        <w:r>
          <w:rPr>
            <w:noProof/>
            <w:webHidden/>
          </w:rPr>
          <w:t>120</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51" w:history="1">
        <w:r w:rsidRPr="00FA7B33">
          <w:rPr>
            <w:rStyle w:val="Hyperlink"/>
            <w:noProof/>
          </w:rPr>
          <w:t>9.</w:t>
        </w:r>
        <w:r>
          <w:rPr>
            <w:rFonts w:asciiTheme="minorHAnsi" w:eastAsiaTheme="minorEastAsia" w:hAnsiTheme="minorHAnsi" w:cstheme="minorBidi"/>
            <w:caps w:val="0"/>
            <w:noProof/>
            <w:sz w:val="22"/>
            <w:szCs w:val="22"/>
          </w:rPr>
          <w:tab/>
        </w:r>
        <w:r w:rsidRPr="00FA7B33">
          <w:rPr>
            <w:rStyle w:val="Hyperlink"/>
            <w:noProof/>
          </w:rPr>
          <w:t>PATIENT EDUCATION MANAGEMENT</w:t>
        </w:r>
        <w:r>
          <w:rPr>
            <w:noProof/>
            <w:webHidden/>
          </w:rPr>
          <w:tab/>
        </w:r>
        <w:r>
          <w:rPr>
            <w:noProof/>
            <w:webHidden/>
          </w:rPr>
          <w:fldChar w:fldCharType="begin"/>
        </w:r>
        <w:r>
          <w:rPr>
            <w:noProof/>
            <w:webHidden/>
          </w:rPr>
          <w:instrText xml:space="preserve"> PAGEREF _Toc394643451 \h </w:instrText>
        </w:r>
        <w:r>
          <w:rPr>
            <w:noProof/>
            <w:webHidden/>
          </w:rPr>
        </w:r>
        <w:r>
          <w:rPr>
            <w:noProof/>
            <w:webHidden/>
          </w:rPr>
          <w:fldChar w:fldCharType="separate"/>
        </w:r>
        <w:r>
          <w:rPr>
            <w:noProof/>
            <w:webHidden/>
          </w:rPr>
          <w:t>120</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52" w:history="1">
        <w:r w:rsidRPr="00FA7B33">
          <w:rPr>
            <w:rStyle w:val="Hyperlink"/>
            <w:noProof/>
          </w:rPr>
          <w:t>10.</w:t>
        </w:r>
        <w:r>
          <w:rPr>
            <w:rFonts w:asciiTheme="minorHAnsi" w:eastAsiaTheme="minorEastAsia" w:hAnsiTheme="minorHAnsi" w:cstheme="minorBidi"/>
            <w:caps w:val="0"/>
            <w:noProof/>
            <w:sz w:val="22"/>
            <w:szCs w:val="22"/>
          </w:rPr>
          <w:tab/>
        </w:r>
        <w:r w:rsidRPr="00FA7B33">
          <w:rPr>
            <w:rStyle w:val="Hyperlink"/>
            <w:noProof/>
          </w:rPr>
          <w:t>PHYSICAL, OCCUPATIONAL, and Speech-Language THERAPY</w:t>
        </w:r>
        <w:r>
          <w:rPr>
            <w:noProof/>
            <w:webHidden/>
          </w:rPr>
          <w:tab/>
        </w:r>
        <w:r>
          <w:rPr>
            <w:noProof/>
            <w:webHidden/>
          </w:rPr>
          <w:fldChar w:fldCharType="begin"/>
        </w:r>
        <w:r>
          <w:rPr>
            <w:noProof/>
            <w:webHidden/>
          </w:rPr>
          <w:instrText xml:space="preserve"> PAGEREF _Toc394643452 \h </w:instrText>
        </w:r>
        <w:r>
          <w:rPr>
            <w:noProof/>
            <w:webHidden/>
          </w:rPr>
        </w:r>
        <w:r>
          <w:rPr>
            <w:noProof/>
            <w:webHidden/>
          </w:rPr>
          <w:fldChar w:fldCharType="separate"/>
        </w:r>
        <w:r>
          <w:rPr>
            <w:noProof/>
            <w:webHidden/>
          </w:rPr>
          <w:t>120</w:t>
        </w:r>
        <w:r>
          <w:rPr>
            <w:noProof/>
            <w:webHidden/>
          </w:rPr>
          <w:fldChar w:fldCharType="end"/>
        </w:r>
      </w:hyperlink>
    </w:p>
    <w:p w:rsidR="00203DF3" w:rsidRDefault="00203DF3">
      <w:pPr>
        <w:pStyle w:val="TOC2"/>
        <w:tabs>
          <w:tab w:val="left" w:pos="1440"/>
          <w:tab w:val="right" w:leader="dot" w:pos="9350"/>
        </w:tabs>
        <w:rPr>
          <w:rFonts w:asciiTheme="minorHAnsi" w:eastAsiaTheme="minorEastAsia" w:hAnsiTheme="minorHAnsi" w:cstheme="minorBidi"/>
          <w:caps w:val="0"/>
          <w:noProof/>
          <w:sz w:val="22"/>
          <w:szCs w:val="22"/>
        </w:rPr>
      </w:pPr>
      <w:hyperlink w:anchor="_Toc394643453" w:history="1">
        <w:r w:rsidRPr="00FA7B33">
          <w:rPr>
            <w:rStyle w:val="Hyperlink"/>
            <w:noProof/>
          </w:rPr>
          <w:t>11.</w:t>
        </w:r>
        <w:r>
          <w:rPr>
            <w:rFonts w:asciiTheme="minorHAnsi" w:eastAsiaTheme="minorEastAsia" w:hAnsiTheme="minorHAnsi" w:cstheme="minorBidi"/>
            <w:caps w:val="0"/>
            <w:noProof/>
            <w:sz w:val="22"/>
            <w:szCs w:val="22"/>
          </w:rPr>
          <w:tab/>
        </w:r>
        <w:r w:rsidRPr="00FA7B33">
          <w:rPr>
            <w:rStyle w:val="Hyperlink"/>
            <w:noProof/>
          </w:rPr>
          <w:t>PURCHASE, RENTAL, AND MAINTENANCE OF DURABLE MEDICAL EQUIPMENT</w:t>
        </w:r>
        <w:r>
          <w:rPr>
            <w:noProof/>
            <w:webHidden/>
          </w:rPr>
          <w:tab/>
        </w:r>
        <w:r>
          <w:rPr>
            <w:noProof/>
            <w:webHidden/>
          </w:rPr>
          <w:fldChar w:fldCharType="begin"/>
        </w:r>
        <w:r>
          <w:rPr>
            <w:noProof/>
            <w:webHidden/>
          </w:rPr>
          <w:instrText xml:space="preserve"> PAGEREF _Toc394643453 \h </w:instrText>
        </w:r>
        <w:r>
          <w:rPr>
            <w:noProof/>
            <w:webHidden/>
          </w:rPr>
        </w:r>
        <w:r>
          <w:rPr>
            <w:noProof/>
            <w:webHidden/>
          </w:rPr>
          <w:fldChar w:fldCharType="separate"/>
        </w:r>
        <w:r>
          <w:rPr>
            <w:noProof/>
            <w:webHidden/>
          </w:rPr>
          <w:t>120</w:t>
        </w:r>
        <w:r>
          <w:rPr>
            <w:noProof/>
            <w:webHidden/>
          </w:rPr>
          <w:fldChar w:fldCharType="end"/>
        </w:r>
      </w:hyperlink>
    </w:p>
    <w:p w:rsidR="00692A63" w:rsidRPr="004E28BB" w:rsidRDefault="00E268ED" w:rsidP="00692A63">
      <w:pPr>
        <w:pStyle w:val="CCRTitle"/>
        <w:outlineLvl w:val="0"/>
        <w:rPr>
          <w:sz w:val="20"/>
          <w:szCs w:val="20"/>
        </w:rPr>
      </w:pPr>
      <w:r w:rsidRPr="004E28BB">
        <w:rPr>
          <w:sz w:val="20"/>
          <w:szCs w:val="20"/>
        </w:rPr>
        <w:fldChar w:fldCharType="end"/>
      </w:r>
    </w:p>
    <w:p w:rsidR="00C70C7D" w:rsidRPr="004E28BB" w:rsidRDefault="00C70C7D" w:rsidP="00E268ED">
      <w:pPr>
        <w:pStyle w:val="Department"/>
        <w:rPr>
          <w:sz w:val="20"/>
          <w:szCs w:val="20"/>
        </w:rPr>
        <w:sectPr w:rsidR="00C70C7D" w:rsidRPr="004E28BB" w:rsidSect="00C70C7D">
          <w:headerReference w:type="even" r:id="rId10"/>
          <w:headerReference w:type="default" r:id="rId11"/>
          <w:headerReference w:type="first" r:id="rId12"/>
          <w:pgSz w:w="12240" w:h="15840" w:code="1"/>
          <w:pgMar w:top="1440" w:right="1440" w:bottom="1440" w:left="1440" w:header="720" w:footer="720" w:gutter="0"/>
          <w:cols w:space="720"/>
          <w:docGrid w:linePitch="326"/>
        </w:sectPr>
      </w:pPr>
    </w:p>
    <w:p w:rsidR="00E268ED" w:rsidRPr="004E28BB" w:rsidRDefault="00E268ED" w:rsidP="00E268ED">
      <w:pPr>
        <w:pStyle w:val="Department"/>
      </w:pPr>
      <w:r w:rsidRPr="004E28BB">
        <w:lastRenderedPageBreak/>
        <w:t>DEPARTMENT OF LABOR AND EMPLOYMENT</w:t>
      </w:r>
    </w:p>
    <w:p w:rsidR="00E268ED" w:rsidRPr="004E28BB" w:rsidRDefault="00E268ED" w:rsidP="00E268ED">
      <w:pPr>
        <w:pStyle w:val="Agency"/>
      </w:pPr>
      <w:r w:rsidRPr="004E28BB">
        <w:t>Division of Workers’ Compensation</w:t>
      </w:r>
    </w:p>
    <w:p w:rsidR="00E268ED" w:rsidRPr="004E28BB" w:rsidRDefault="00E268ED" w:rsidP="00E268ED">
      <w:pPr>
        <w:pStyle w:val="CCRNumber"/>
      </w:pPr>
      <w:r w:rsidRPr="004E28BB">
        <w:t>CCR 1101-3</w:t>
      </w:r>
    </w:p>
    <w:p w:rsidR="00E268ED" w:rsidRPr="004E28BB" w:rsidRDefault="00E268ED" w:rsidP="00E268ED">
      <w:pPr>
        <w:pStyle w:val="BlockText"/>
        <w:jc w:val="center"/>
        <w:rPr>
          <w:b/>
          <w:bCs/>
        </w:rPr>
      </w:pPr>
      <w:r w:rsidRPr="004E28BB">
        <w:rPr>
          <w:b/>
          <w:bCs/>
        </w:rPr>
        <w:t>RULE 17 EXHIBIT 10</w:t>
      </w:r>
    </w:p>
    <w:p w:rsidR="00E268ED" w:rsidRPr="004E28BB" w:rsidRDefault="00E268ED" w:rsidP="00E268ED"/>
    <w:p w:rsidR="00E268ED" w:rsidRPr="004E28BB" w:rsidRDefault="00E268ED" w:rsidP="00E268ED">
      <w:pPr>
        <w:pStyle w:val="Title1"/>
        <w:rPr>
          <w:u w:val="single"/>
        </w:rPr>
      </w:pPr>
      <w:r w:rsidRPr="004E28BB">
        <w:rPr>
          <w:u w:val="single"/>
        </w:rPr>
        <w:t>TRAUMATIC BRAIN INJURY MEDICAL TREATMENT GUIDELINES</w:t>
      </w:r>
    </w:p>
    <w:p w:rsidR="00E268ED" w:rsidRPr="004E28BB" w:rsidRDefault="00E268ED" w:rsidP="00E268ED"/>
    <w:p w:rsidR="008C125E" w:rsidRPr="004E28BB" w:rsidRDefault="00E268ED" w:rsidP="00D41D04">
      <w:pPr>
        <w:pStyle w:val="Guide1-ABC"/>
      </w:pPr>
      <w:bookmarkStart w:id="3" w:name="_Toc319922401"/>
      <w:bookmarkStart w:id="4" w:name="_Toc326822121"/>
      <w:bookmarkStart w:id="5" w:name="_Toc394643161"/>
      <w:r w:rsidRPr="004E28BB">
        <w:t>INTRODUCTION</w:t>
      </w:r>
      <w:bookmarkEnd w:id="3"/>
      <w:bookmarkEnd w:id="4"/>
      <w:bookmarkEnd w:id="5"/>
    </w:p>
    <w:p w:rsidR="00E268ED" w:rsidRPr="004E28BB" w:rsidRDefault="00E268ED" w:rsidP="00D41D04">
      <w:pPr>
        <w:pStyle w:val="Guide-Main"/>
        <w:ind w:left="720"/>
      </w:pPr>
      <w:r w:rsidRPr="004E28BB">
        <w:rPr>
          <w:rStyle w:val="Guide-MainChar"/>
        </w:rPr>
        <w:t xml:space="preserve">This document has been prepared by the Colorado Department of Labor and Employment, Division of Workers’ Compensation (Division) and should be interpreted within the context of guidelines for physicians/providers treating individuals </w:t>
      </w:r>
      <w:r w:rsidR="0020584E">
        <w:rPr>
          <w:rStyle w:val="Guide-MainChar"/>
        </w:rPr>
        <w:t xml:space="preserve">who </w:t>
      </w:r>
      <w:r w:rsidRPr="004E28BB">
        <w:rPr>
          <w:rStyle w:val="Guide-MainChar"/>
        </w:rPr>
        <w:t>qualify</w:t>
      </w:r>
      <w:r w:rsidR="00202675">
        <w:rPr>
          <w:rStyle w:val="Guide-MainChar"/>
        </w:rPr>
        <w:t xml:space="preserve"> </w:t>
      </w:r>
      <w:r w:rsidR="0020584E" w:rsidRPr="004E28BB">
        <w:rPr>
          <w:rStyle w:val="Guide-MainChar"/>
        </w:rPr>
        <w:t>as injured workers with traumatic brain injury (TBI)</w:t>
      </w:r>
      <w:r w:rsidR="0020584E">
        <w:rPr>
          <w:rStyle w:val="Guide-MainChar"/>
        </w:rPr>
        <w:t xml:space="preserve"> </w:t>
      </w:r>
      <w:r w:rsidRPr="004E28BB">
        <w:rPr>
          <w:rStyle w:val="Guide-MainChar"/>
        </w:rPr>
        <w:t xml:space="preserve">under </w:t>
      </w:r>
      <w:r w:rsidR="0020584E">
        <w:rPr>
          <w:rStyle w:val="Guide-MainChar"/>
        </w:rPr>
        <w:t xml:space="preserve">the </w:t>
      </w:r>
      <w:smartTag w:uri="urn:schemas-microsoft-com:office:smarttags" w:element="State">
        <w:smartTag w:uri="urn:schemas-microsoft-com:office:smarttags" w:element="place">
          <w:r w:rsidRPr="004E28BB">
            <w:rPr>
              <w:rStyle w:val="Guide-MainChar"/>
            </w:rPr>
            <w:t>Colorado</w:t>
          </w:r>
        </w:smartTag>
      </w:smartTag>
      <w:r w:rsidRPr="004E28BB">
        <w:rPr>
          <w:rStyle w:val="Guide-MainChar"/>
        </w:rPr>
        <w:t xml:space="preserve"> Workers’ Compensation Act. </w:t>
      </w:r>
      <w:r w:rsidRPr="004E28BB">
        <w:rPr>
          <w:rStyle w:val="Guide-MainChar"/>
        </w:rPr>
        <w:br/>
      </w:r>
      <w:r w:rsidRPr="004E28BB">
        <w:rPr>
          <w:rStyle w:val="Guide-MainChar"/>
        </w:rPr>
        <w:br/>
        <w:t>Although the primary purposes of this document for practitioners are advisory and educational, th</w:t>
      </w:r>
      <w:r w:rsidR="006433BA">
        <w:rPr>
          <w:rStyle w:val="Guide-MainChar"/>
        </w:rPr>
        <w:t>is</w:t>
      </w:r>
      <w:r w:rsidRPr="004E28BB">
        <w:rPr>
          <w:rStyle w:val="Guide-MainChar"/>
        </w:rPr>
        <w:t xml:space="preserve"> guideline </w:t>
      </w:r>
      <w:r w:rsidR="006433BA">
        <w:rPr>
          <w:rStyle w:val="Guide-MainChar"/>
        </w:rPr>
        <w:t>is</w:t>
      </w:r>
      <w:r w:rsidRPr="004E28BB">
        <w:rPr>
          <w:rStyle w:val="Guide-MainChar"/>
        </w:rPr>
        <w:t xml:space="preserve"> enforceable under the Workers’ Compensation Rules of Procedure, 7 CCR 1101-3. The Division recognizes that acceptable medical practice may include deviations from th</w:t>
      </w:r>
      <w:r w:rsidR="006433BA">
        <w:rPr>
          <w:rStyle w:val="Guide-MainChar"/>
        </w:rPr>
        <w:t>is</w:t>
      </w:r>
      <w:r w:rsidRPr="004E28BB">
        <w:rPr>
          <w:rStyle w:val="Guide-MainChar"/>
        </w:rPr>
        <w:t xml:space="preserve"> guideline, as individual cases dictate. Therefore, th</w:t>
      </w:r>
      <w:r w:rsidR="006433BA">
        <w:rPr>
          <w:rStyle w:val="Guide-MainChar"/>
        </w:rPr>
        <w:t>is</w:t>
      </w:r>
      <w:r w:rsidRPr="004E28BB">
        <w:rPr>
          <w:rStyle w:val="Guide-MainChar"/>
        </w:rPr>
        <w:t xml:space="preserve"> guideline </w:t>
      </w:r>
      <w:r w:rsidR="006433BA">
        <w:rPr>
          <w:rStyle w:val="Guide-MainChar"/>
        </w:rPr>
        <w:t>is</w:t>
      </w:r>
      <w:r w:rsidRPr="004E28BB">
        <w:rPr>
          <w:rStyle w:val="Guide-MainChar"/>
        </w:rPr>
        <w:t xml:space="preserve"> not relevant as evidence of a provider’s legal standard of professional care.</w:t>
      </w:r>
      <w:r w:rsidRPr="004E28BB">
        <w:br/>
      </w:r>
      <w:r w:rsidRPr="004E28BB">
        <w:br/>
        <w:t>To properly utilize this document, the reader should not skip or overlook any sections.</w:t>
      </w:r>
    </w:p>
    <w:p w:rsidR="00FE7026" w:rsidRPr="004E28BB" w:rsidRDefault="00E268ED" w:rsidP="00D41D04">
      <w:pPr>
        <w:pStyle w:val="Guide1-ABC"/>
      </w:pPr>
      <w:r w:rsidRPr="004E28BB">
        <w:br w:type="page"/>
      </w:r>
      <w:bookmarkStart w:id="6" w:name="TBIBGeneralGuidelinePrinciples"/>
      <w:bookmarkStart w:id="7" w:name="_Toc319922402"/>
      <w:bookmarkStart w:id="8" w:name="_Toc394643162"/>
      <w:bookmarkEnd w:id="6"/>
      <w:r w:rsidR="00FE7026" w:rsidRPr="004E28BB">
        <w:lastRenderedPageBreak/>
        <w:t>GENERAL GUIDELINE PRINCIPLES</w:t>
      </w:r>
      <w:bookmarkEnd w:id="7"/>
      <w:bookmarkEnd w:id="8"/>
    </w:p>
    <w:p w:rsidR="00FE7026" w:rsidRPr="004E28BB" w:rsidRDefault="00FE7026" w:rsidP="00D41D04">
      <w:pPr>
        <w:ind w:left="720"/>
      </w:pPr>
      <w:r w:rsidRPr="004E28BB">
        <w:t>The principles summarized in this section are key to the intended implementation of th</w:t>
      </w:r>
      <w:r w:rsidR="006433BA">
        <w:t>is</w:t>
      </w:r>
      <w:r w:rsidRPr="004E28BB">
        <w:t xml:space="preserve"> guideline and are critical to the reader's application of the guidelines in this document.</w:t>
      </w:r>
    </w:p>
    <w:p w:rsidR="00FE7026" w:rsidRPr="004E28BB" w:rsidRDefault="00FE7026" w:rsidP="00D41D04">
      <w:pPr>
        <w:pStyle w:val="ListNumber2"/>
      </w:pPr>
      <w:bookmarkStart w:id="9" w:name="_Toc319922403"/>
      <w:bookmarkStart w:id="10" w:name="_Toc394643163"/>
      <w:r w:rsidRPr="004E28BB">
        <w:rPr>
          <w:rStyle w:val="Guide2-123Char"/>
        </w:rPr>
        <w:t>APPLICATION OF GUIDELINES</w:t>
      </w:r>
      <w:bookmarkEnd w:id="9"/>
      <w:bookmarkEnd w:id="10"/>
      <w:r w:rsidR="004855C6" w:rsidRPr="004E28BB">
        <w:t>:</w:t>
      </w:r>
      <w:r w:rsidRPr="004E28BB">
        <w:t xml:space="preserve"> The Division provides procedures to implement medical treatment guidelines and to foster communication to resolve disputes among the provider, payer</w:t>
      </w:r>
      <w:r w:rsidR="00F23C3D">
        <w:t>,</w:t>
      </w:r>
      <w:r w:rsidRPr="004E28BB">
        <w:t xml:space="preserve"> and patient through the Workers' Compensation Rules of Procedure. In lieu of more costly litigation, parties may wish to seek administrative dispute resolution services through the Division or the </w:t>
      </w:r>
      <w:r w:rsidR="00F23C3D">
        <w:t>O</w:t>
      </w:r>
      <w:r w:rsidRPr="004E28BB">
        <w:t xml:space="preserve">ffice of </w:t>
      </w:r>
      <w:r w:rsidR="00F23C3D">
        <w:t>A</w:t>
      </w:r>
      <w:r w:rsidRPr="004E28BB">
        <w:t xml:space="preserve">dministrative </w:t>
      </w:r>
      <w:r w:rsidR="00F23C3D">
        <w:t>C</w:t>
      </w:r>
      <w:r w:rsidRPr="004E28BB">
        <w:t>ourts.</w:t>
      </w:r>
    </w:p>
    <w:p w:rsidR="00FE7026" w:rsidRPr="004E28BB" w:rsidRDefault="00FE7026" w:rsidP="00D41D04">
      <w:pPr>
        <w:pStyle w:val="ListNumber2"/>
      </w:pPr>
      <w:bookmarkStart w:id="11" w:name="_Toc319922404"/>
      <w:bookmarkStart w:id="12" w:name="_Toc394643164"/>
      <w:r w:rsidRPr="004E28BB">
        <w:rPr>
          <w:rStyle w:val="Guide2-123Char"/>
        </w:rPr>
        <w:t>EDUCATION</w:t>
      </w:r>
      <w:bookmarkEnd w:id="11"/>
      <w:bookmarkEnd w:id="12"/>
      <w:r w:rsidR="004855C6" w:rsidRPr="004E28BB">
        <w:t>:</w:t>
      </w:r>
      <w:r w:rsidRPr="004E28BB">
        <w:t xml:space="preserve"> </w:t>
      </w:r>
      <w:r w:rsidR="004855C6">
        <w:t xml:space="preserve">Education </w:t>
      </w:r>
      <w:r w:rsidRPr="004E28BB">
        <w:t>of the individual and family</w:t>
      </w:r>
      <w:r w:rsidR="00387A03">
        <w:t xml:space="preserve"> and</w:t>
      </w:r>
      <w:r w:rsidRPr="004E28BB">
        <w:t>/</w:t>
      </w:r>
      <w:r w:rsidR="00387A03">
        <w:t xml:space="preserve">or </w:t>
      </w:r>
      <w:r w:rsidRPr="004E28BB">
        <w:t>support system, as well as the employer, insurer, policy makers</w:t>
      </w:r>
      <w:r w:rsidR="004855C6">
        <w:t>,</w:t>
      </w:r>
      <w:r w:rsidRPr="004E28BB">
        <w:t xml:space="preserve"> and the community should be the primary emphasis in the treatment of TBI and disability. Practitioners often think of education last, after medications, manual therapy</w:t>
      </w:r>
      <w:r w:rsidR="00F23C3D">
        <w:t>,</w:t>
      </w:r>
      <w:r w:rsidRPr="004E28BB">
        <w:t xml:space="preserve"> and surgery. Practitioners </w:t>
      </w:r>
      <w:r w:rsidR="00CE22B1" w:rsidRPr="004E28BB">
        <w:t>should</w:t>
      </w:r>
      <w:r w:rsidRPr="004E28BB">
        <w:t xml:space="preserve"> develop and implement an effective strategy and skills to educate individuals with TBI, employers, insurance systems, policy makers</w:t>
      </w:r>
      <w:r w:rsidR="00F23C3D">
        <w:t>,</w:t>
      </w:r>
      <w:r w:rsidRPr="004E28BB">
        <w:t xml:space="preserve"> and the community as a whole. An education-based paradigm should always start with inexpensive communication providing reassuring information to the individual with TBI. More in-depth education currently exists within a treatment regimen employing functional restorati</w:t>
      </w:r>
      <w:r w:rsidR="0020584E">
        <w:t>on</w:t>
      </w:r>
      <w:r w:rsidRPr="004E28BB">
        <w:t xml:space="preserve"> and rehabilitation. No treatment plan is complete without addressing issues of individual and family</w:t>
      </w:r>
      <w:r w:rsidR="00387A03">
        <w:t xml:space="preserve"> and</w:t>
      </w:r>
      <w:r w:rsidRPr="004E28BB">
        <w:t>/</w:t>
      </w:r>
      <w:r w:rsidR="00387A03">
        <w:t xml:space="preserve">or </w:t>
      </w:r>
      <w:r w:rsidRPr="004E28BB">
        <w:t>support system education as a means of facilitating self-management of symptoms and prevention.</w:t>
      </w:r>
    </w:p>
    <w:p w:rsidR="00FE7026" w:rsidRPr="004E28BB" w:rsidRDefault="00FE7026" w:rsidP="00D41D04">
      <w:pPr>
        <w:pStyle w:val="ListNumber2"/>
      </w:pPr>
      <w:bookmarkStart w:id="13" w:name="_Toc319922405"/>
      <w:bookmarkStart w:id="14" w:name="_Toc394643165"/>
      <w:r w:rsidRPr="004E28BB">
        <w:rPr>
          <w:rStyle w:val="Guide2-123Char"/>
        </w:rPr>
        <w:t>TREATMENT PARAMETER DURATION</w:t>
      </w:r>
      <w:bookmarkEnd w:id="13"/>
      <w:bookmarkEnd w:id="14"/>
      <w:r w:rsidR="004855C6" w:rsidRPr="004E28BB">
        <w:t>:</w:t>
      </w:r>
      <w:r w:rsidRPr="004E28BB">
        <w:t xml:space="preserve"> Time frames for specific interventions commence once </w:t>
      </w:r>
      <w:r w:rsidRPr="004855C6">
        <w:t>treatments have been initiated</w:t>
      </w:r>
      <w:r w:rsidRPr="004E28BB">
        <w:t xml:space="preserve">, not on the date of injury. Obviously, duration will be impacted by </w:t>
      </w:r>
      <w:r w:rsidR="00F23C3D">
        <w:t xml:space="preserve">the </w:t>
      </w:r>
      <w:r w:rsidRPr="004E28BB">
        <w:t>individual’s compliance, as well as availability of services. Clinical judgment may substantiate the need to accelerate or decelerate the time frames discussed in this document.</w:t>
      </w:r>
    </w:p>
    <w:p w:rsidR="00FE7026" w:rsidRPr="004E28BB" w:rsidRDefault="00FE7026" w:rsidP="00D41D04">
      <w:pPr>
        <w:pStyle w:val="ListNumber2"/>
      </w:pPr>
      <w:bookmarkStart w:id="15" w:name="_Toc319922406"/>
      <w:bookmarkStart w:id="16" w:name="_Toc394643166"/>
      <w:r w:rsidRPr="004E28BB">
        <w:rPr>
          <w:rStyle w:val="Guide2-123Char"/>
        </w:rPr>
        <w:t>ACTIVE INTERVENTIONS</w:t>
      </w:r>
      <w:bookmarkEnd w:id="15"/>
      <w:bookmarkEnd w:id="16"/>
      <w:r w:rsidR="004855C6" w:rsidRPr="004E28BB">
        <w:t>:</w:t>
      </w:r>
      <w:r w:rsidRPr="004E28BB">
        <w:t xml:space="preserve"> </w:t>
      </w:r>
      <w:r w:rsidR="004855C6">
        <w:t>E</w:t>
      </w:r>
      <w:r w:rsidRPr="004E28BB">
        <w:t xml:space="preserve">mphasizing personal responsibility, such as therapeutic exercise and/or functional treatment, are </w:t>
      </w:r>
      <w:r w:rsidR="0069326B" w:rsidRPr="004E28BB">
        <w:t>used predominantly</w:t>
      </w:r>
      <w:r w:rsidRPr="004E28BB">
        <w:t xml:space="preserve"> over passive modalities, especially as treatment progresses. Generally, passive and palliative interventions are viewed as a means to facilitate progress in an active rehabilitation program with concomitant attainment of objective functional gains.</w:t>
      </w:r>
    </w:p>
    <w:p w:rsidR="00FE7026" w:rsidRPr="004E28BB" w:rsidRDefault="00FE7026" w:rsidP="00D41D04">
      <w:pPr>
        <w:pStyle w:val="ListNumber2"/>
      </w:pPr>
      <w:bookmarkStart w:id="17" w:name="_Toc319922407"/>
      <w:bookmarkStart w:id="18" w:name="_Toc394643167"/>
      <w:r w:rsidRPr="004E28BB">
        <w:rPr>
          <w:rStyle w:val="Guide2-123Char"/>
        </w:rPr>
        <w:t>ACTIVE THERAPEUTIC EXERCISE PROGRAM</w:t>
      </w:r>
      <w:bookmarkEnd w:id="17"/>
      <w:bookmarkEnd w:id="18"/>
      <w:r w:rsidR="004855C6" w:rsidRPr="004E28BB">
        <w:t>:</w:t>
      </w:r>
      <w:r w:rsidRPr="004E28BB">
        <w:t xml:space="preserve"> </w:t>
      </w:r>
      <w:r w:rsidR="004855C6">
        <w:t>G</w:t>
      </w:r>
      <w:r w:rsidRPr="004E28BB">
        <w:t>oals should incorporate strength, endurance, flexibility, coordination, and education. This includes functional application in vocational or community settings.</w:t>
      </w:r>
    </w:p>
    <w:p w:rsidR="00FE7026" w:rsidRPr="004E28BB" w:rsidRDefault="00FE7026" w:rsidP="00D41D04">
      <w:pPr>
        <w:pStyle w:val="ListNumber2"/>
      </w:pPr>
      <w:bookmarkStart w:id="19" w:name="_Toc319922408"/>
      <w:bookmarkStart w:id="20" w:name="_Toc394643168"/>
      <w:r w:rsidRPr="004E28BB">
        <w:rPr>
          <w:rStyle w:val="Guide2-123Char"/>
        </w:rPr>
        <w:t>POSITIVE PATIENT RESPONSE</w:t>
      </w:r>
      <w:bookmarkEnd w:id="19"/>
      <w:bookmarkEnd w:id="20"/>
      <w:r w:rsidR="004855C6" w:rsidRPr="004E28BB">
        <w:t>:</w:t>
      </w:r>
      <w:r w:rsidRPr="004E28BB">
        <w:t xml:space="preserve"> </w:t>
      </w:r>
      <w:r w:rsidR="004855C6">
        <w:t>R</w:t>
      </w:r>
      <w:r w:rsidRPr="004E28BB">
        <w:t xml:space="preserve">esults are defined primarily as functional gains which may be objectively measured. Objective functional gains include, but are not limited to, positional tolerances, </w:t>
      </w:r>
      <w:r w:rsidR="007C2488">
        <w:t>range of motion (ROM)</w:t>
      </w:r>
      <w:r w:rsidRPr="004E28BB">
        <w:t>, strength and endurance, activities of daily living</w:t>
      </w:r>
      <w:r w:rsidR="0049733A">
        <w:t xml:space="preserve"> (ADLs)</w:t>
      </w:r>
      <w:r w:rsidRPr="004E28BB">
        <w:t xml:space="preserve">, cognition, psychological behavior, and efficiency/velocity measures </w:t>
      </w:r>
      <w:r w:rsidR="005216A8">
        <w:t>that</w:t>
      </w:r>
      <w:r w:rsidR="005216A8" w:rsidRPr="004E28BB">
        <w:t xml:space="preserve"> </w:t>
      </w:r>
      <w:r w:rsidRPr="004E28BB">
        <w:t xml:space="preserve">may be quantified. Subjective reports of pain and function should be considered and given relative weight when the pain has anatomic and physiologic correlation. Anatomic correlation </w:t>
      </w:r>
      <w:r w:rsidR="00CE22B1" w:rsidRPr="004E28BB">
        <w:t>should</w:t>
      </w:r>
      <w:r w:rsidRPr="004E28BB">
        <w:t xml:space="preserve"> be based upon objective findings.</w:t>
      </w:r>
    </w:p>
    <w:p w:rsidR="00FE7026" w:rsidRPr="004E28BB" w:rsidRDefault="00FE7026" w:rsidP="00D41D04">
      <w:pPr>
        <w:pStyle w:val="ListNumber2"/>
      </w:pPr>
      <w:bookmarkStart w:id="21" w:name="_Toc319922409"/>
      <w:bookmarkStart w:id="22" w:name="_Toc394643169"/>
      <w:r w:rsidRPr="004E28BB">
        <w:rPr>
          <w:rStyle w:val="Guide2-123Char"/>
        </w:rPr>
        <w:t xml:space="preserve">RE-EVALUATE TREATMENT EVERY </w:t>
      </w:r>
      <w:r w:rsidR="004855C6">
        <w:rPr>
          <w:rStyle w:val="Guide2-123Char"/>
        </w:rPr>
        <w:t>THREE</w:t>
      </w:r>
      <w:r w:rsidRPr="004E28BB">
        <w:rPr>
          <w:rStyle w:val="Guide2-123Char"/>
        </w:rPr>
        <w:t xml:space="preserve"> TO </w:t>
      </w:r>
      <w:r w:rsidR="004855C6">
        <w:rPr>
          <w:rStyle w:val="Guide2-123Char"/>
        </w:rPr>
        <w:t>FOUR</w:t>
      </w:r>
      <w:r w:rsidRPr="004E28BB">
        <w:rPr>
          <w:rStyle w:val="Guide2-123Char"/>
        </w:rPr>
        <w:t xml:space="preserve"> WEEKS</w:t>
      </w:r>
      <w:bookmarkEnd w:id="21"/>
      <w:bookmarkEnd w:id="22"/>
      <w:r w:rsidR="004855C6" w:rsidRPr="004E28BB">
        <w:t>:</w:t>
      </w:r>
      <w:r w:rsidRPr="004E28BB">
        <w:t xml:space="preserve"> If a given treatment or modality is not producing positive results within three to four weeks, the treatment should be either modified or discontinued. Reconsideration of </w:t>
      </w:r>
      <w:r w:rsidRPr="004E28BB">
        <w:lastRenderedPageBreak/>
        <w:t>diagnosis should also occur in the event of poor response to a seemingly rational intervention.</w:t>
      </w:r>
    </w:p>
    <w:p w:rsidR="00FE7026" w:rsidRPr="004E28BB" w:rsidRDefault="00FE7026" w:rsidP="00D41D04">
      <w:pPr>
        <w:pStyle w:val="ListNumber2"/>
      </w:pPr>
      <w:bookmarkStart w:id="23" w:name="_Toc319922410"/>
      <w:bookmarkStart w:id="24" w:name="_Toc394643170"/>
      <w:r w:rsidRPr="004E28BB">
        <w:rPr>
          <w:rStyle w:val="Guide2-123Char"/>
        </w:rPr>
        <w:t>SURGICAL INTERVENTIONS</w:t>
      </w:r>
      <w:bookmarkEnd w:id="23"/>
      <w:bookmarkEnd w:id="24"/>
      <w:r w:rsidR="004855C6" w:rsidRPr="004E28BB">
        <w:t>:</w:t>
      </w:r>
      <w:r w:rsidRPr="004E28BB">
        <w:t xml:space="preserve"> </w:t>
      </w:r>
      <w:r w:rsidR="004855C6">
        <w:t>S</w:t>
      </w:r>
      <w:r w:rsidRPr="004E28BB">
        <w:t xml:space="preserve">hould be </w:t>
      </w:r>
      <w:r w:rsidR="0020584E" w:rsidRPr="004E28BB">
        <w:t>con</w:t>
      </w:r>
      <w:r w:rsidR="0020584E">
        <w:t xml:space="preserve">sidered </w:t>
      </w:r>
      <w:r w:rsidRPr="004E28BB">
        <w:t xml:space="preserve">within the context of expected functional outcome and not </w:t>
      </w:r>
      <w:r w:rsidR="0020584E">
        <w:t>solely</w:t>
      </w:r>
      <w:r w:rsidR="0020584E" w:rsidRPr="004E28BB">
        <w:t xml:space="preserve"> </w:t>
      </w:r>
      <w:r w:rsidRPr="004E28BB">
        <w:t xml:space="preserve">for the purpose of pain relief. The concept of "cure" with respect to surgical treatment by itself is generally a misnomer. </w:t>
      </w:r>
      <w:r w:rsidR="0020584E">
        <w:t>C</w:t>
      </w:r>
      <w:r w:rsidRPr="004E28BB">
        <w:t>linical findings, clinical course</w:t>
      </w:r>
      <w:r w:rsidR="007843AB">
        <w:t>,</w:t>
      </w:r>
      <w:r w:rsidRPr="004E28BB">
        <w:t xml:space="preserve"> and diagnostic tests</w:t>
      </w:r>
      <w:r w:rsidR="0020584E">
        <w:t xml:space="preserve"> must be consistent to justify operative interventions</w:t>
      </w:r>
      <w:r w:rsidRPr="004E28BB">
        <w:t>. A comprehensive assimilation of these factors must lead to a specific diagnosis with positive identification of pathologic condition(s).</w:t>
      </w:r>
    </w:p>
    <w:p w:rsidR="00FE7026" w:rsidRPr="004E28BB" w:rsidRDefault="00FE7026" w:rsidP="00D41D04">
      <w:pPr>
        <w:pStyle w:val="ListNumber2"/>
        <w:rPr>
          <w:color w:val="000000"/>
        </w:rPr>
      </w:pPr>
      <w:bookmarkStart w:id="25" w:name="_Toc319922411"/>
      <w:bookmarkStart w:id="26" w:name="_Toc394643171"/>
      <w:r w:rsidRPr="004E28BB">
        <w:rPr>
          <w:rStyle w:val="Guide2-123Char"/>
        </w:rPr>
        <w:t>RETURN TO WORK</w:t>
      </w:r>
      <w:bookmarkEnd w:id="25"/>
      <w:r w:rsidR="004855C6">
        <w:rPr>
          <w:rStyle w:val="Guide2-123Char"/>
        </w:rPr>
        <w:t>:</w:t>
      </w:r>
      <w:bookmarkEnd w:id="26"/>
      <w:r w:rsidRPr="004E28BB">
        <w:t xml:space="preserve"> </w:t>
      </w:r>
      <w:r w:rsidR="004855C6">
        <w:t>F</w:t>
      </w:r>
      <w:r w:rsidRPr="004E28BB">
        <w:t xml:space="preserve">ollowing TBI involves a skillful match between the individual’s abilities (physical, cognitive, emotional, and behavioral) and the work requirements. </w:t>
      </w:r>
      <w:r w:rsidRPr="004E28BB">
        <w:br/>
      </w:r>
      <w:r w:rsidRPr="004E28BB">
        <w:br/>
        <w:t>The practitioner must write detailed restrictions when returning an individual with TBI to limited duty.</w:t>
      </w:r>
      <w:r w:rsidRPr="004E28BB">
        <w:rPr>
          <w:color w:val="000000"/>
        </w:rPr>
        <w:t xml:space="preserve"> </w:t>
      </w:r>
      <w:r w:rsidR="007843AB">
        <w:rPr>
          <w:color w:val="000000"/>
        </w:rPr>
        <w:t>An</w:t>
      </w:r>
      <w:r w:rsidR="007843AB" w:rsidRPr="004E28BB">
        <w:rPr>
          <w:color w:val="000000"/>
        </w:rPr>
        <w:t xml:space="preserve"> </w:t>
      </w:r>
      <w:r w:rsidRPr="004E28BB">
        <w:rPr>
          <w:color w:val="000000"/>
        </w:rPr>
        <w:t>individual with TBI should never be released to "sedentary or light duty" without specific physical or cognitive limitations. The practitioner must understand all of the physical,</w:t>
      </w:r>
      <w:r w:rsidR="0069326B" w:rsidRPr="004E28BB">
        <w:rPr>
          <w:color w:val="000000"/>
        </w:rPr>
        <w:t xml:space="preserve"> visual,</w:t>
      </w:r>
      <w:r w:rsidRPr="004E28BB">
        <w:rPr>
          <w:color w:val="000000"/>
        </w:rPr>
        <w:t xml:space="preserve"> cognitive, emotional and behavioral demands of the individual's job position before returning him/her to full duty and should request clarification of job duties. Clarification should be obtained from the employer or others if necessary, including but not limited to: an occupational health nurse, occupational therapist, physical therapist, speech therapist, vocational rehabilitation specialist, case manager, industrial hygienist, or other appropriately trained professional.</w:t>
      </w:r>
    </w:p>
    <w:p w:rsidR="00FE7026" w:rsidRPr="004E28BB" w:rsidRDefault="00FE7026" w:rsidP="00D41D04">
      <w:pPr>
        <w:pStyle w:val="ListNumber2"/>
      </w:pPr>
      <w:bookmarkStart w:id="27" w:name="_Toc319922412"/>
      <w:bookmarkStart w:id="28" w:name="_Toc394643172"/>
      <w:r w:rsidRPr="004E28BB">
        <w:rPr>
          <w:rStyle w:val="Guide2-123Char"/>
        </w:rPr>
        <w:t>DELAYED RECOVERY</w:t>
      </w:r>
      <w:bookmarkEnd w:id="27"/>
      <w:bookmarkEnd w:id="28"/>
      <w:r w:rsidR="004855C6" w:rsidRPr="004E28BB">
        <w:t>:</w:t>
      </w:r>
      <w:r w:rsidRPr="004E28BB">
        <w:t xml:space="preserve"> All individuals with moderate/severe TBI will require an integrated system of care. For individuals with mild TBI (MTBI), strongly consider requesting a neuropsychological evaluation, if not previously provided. Interdisciplinary rehabilitation treatment and vocational goal setting may need to be initiated for those who are failing to make expected progress 6 to 12 weeks after an injury. In individuals with MTBI, neurological recovery is generally achieved within a range of weeks/months up to one year post-injury</w:t>
      </w:r>
      <w:r w:rsidR="006D5C43">
        <w:rPr>
          <w:rStyle w:val="GuideCitesCharChar"/>
        </w:rPr>
        <w:t xml:space="preserve"> (</w:t>
      </w:r>
      <w:hyperlink w:anchor="McCrea2009" w:history="1">
        <w:r w:rsidR="006D5C43" w:rsidRPr="00E913DB">
          <w:rPr>
            <w:rStyle w:val="Hyperlink"/>
            <w:rFonts w:cs="Arial"/>
            <w:highlight w:val="yellow"/>
          </w:rPr>
          <w:t>McCrea, 2009</w:t>
        </w:r>
      </w:hyperlink>
      <w:r w:rsidRPr="004E28BB">
        <w:rPr>
          <w:rStyle w:val="GuideCitesCharChar"/>
        </w:rPr>
        <w:t>)</w:t>
      </w:r>
      <w:r w:rsidRPr="004E28BB">
        <w:t xml:space="preserve">, but functional improvements may be made beyond one year. Neurological recovery following moderate/severe </w:t>
      </w:r>
      <w:r w:rsidR="0056633D">
        <w:t>TBI</w:t>
      </w:r>
      <w:r w:rsidRPr="004E28BB">
        <w:t xml:space="preserve"> is greatest in the first 12 months post-injury, but may occur for up to two years post-injury, with further functional improvements beyond two years. The Division recognizes that 3</w:t>
      </w:r>
      <w:r w:rsidR="006C6D31" w:rsidRPr="00BB4C86">
        <w:t>–</w:t>
      </w:r>
      <w:r w:rsidRPr="004E28BB">
        <w:t>10% of all industrially injured individuals will not recover within the timelines outlined in this document despite optimal care. Such individuals may require treatment beyond the limits discussed within this document, but such treatment will require clear documentation by the authorized treating practitioner focusing on objective functional gains afforded by further treatment</w:t>
      </w:r>
      <w:bookmarkStart w:id="29" w:name="_Toc319922413"/>
      <w:r w:rsidRPr="004E28BB">
        <w:t>. Moderate/severe TBI may have a prolonged recovery and frequently requires continuing treatment as addressed in the post</w:t>
      </w:r>
      <w:r w:rsidR="007843ED">
        <w:t>-</w:t>
      </w:r>
      <w:r w:rsidRPr="004E28BB">
        <w:t xml:space="preserve">MMI care section. </w:t>
      </w:r>
    </w:p>
    <w:p w:rsidR="00FE7026" w:rsidRPr="004E28BB" w:rsidRDefault="00FE7026" w:rsidP="00D41D04">
      <w:pPr>
        <w:pStyle w:val="ListNumber2"/>
      </w:pPr>
      <w:bookmarkStart w:id="30" w:name="_Toc394643173"/>
      <w:r w:rsidRPr="004E28BB">
        <w:rPr>
          <w:rStyle w:val="Guide2-123Char"/>
        </w:rPr>
        <w:t>GUIDELINE RECOMMENDATIONS AND INCLUSION OF MEDICAL EVIDENCE</w:t>
      </w:r>
      <w:bookmarkEnd w:id="29"/>
      <w:bookmarkEnd w:id="30"/>
      <w:r w:rsidR="004855C6" w:rsidRPr="004E28BB">
        <w:t>:</w:t>
      </w:r>
      <w:r w:rsidR="004855C6">
        <w:t xml:space="preserve"> </w:t>
      </w:r>
      <w:r w:rsidRPr="004E28BB">
        <w:t xml:space="preserve">Guideline recommendations are based on available evidence and/or consensus recommendations. When possible, guideline recommendations will note the level of evidence supporting the treatment recommendation. When interpreting medical evidence statements in the guideline, the following apply: </w:t>
      </w:r>
    </w:p>
    <w:p w:rsidR="00FE7026" w:rsidRPr="004E28BB" w:rsidRDefault="00FE7026" w:rsidP="00D41D04">
      <w:pPr>
        <w:ind w:left="2160" w:hanging="360"/>
      </w:pPr>
      <w:r w:rsidRPr="004E28BB">
        <w:t>●</w:t>
      </w:r>
      <w:r w:rsidRPr="004E28BB">
        <w:tab/>
        <w:t>“Some” means the recommendation considered at least one adequate scientific study, which reported that a treatment was effective.</w:t>
      </w:r>
    </w:p>
    <w:p w:rsidR="00FE7026" w:rsidRPr="004E28BB" w:rsidRDefault="00FE7026" w:rsidP="00D41D04">
      <w:pPr>
        <w:ind w:left="2160" w:hanging="360"/>
      </w:pPr>
      <w:r w:rsidRPr="004E28BB">
        <w:lastRenderedPageBreak/>
        <w:t>●</w:t>
      </w:r>
      <w:r w:rsidRPr="004E28BB">
        <w:tab/>
        <w:t xml:space="preserve">“Good” means the recommendation considered the availability of multiple adequate scientific studies or at least one relevant high-quality scientific study, which reported that a treatment was effective. </w:t>
      </w:r>
    </w:p>
    <w:p w:rsidR="00FE7026" w:rsidRPr="004E28BB" w:rsidRDefault="00FE7026" w:rsidP="00D41D04">
      <w:pPr>
        <w:ind w:left="2160" w:hanging="360"/>
      </w:pPr>
      <w:r w:rsidRPr="004E28BB">
        <w:t>●</w:t>
      </w:r>
      <w:r w:rsidRPr="004E28BB">
        <w:tab/>
        <w:t>“Strong” means the recommendation considered the availability of multiple relevant and high quality scientific studies, which arrived at similar conclusions about the effectiveness of a treatment.</w:t>
      </w:r>
    </w:p>
    <w:p w:rsidR="00FE7026" w:rsidRPr="004E28BB" w:rsidRDefault="00FE7026" w:rsidP="00D41D04">
      <w:pPr>
        <w:ind w:left="2160" w:hanging="360"/>
      </w:pPr>
      <w:r w:rsidRPr="004E28BB">
        <w:t>●</w:t>
      </w:r>
      <w:r w:rsidRPr="004E28BB">
        <w:tab/>
        <w:t>Consensus means the opinion of experienced professionals based on general medical principles. Consensus recommendations are designated in the guideline as “generally well-accepted,” “generally accepted,” “acceptable,” or “well-established.”</w:t>
      </w:r>
    </w:p>
    <w:p w:rsidR="000F7FBF" w:rsidRPr="004E28BB" w:rsidRDefault="000F7FBF" w:rsidP="000F7FBF">
      <w:pPr>
        <w:ind w:left="1440"/>
      </w:pPr>
      <w:r w:rsidRPr="004E28BB">
        <w:t xml:space="preserve">There is limited and varied literature on </w:t>
      </w:r>
      <w:r w:rsidR="00F5511A">
        <w:t>TBI</w:t>
      </w:r>
      <w:r w:rsidRPr="004E28BB">
        <w:t>. Therefore</w:t>
      </w:r>
      <w:r w:rsidR="00067834">
        <w:t>,</w:t>
      </w:r>
      <w:r w:rsidRPr="004E28BB">
        <w:t xml:space="preserve"> many of the studies cited focus on athletes, the military or treatment for strokes.</w:t>
      </w:r>
    </w:p>
    <w:p w:rsidR="00FE7026" w:rsidRPr="004E28BB" w:rsidRDefault="00FE7026" w:rsidP="00D41D04">
      <w:pPr>
        <w:ind w:left="1440"/>
      </w:pPr>
      <w:r w:rsidRPr="004E28BB">
        <w:t xml:space="preserve">All recommendations in this guideline are considered to represent reasonable care in appropriately selected cases, regardless of the level of evidence attached to </w:t>
      </w:r>
      <w:r w:rsidR="00067834">
        <w:t>them</w:t>
      </w:r>
      <w:r w:rsidRPr="004E28BB">
        <w:t>. Those procedures considered inappropriate, unreasonable, or unnecessary, are designated in the guideline as “not recommended.”</w:t>
      </w:r>
    </w:p>
    <w:p w:rsidR="00FE7026" w:rsidRPr="004E28BB" w:rsidRDefault="00FE7026" w:rsidP="00D41D04">
      <w:pPr>
        <w:ind w:left="720"/>
      </w:pPr>
      <w:r w:rsidRPr="004E28BB">
        <w:t>The remainder of this document should be interpreted within the parameters of th</w:t>
      </w:r>
      <w:r w:rsidR="006433BA">
        <w:t>is</w:t>
      </w:r>
      <w:r w:rsidRPr="004E28BB">
        <w:t xml:space="preserve"> guideline principles that may lead to more optimal medical and functional outcomes for injured workers.</w:t>
      </w:r>
    </w:p>
    <w:p w:rsidR="00FE7026" w:rsidRPr="004E28BB" w:rsidRDefault="00FE7026" w:rsidP="00D41D04">
      <w:pPr>
        <w:pStyle w:val="ListNumber2"/>
        <w:sectPr w:rsidR="00FE7026" w:rsidRPr="004E28BB" w:rsidSect="00E47E8A">
          <w:headerReference w:type="even" r:id="rId13"/>
          <w:headerReference w:type="default" r:id="rId14"/>
          <w:footerReference w:type="even" r:id="rId15"/>
          <w:footerReference w:type="default" r:id="rId16"/>
          <w:headerReference w:type="first" r:id="rId17"/>
          <w:pgSz w:w="12240" w:h="15840" w:code="1"/>
          <w:pgMar w:top="1440" w:right="1800" w:bottom="1440" w:left="1800" w:header="720" w:footer="720" w:gutter="0"/>
          <w:pgNumType w:start="1"/>
          <w:cols w:space="720"/>
          <w:docGrid w:linePitch="360"/>
        </w:sectPr>
      </w:pPr>
      <w:bookmarkStart w:id="31" w:name="_Toc319922414"/>
      <w:bookmarkStart w:id="32" w:name="_Toc394643174"/>
      <w:r w:rsidRPr="004E28BB">
        <w:rPr>
          <w:rStyle w:val="Guide2-123Char"/>
        </w:rPr>
        <w:t>PoST MAXIMUM MEDICAL IMPROVEMENT</w:t>
      </w:r>
      <w:r w:rsidR="00B05FF1">
        <w:rPr>
          <w:rStyle w:val="Guide2-123Char"/>
        </w:rPr>
        <w:t xml:space="preserve"> (MMI)</w:t>
      </w:r>
      <w:r w:rsidRPr="004E28BB">
        <w:rPr>
          <w:rStyle w:val="Guide2-123Char"/>
        </w:rPr>
        <w:t xml:space="preserve"> CARE</w:t>
      </w:r>
      <w:bookmarkEnd w:id="31"/>
      <w:bookmarkEnd w:id="32"/>
      <w:r w:rsidRPr="004E28BB">
        <w:t xml:space="preserve">: </w:t>
      </w:r>
      <w:r w:rsidR="004855C6">
        <w:t>T</w:t>
      </w:r>
      <w:r w:rsidRPr="004E28BB">
        <w:t>his document includes recommendations for post</w:t>
      </w:r>
      <w:r w:rsidR="007843ED">
        <w:t>-</w:t>
      </w:r>
      <w:r w:rsidRPr="004E28BB">
        <w:t xml:space="preserve">MMI care </w:t>
      </w:r>
      <w:r w:rsidR="00067834">
        <w:t>in</w:t>
      </w:r>
      <w:r w:rsidR="00067834" w:rsidRPr="004E28BB">
        <w:t xml:space="preserve"> </w:t>
      </w:r>
      <w:r w:rsidRPr="004E28BB">
        <w:t xml:space="preserve">appropriate cases. </w:t>
      </w:r>
      <w:r w:rsidR="00756447">
        <w:t>(r</w:t>
      </w:r>
      <w:r w:rsidRPr="004E28BB">
        <w:t xml:space="preserve">efer to </w:t>
      </w:r>
      <w:r w:rsidR="00811C8B">
        <w:t>S</w:t>
      </w:r>
      <w:r w:rsidRPr="004E28BB">
        <w:t xml:space="preserve">ection </w:t>
      </w:r>
      <w:hyperlink w:anchor="TBIMMaintenanceManagement" w:history="1">
        <w:r w:rsidR="00A4295A" w:rsidRPr="004E28BB">
          <w:rPr>
            <w:rStyle w:val="Hyperlink"/>
          </w:rPr>
          <w:t>M</w:t>
        </w:r>
        <w:r w:rsidR="00B4688C" w:rsidRPr="004E28BB">
          <w:rPr>
            <w:rStyle w:val="Hyperlink"/>
          </w:rPr>
          <w:t>.</w:t>
        </w:r>
        <w:r w:rsidRPr="004E28BB">
          <w:rPr>
            <w:rStyle w:val="Hyperlink"/>
          </w:rPr>
          <w:t xml:space="preserve"> Maintenance Management</w:t>
        </w:r>
      </w:hyperlink>
      <w:r w:rsidR="00756447">
        <w:rPr>
          <w:rFonts w:cs="Times New Roman"/>
        </w:rPr>
        <w:t>)</w:t>
      </w:r>
      <w:r w:rsidR="00B4688C" w:rsidRPr="004E28BB">
        <w:rPr>
          <w:rFonts w:cs="Times New Roman"/>
        </w:rPr>
        <w:t>.</w:t>
      </w:r>
    </w:p>
    <w:p w:rsidR="00FE7026" w:rsidRPr="004E28BB" w:rsidRDefault="00FE7026" w:rsidP="00D41D04">
      <w:pPr>
        <w:pStyle w:val="Guide1-ABC"/>
      </w:pPr>
      <w:bookmarkStart w:id="33" w:name="_Toc394643175"/>
      <w:r w:rsidRPr="004E28BB">
        <w:lastRenderedPageBreak/>
        <w:t>INTRODUCTION TO T</w:t>
      </w:r>
      <w:r w:rsidR="00322E9B">
        <w:t xml:space="preserve">RAUMATIC </w:t>
      </w:r>
      <w:r w:rsidRPr="004E28BB">
        <w:t>B</w:t>
      </w:r>
      <w:r w:rsidR="00322E9B">
        <w:t xml:space="preserve">RAIN </w:t>
      </w:r>
      <w:r w:rsidRPr="004E28BB">
        <w:t>I</w:t>
      </w:r>
      <w:r w:rsidR="00322E9B">
        <w:t>NJURY</w:t>
      </w:r>
      <w:r w:rsidRPr="004E28BB">
        <w:t xml:space="preserve"> AND PHILOSOPHY OF CARE</w:t>
      </w:r>
      <w:bookmarkEnd w:id="33"/>
    </w:p>
    <w:p w:rsidR="00FE7026" w:rsidRPr="004E28BB" w:rsidRDefault="00FE7026" w:rsidP="009C3DC2">
      <w:pPr>
        <w:pStyle w:val="ListNumber2"/>
        <w:numPr>
          <w:ilvl w:val="1"/>
          <w:numId w:val="15"/>
        </w:numPr>
      </w:pPr>
      <w:bookmarkStart w:id="34" w:name="_Toc319922416"/>
      <w:bookmarkStart w:id="35" w:name="_Toc394643176"/>
      <w:r w:rsidRPr="004E28BB">
        <w:rPr>
          <w:rStyle w:val="Guide2-123Char"/>
        </w:rPr>
        <w:t>DEFINITIONS AND DIAGNOSIS OF T</w:t>
      </w:r>
      <w:r w:rsidR="00322E9B">
        <w:rPr>
          <w:rStyle w:val="Guide2-123Char"/>
        </w:rPr>
        <w:t xml:space="preserve">RAUMATIC </w:t>
      </w:r>
      <w:r w:rsidRPr="004E28BB">
        <w:rPr>
          <w:rStyle w:val="Guide2-123Char"/>
        </w:rPr>
        <w:t>B</w:t>
      </w:r>
      <w:r w:rsidR="00322E9B">
        <w:rPr>
          <w:rStyle w:val="Guide2-123Char"/>
        </w:rPr>
        <w:t xml:space="preserve">RAIN </w:t>
      </w:r>
      <w:r w:rsidRPr="004E28BB">
        <w:rPr>
          <w:rStyle w:val="Guide2-123Char"/>
        </w:rPr>
        <w:t>I</w:t>
      </w:r>
      <w:bookmarkEnd w:id="34"/>
      <w:r w:rsidR="00322E9B">
        <w:rPr>
          <w:rStyle w:val="Guide2-123Char"/>
        </w:rPr>
        <w:t>NJURY</w:t>
      </w:r>
      <w:bookmarkEnd w:id="35"/>
      <w:r w:rsidR="00322E9B" w:rsidRPr="004E28BB">
        <w:t>:</w:t>
      </w:r>
      <w:r w:rsidRPr="004E28BB">
        <w:t xml:space="preserve"> Before a diagnosis of TBI is made, the physician </w:t>
      </w:r>
      <w:r w:rsidR="00CE22B1" w:rsidRPr="004E28BB">
        <w:t>should</w:t>
      </w:r>
      <w:r w:rsidRPr="004E28BB">
        <w:t xml:space="preserve"> assess the level of trauma to which the individual was exposed using available objective evidence. </w:t>
      </w:r>
      <w:r w:rsidR="00067834">
        <w:t>According to</w:t>
      </w:r>
      <w:r w:rsidRPr="004E28BB">
        <w:t xml:space="preserve"> the </w:t>
      </w:r>
      <w:smartTag w:uri="urn:schemas-microsoft-com:office:smarttags" w:element="place">
        <w:smartTag w:uri="urn:schemas-microsoft-com:office:smarttags" w:element="PlaceType">
          <w:r w:rsidRPr="004E28BB">
            <w:t>Institute</w:t>
          </w:r>
        </w:smartTag>
        <w:r w:rsidRPr="004E28BB">
          <w:t xml:space="preserve"> of </w:t>
        </w:r>
        <w:smartTag w:uri="urn:schemas-microsoft-com:office:smarttags" w:element="PlaceName">
          <w:r w:rsidRPr="004E28BB">
            <w:t>Medicine</w:t>
          </w:r>
        </w:smartTag>
      </w:smartTag>
      <w:r w:rsidRPr="004E28BB">
        <w:t xml:space="preserve"> of the National Academies, TBI is an injury to the head or brain caused by ex</w:t>
      </w:r>
      <w:r w:rsidR="007F2A10" w:rsidRPr="004E28BB">
        <w:t>ternally inflicted trauma. The D</w:t>
      </w:r>
      <w:r w:rsidRPr="004E28BB">
        <w:t xml:space="preserve">epartment of </w:t>
      </w:r>
      <w:r w:rsidR="007F2A10" w:rsidRPr="004E28BB">
        <w:t>D</w:t>
      </w:r>
      <w:r w:rsidRPr="004E28BB">
        <w:t xml:space="preserve">efense defines TBI as a “traumatically induced structural injury and/or physiological disruption of brain functions as a result of an external force.” TBI may be caused by a bump, blow, or jolt to the head, by acceleration or deceleration forces without impact, </w:t>
      </w:r>
      <w:r w:rsidR="00932EE6">
        <w:t xml:space="preserve">or </w:t>
      </w:r>
      <w:r w:rsidRPr="004E28BB">
        <w:t xml:space="preserve">by </w:t>
      </w:r>
      <w:r w:rsidR="002C443D" w:rsidRPr="004E28BB">
        <w:t xml:space="preserve">blast injury or </w:t>
      </w:r>
      <w:r w:rsidRPr="004E28BB">
        <w:t>penetration to the head that disrupts the normal function of the brain</w:t>
      </w:r>
      <w:r w:rsidR="008D519C" w:rsidRPr="004E28BB">
        <w:rPr>
          <w:rStyle w:val="GuideCitesCharChar"/>
        </w:rPr>
        <w:t xml:space="preserve"> </w:t>
      </w:r>
      <w:r w:rsidR="008D519C" w:rsidRPr="004C5C4F">
        <w:rPr>
          <w:rStyle w:val="GuideCitesCharChar"/>
          <w:highlight w:val="yellow"/>
        </w:rPr>
        <w:t>(</w:t>
      </w:r>
      <w:hyperlink w:anchor="VetsDOD2009" w:history="1">
        <w:r w:rsidR="008608D6" w:rsidRPr="00E913DB">
          <w:rPr>
            <w:rStyle w:val="Hyperlink"/>
            <w:rFonts w:cs="Arial"/>
            <w:highlight w:val="yellow"/>
          </w:rPr>
          <w:t>Veteran’s Affairs Department of Defense [</w:t>
        </w:r>
        <w:r w:rsidR="008D519C" w:rsidRPr="00E913DB">
          <w:rPr>
            <w:rStyle w:val="Hyperlink"/>
            <w:rFonts w:cs="Arial"/>
            <w:highlight w:val="yellow"/>
          </w:rPr>
          <w:t>VADoD</w:t>
        </w:r>
        <w:r w:rsidR="008608D6" w:rsidRPr="00E913DB">
          <w:rPr>
            <w:rStyle w:val="Hyperlink"/>
            <w:rFonts w:cs="Arial"/>
            <w:highlight w:val="yellow"/>
          </w:rPr>
          <w:t>]</w:t>
        </w:r>
        <w:r w:rsidR="008D519C" w:rsidRPr="00E913DB">
          <w:rPr>
            <w:rStyle w:val="Hyperlink"/>
            <w:rFonts w:cs="Arial"/>
            <w:highlight w:val="yellow"/>
          </w:rPr>
          <w:t>, 2009</w:t>
        </w:r>
      </w:hyperlink>
      <w:r w:rsidR="008D519C" w:rsidRPr="004C5C4F">
        <w:rPr>
          <w:rStyle w:val="GuideCitesCharChar"/>
          <w:highlight w:val="yellow"/>
        </w:rPr>
        <w:t>)</w:t>
      </w:r>
      <w:r w:rsidRPr="004E28BB">
        <w:t xml:space="preserve">. A diagnosis of TBI is based on acute injury parameters and should be determined by the criteria listed below. Severity of initial impairment following </w:t>
      </w:r>
      <w:r w:rsidR="0056633D">
        <w:t>TBI</w:t>
      </w:r>
      <w:r w:rsidRPr="004E28BB">
        <w:t xml:space="preserve"> is subdivided into two major categories, mild TBI and moderate/severe TBI. These definitions apply to the initial severity of impairment, and do not necessarily define or describe the degree of subsequent impairment or disability.</w:t>
      </w:r>
    </w:p>
    <w:p w:rsidR="00FE7026" w:rsidRPr="004E28BB" w:rsidRDefault="00FE7026" w:rsidP="00D41D04">
      <w:pPr>
        <w:pStyle w:val="ListNumber3"/>
      </w:pPr>
      <w:bookmarkStart w:id="36" w:name="_Toc319922417"/>
      <w:bookmarkStart w:id="37" w:name="_Toc394643177"/>
      <w:r w:rsidRPr="004E28BB">
        <w:rPr>
          <w:rStyle w:val="Guide3-abcdChar"/>
        </w:rPr>
        <w:t>Mild TBI (MTBI)</w:t>
      </w:r>
      <w:bookmarkEnd w:id="36"/>
      <w:bookmarkEnd w:id="37"/>
      <w:r w:rsidRPr="004E28BB">
        <w:t xml:space="preserve">: </w:t>
      </w:r>
      <w:r w:rsidR="00322E9B">
        <w:t>A</w:t>
      </w:r>
      <w:r w:rsidRPr="004E28BB">
        <w:t xml:space="preserve"> traumatically induced physiological disruption of brain function, as manifested b</w:t>
      </w:r>
      <w:r w:rsidR="002C443D" w:rsidRPr="004E28BB">
        <w:t>y at least one of the following, documented within 24 to 72 hours of an injury</w:t>
      </w:r>
      <w:r w:rsidR="002C443D" w:rsidRPr="004E28BB">
        <w:rPr>
          <w:rStyle w:val="GuideCitesCharChar"/>
        </w:rPr>
        <w:t xml:space="preserve"> </w:t>
      </w:r>
      <w:r w:rsidRPr="004C5C4F">
        <w:rPr>
          <w:rStyle w:val="GuideCitesCharChar"/>
          <w:highlight w:val="yellow"/>
        </w:rPr>
        <w:t>(</w:t>
      </w:r>
      <w:hyperlink w:anchor="AmConRehabMed1993" w:history="1">
        <w:r w:rsidRPr="00E913DB">
          <w:rPr>
            <w:rStyle w:val="Hyperlink"/>
            <w:rFonts w:cs="Arial"/>
            <w:highlight w:val="yellow"/>
          </w:rPr>
          <w:t>American Congress of Rehabilitation Medicine</w:t>
        </w:r>
        <w:r w:rsidR="009C7427" w:rsidRPr="00E913DB">
          <w:rPr>
            <w:rStyle w:val="Hyperlink"/>
            <w:rFonts w:cs="Arial"/>
            <w:highlight w:val="yellow"/>
          </w:rPr>
          <w:t>, 1993</w:t>
        </w:r>
      </w:hyperlink>
      <w:r w:rsidRPr="004C5C4F">
        <w:rPr>
          <w:rStyle w:val="GuideCitesCharChar"/>
          <w:highlight w:val="yellow"/>
        </w:rPr>
        <w:t>)</w:t>
      </w:r>
      <w:r w:rsidRPr="004E28BB">
        <w:t xml:space="preserve">: </w:t>
      </w:r>
    </w:p>
    <w:p w:rsidR="00FE7026" w:rsidRPr="004E28BB" w:rsidRDefault="00FE7026" w:rsidP="00D41D04">
      <w:pPr>
        <w:pStyle w:val="ListNumber4"/>
        <w:tabs>
          <w:tab w:val="clear" w:pos="2880"/>
          <w:tab w:val="left" w:pos="1980"/>
        </w:tabs>
      </w:pPr>
      <w:r w:rsidRPr="004E28BB">
        <w:t>Any loss of consciousness</w:t>
      </w:r>
      <w:r w:rsidR="00322E9B">
        <w:t>.</w:t>
      </w:r>
    </w:p>
    <w:p w:rsidR="00FE7026" w:rsidRPr="004E28BB" w:rsidRDefault="00FE7026" w:rsidP="00D41D04">
      <w:pPr>
        <w:pStyle w:val="ListNumber4"/>
        <w:tabs>
          <w:tab w:val="clear" w:pos="2880"/>
          <w:tab w:val="left" w:pos="1980"/>
        </w:tabs>
      </w:pPr>
      <w:r w:rsidRPr="004E28BB">
        <w:t>Any loss of memory for events immediately before or after the injury</w:t>
      </w:r>
      <w:r w:rsidR="00322E9B">
        <w:t>.</w:t>
      </w:r>
    </w:p>
    <w:p w:rsidR="00FE7026" w:rsidRPr="004E28BB" w:rsidRDefault="00FE7026" w:rsidP="00D41D04">
      <w:pPr>
        <w:pStyle w:val="ListNumber4"/>
        <w:tabs>
          <w:tab w:val="clear" w:pos="2880"/>
          <w:tab w:val="left" w:pos="1980"/>
        </w:tabs>
        <w:rPr>
          <w:u w:val="single"/>
        </w:rPr>
      </w:pPr>
      <w:r w:rsidRPr="004E28BB">
        <w:t>Any alteration of mental status at the time of the injury (e.g. feeling dazed, disoriented, or confused)</w:t>
      </w:r>
      <w:r w:rsidR="00322E9B">
        <w:t>.</w:t>
      </w:r>
      <w:r w:rsidRPr="004E28BB">
        <w:t xml:space="preserve"> </w:t>
      </w:r>
    </w:p>
    <w:p w:rsidR="00FE7026" w:rsidRPr="004E28BB" w:rsidRDefault="00FE7026" w:rsidP="00D41D04">
      <w:pPr>
        <w:pStyle w:val="ListNumber4"/>
        <w:rPr>
          <w:u w:val="single"/>
        </w:rPr>
      </w:pPr>
      <w:r w:rsidRPr="004E28BB">
        <w:t>Focal neurological deficit(s) that may or may not be transient; but where the severity of the injury does not exceed the following:</w:t>
      </w:r>
    </w:p>
    <w:p w:rsidR="00FE7026" w:rsidRPr="004E28BB" w:rsidRDefault="00FE7026" w:rsidP="00D41D04">
      <w:pPr>
        <w:pStyle w:val="ListNumber5"/>
      </w:pPr>
      <w:r w:rsidRPr="004E28BB">
        <w:t xml:space="preserve">Loss of consciousness </w:t>
      </w:r>
      <w:r w:rsidR="0094665E">
        <w:t>for</w:t>
      </w:r>
      <w:r w:rsidR="0094665E" w:rsidRPr="004E28BB">
        <w:t xml:space="preserve"> </w:t>
      </w:r>
      <w:r w:rsidRPr="004E28BB">
        <w:t>approximately 30 minutes or less,</w:t>
      </w:r>
    </w:p>
    <w:p w:rsidR="00FE7026" w:rsidRPr="004E28BB" w:rsidRDefault="00FE7026" w:rsidP="00D41D04">
      <w:pPr>
        <w:pStyle w:val="ListNumber5"/>
        <w:rPr>
          <w:u w:val="single"/>
        </w:rPr>
      </w:pPr>
      <w:r w:rsidRPr="004E28BB">
        <w:t>At 30 minutes, a Glasgow Coma Scale (GCS) of 13</w:t>
      </w:r>
      <w:r w:rsidR="0094665E" w:rsidRPr="00BB4C86">
        <w:t>–</w:t>
      </w:r>
      <w:r w:rsidRPr="004E28BB">
        <w:t>15</w:t>
      </w:r>
      <w:r w:rsidR="0094665E">
        <w:t>,</w:t>
      </w:r>
      <w:r w:rsidRPr="004E28BB">
        <w:t xml:space="preserve"> and</w:t>
      </w:r>
    </w:p>
    <w:p w:rsidR="00FE7026" w:rsidRPr="004E28BB" w:rsidRDefault="00F64E42" w:rsidP="00D41D04">
      <w:pPr>
        <w:pStyle w:val="ListNumber5"/>
      </w:pPr>
      <w:r>
        <w:t>Post-traumatic amnesia (</w:t>
      </w:r>
      <w:r w:rsidR="00FA2FC4">
        <w:t>PTA</w:t>
      </w:r>
      <w:r>
        <w:t>)</w:t>
      </w:r>
      <w:r w:rsidR="00FE7026" w:rsidRPr="004E28BB">
        <w:t xml:space="preserve"> not greater than 24 hours</w:t>
      </w:r>
      <w:r w:rsidR="00322E9B">
        <w:t>.</w:t>
      </w:r>
      <w:r w:rsidR="00FE7026" w:rsidRPr="004E28BB">
        <w:t xml:space="preserve"> </w:t>
      </w:r>
    </w:p>
    <w:p w:rsidR="00FE7026" w:rsidRPr="004E28BB" w:rsidRDefault="00FE7026" w:rsidP="00D41D04">
      <w:pPr>
        <w:pStyle w:val="ListNumber3"/>
      </w:pPr>
      <w:bookmarkStart w:id="38" w:name="_Toc319922418"/>
      <w:bookmarkStart w:id="39" w:name="_Toc394643178"/>
      <w:r w:rsidRPr="004E28BB">
        <w:rPr>
          <w:rStyle w:val="Guide3-abcdChar"/>
        </w:rPr>
        <w:t>Moderate/</w:t>
      </w:r>
      <w:r w:rsidR="0094665E">
        <w:rPr>
          <w:rStyle w:val="Guide3-abcdChar"/>
        </w:rPr>
        <w:t>S</w:t>
      </w:r>
      <w:r w:rsidRPr="004E28BB">
        <w:rPr>
          <w:rStyle w:val="Guide3-abcdChar"/>
        </w:rPr>
        <w:t>evere TBI</w:t>
      </w:r>
      <w:bookmarkEnd w:id="38"/>
      <w:bookmarkEnd w:id="39"/>
      <w:r w:rsidRPr="004E28BB">
        <w:t xml:space="preserve">: </w:t>
      </w:r>
      <w:r w:rsidR="00322E9B">
        <w:t>A</w:t>
      </w:r>
      <w:r w:rsidRPr="004E28BB">
        <w:t xml:space="preserve"> traumatically induced physiological disruption of brain function as manifested by at least one of the following</w:t>
      </w:r>
      <w:r w:rsidR="002C443D" w:rsidRPr="004E28BB">
        <w:rPr>
          <w:rStyle w:val="GuideCitesCharChar"/>
        </w:rPr>
        <w:t xml:space="preserve"> </w:t>
      </w:r>
      <w:r w:rsidR="002C443D" w:rsidRPr="004C5C4F">
        <w:rPr>
          <w:rStyle w:val="GuideCitesCharChar"/>
          <w:highlight w:val="yellow"/>
        </w:rPr>
        <w:t>(</w:t>
      </w:r>
      <w:hyperlink w:anchor="AmConRehabMed1993" w:history="1">
        <w:r w:rsidR="002C443D" w:rsidRPr="00E913DB">
          <w:rPr>
            <w:rStyle w:val="Hyperlink"/>
            <w:rFonts w:cs="Arial"/>
            <w:highlight w:val="yellow"/>
          </w:rPr>
          <w:t>American Congress of Rehabilitation Medicine</w:t>
        </w:r>
        <w:r w:rsidR="009C7427" w:rsidRPr="00E913DB">
          <w:rPr>
            <w:rStyle w:val="Hyperlink"/>
            <w:rFonts w:cs="Arial"/>
            <w:highlight w:val="yellow"/>
          </w:rPr>
          <w:t>, 1993</w:t>
        </w:r>
      </w:hyperlink>
      <w:r w:rsidR="002C443D" w:rsidRPr="004C5C4F">
        <w:rPr>
          <w:rStyle w:val="GuideCitesCharChar"/>
          <w:highlight w:val="yellow"/>
        </w:rPr>
        <w:t>)</w:t>
      </w:r>
      <w:r w:rsidR="002C443D" w:rsidRPr="004E28BB">
        <w:t>:</w:t>
      </w:r>
    </w:p>
    <w:p w:rsidR="00FE7026" w:rsidRPr="004E28BB" w:rsidRDefault="00FE7026" w:rsidP="00D41D04">
      <w:pPr>
        <w:pStyle w:val="ListNumber4"/>
      </w:pPr>
      <w:r w:rsidRPr="004E28BB">
        <w:t xml:space="preserve">Loss of consciousness </w:t>
      </w:r>
      <w:r w:rsidR="0094665E">
        <w:t>for</w:t>
      </w:r>
      <w:r w:rsidR="0094665E" w:rsidRPr="004E28BB">
        <w:t xml:space="preserve"> </w:t>
      </w:r>
      <w:r w:rsidRPr="004E28BB">
        <w:t>greater than 30 minutes</w:t>
      </w:r>
    </w:p>
    <w:p w:rsidR="00FE7026" w:rsidRPr="004E28BB" w:rsidRDefault="00FE7026" w:rsidP="00D41D04">
      <w:pPr>
        <w:pStyle w:val="ListNumber4"/>
      </w:pPr>
      <w:r w:rsidRPr="004E28BB">
        <w:t xml:space="preserve">After 30 minutes, an initial </w:t>
      </w:r>
      <w:r w:rsidR="00D16BB6">
        <w:t>GCS</w:t>
      </w:r>
      <w:r w:rsidRPr="004E28BB">
        <w:t xml:space="preserve"> of</w:t>
      </w:r>
      <w:r w:rsidR="008D519C" w:rsidRPr="004E28BB">
        <w:t xml:space="preserve"> 1</w:t>
      </w:r>
      <w:r w:rsidR="007F2A10" w:rsidRPr="004E28BB">
        <w:t>2 or less</w:t>
      </w:r>
      <w:r w:rsidR="0094665E">
        <w:t>, and</w:t>
      </w:r>
      <w:r w:rsidRPr="004E28BB">
        <w:t xml:space="preserve"> </w:t>
      </w:r>
    </w:p>
    <w:p w:rsidR="00FE7026" w:rsidRPr="004E28BB" w:rsidRDefault="00FA2FC4" w:rsidP="00D41D04">
      <w:pPr>
        <w:pStyle w:val="ListNumber4"/>
      </w:pPr>
      <w:r>
        <w:t>PTA</w:t>
      </w:r>
      <w:r w:rsidR="00FE7026" w:rsidRPr="004E28BB">
        <w:t xml:space="preserve"> greater than 24 hours</w:t>
      </w:r>
      <w:r w:rsidR="00322E9B">
        <w:t>.</w:t>
      </w:r>
    </w:p>
    <w:p w:rsidR="00FE7026" w:rsidRPr="004E28BB" w:rsidRDefault="00FE7026" w:rsidP="00D41D04">
      <w:pPr>
        <w:pStyle w:val="ListNumber3"/>
      </w:pPr>
      <w:bookmarkStart w:id="40" w:name="_Toc336346341"/>
      <w:bookmarkStart w:id="41" w:name="_Toc319922419"/>
      <w:bookmarkStart w:id="42" w:name="_Toc394643179"/>
      <w:r w:rsidRPr="004E28BB">
        <w:rPr>
          <w:rStyle w:val="Guide3-abcdChar"/>
        </w:rPr>
        <w:lastRenderedPageBreak/>
        <w:t xml:space="preserve">Other </w:t>
      </w:r>
      <w:r w:rsidR="0094665E">
        <w:rPr>
          <w:rStyle w:val="Guide3-abcdChar"/>
        </w:rPr>
        <w:t>T</w:t>
      </w:r>
      <w:r w:rsidRPr="004E28BB">
        <w:rPr>
          <w:rStyle w:val="Guide3-abcdChar"/>
        </w:rPr>
        <w:t>erminology</w:t>
      </w:r>
      <w:bookmarkEnd w:id="40"/>
      <w:bookmarkEnd w:id="42"/>
      <w:r w:rsidRPr="004E28BB">
        <w:t xml:space="preserve">: </w:t>
      </w:r>
      <w:r w:rsidR="0094665E">
        <w:t>O</w:t>
      </w:r>
      <w:r w:rsidRPr="004E28BB">
        <w:t>nce a patient has met the definitions above, the treatment patterns and diagnostic tools of th</w:t>
      </w:r>
      <w:r w:rsidR="006433BA">
        <w:t>is</w:t>
      </w:r>
      <w:r w:rsidRPr="004E28BB">
        <w:t xml:space="preserve"> guideline apply. </w:t>
      </w:r>
    </w:p>
    <w:p w:rsidR="00FE7026" w:rsidRPr="004E28BB" w:rsidRDefault="00FE7026" w:rsidP="00D41D04">
      <w:pPr>
        <w:pStyle w:val="ListNumber4"/>
        <w:rPr>
          <w:i/>
        </w:rPr>
      </w:pPr>
      <w:r w:rsidRPr="008C0DEB">
        <w:rPr>
          <w:u w:val="single"/>
        </w:rPr>
        <w:t>Concussion</w:t>
      </w:r>
      <w:r w:rsidR="00322E9B" w:rsidRPr="004E28BB">
        <w:t>:</w:t>
      </w:r>
      <w:r w:rsidRPr="004E28BB">
        <w:t xml:space="preserve"> There is some disagreement in the literature regarding definitions and terminology. Concussion is used synonymously with </w:t>
      </w:r>
      <w:r w:rsidR="00FA0A79" w:rsidRPr="004E28BB">
        <w:t>MTBI</w:t>
      </w:r>
      <w:r w:rsidRPr="004E28BB">
        <w:t xml:space="preserve"> in many papers and is only referenced in this guideline when describing studies using the terminology. </w:t>
      </w:r>
    </w:p>
    <w:p w:rsidR="00FE7026" w:rsidRPr="004E28BB" w:rsidRDefault="00FE7026" w:rsidP="00D41D04">
      <w:pPr>
        <w:pStyle w:val="ListNumber4"/>
        <w:rPr>
          <w:i/>
        </w:rPr>
      </w:pPr>
      <w:r w:rsidRPr="008C0DEB">
        <w:rPr>
          <w:u w:val="single"/>
        </w:rPr>
        <w:t>Post</w:t>
      </w:r>
      <w:r w:rsidR="007843ED" w:rsidRPr="008C0DEB">
        <w:rPr>
          <w:u w:val="single"/>
        </w:rPr>
        <w:t>-</w:t>
      </w:r>
      <w:r w:rsidR="0094665E" w:rsidRPr="008C0DEB">
        <w:rPr>
          <w:u w:val="single"/>
        </w:rPr>
        <w:t>C</w:t>
      </w:r>
      <w:r w:rsidRPr="008C0DEB">
        <w:rPr>
          <w:u w:val="single"/>
        </w:rPr>
        <w:t xml:space="preserve">oncussive </w:t>
      </w:r>
      <w:r w:rsidR="0094665E" w:rsidRPr="008C0DEB">
        <w:rPr>
          <w:u w:val="single"/>
        </w:rPr>
        <w:t>S</w:t>
      </w:r>
      <w:r w:rsidRPr="008C0DEB">
        <w:rPr>
          <w:u w:val="single"/>
        </w:rPr>
        <w:t>yndrome (PCS)</w:t>
      </w:r>
      <w:r w:rsidR="00322E9B" w:rsidRPr="004E28BB">
        <w:t>:</w:t>
      </w:r>
      <w:r w:rsidRPr="004E28BB">
        <w:t xml:space="preserve"> </w:t>
      </w:r>
      <w:r w:rsidR="00322E9B">
        <w:t>A</w:t>
      </w:r>
      <w:r w:rsidRPr="004E28BB">
        <w:t xml:space="preserve">n accepted diagnosis which generally is determined by the number of symptoms present after a </w:t>
      </w:r>
      <w:r w:rsidR="00F5511A">
        <w:t>TBI</w:t>
      </w:r>
      <w:r w:rsidRPr="004E28BB">
        <w:t xml:space="preserve">. Unfortunately the symptoms used to determine the presence of PCS are frequently present in those without </w:t>
      </w:r>
      <w:r w:rsidR="00FA0A79" w:rsidRPr="004E28BB">
        <w:t>MTBI</w:t>
      </w:r>
      <w:r w:rsidRPr="004E28BB">
        <w:rPr>
          <w:rStyle w:val="GuideCitesCharChar"/>
        </w:rPr>
        <w:t xml:space="preserve"> </w:t>
      </w:r>
      <w:r w:rsidRPr="004C5C4F">
        <w:rPr>
          <w:rStyle w:val="GuideCitesCharChar"/>
          <w:highlight w:val="yellow"/>
        </w:rPr>
        <w:t>(</w:t>
      </w:r>
      <w:bookmarkStart w:id="43" w:name="Dean2012"/>
      <w:r w:rsidR="00852CC9">
        <w:rPr>
          <w:rStyle w:val="GuideCitesCharChar"/>
          <w:highlight w:val="yellow"/>
        </w:rPr>
        <w:fldChar w:fldCharType="begin"/>
      </w:r>
      <w:r w:rsidR="00852CC9">
        <w:rPr>
          <w:rStyle w:val="GuideCitesCharChar"/>
          <w:highlight w:val="yellow"/>
        </w:rPr>
        <w:instrText xml:space="preserve"> HYPERLINK  \l "Dean2012" </w:instrText>
      </w:r>
      <w:r w:rsidR="00852CC9">
        <w:rPr>
          <w:rStyle w:val="GuideCitesCharChar"/>
          <w:highlight w:val="yellow"/>
        </w:rPr>
        <w:fldChar w:fldCharType="separate"/>
      </w:r>
      <w:r w:rsidRPr="00852CC9">
        <w:rPr>
          <w:rStyle w:val="Hyperlink"/>
          <w:rFonts w:cs="Arial"/>
          <w:highlight w:val="yellow"/>
        </w:rPr>
        <w:t>Dean, 2012</w:t>
      </w:r>
      <w:bookmarkEnd w:id="43"/>
      <w:r w:rsidR="00852CC9">
        <w:rPr>
          <w:rStyle w:val="GuideCitesCharChar"/>
          <w:highlight w:val="yellow"/>
        </w:rPr>
        <w:fldChar w:fldCharType="end"/>
      </w:r>
      <w:r w:rsidRPr="004C5C4F">
        <w:rPr>
          <w:rStyle w:val="GuideCitesCharChar"/>
          <w:highlight w:val="yellow"/>
        </w:rPr>
        <w:t>)</w:t>
      </w:r>
      <w:r w:rsidR="00B30BDE" w:rsidRPr="004E28BB">
        <w:t>.</w:t>
      </w:r>
      <w:r w:rsidRPr="004E28BB">
        <w:t xml:space="preserve"> In this guideline</w:t>
      </w:r>
      <w:r w:rsidR="00D03764">
        <w:t>,</w:t>
      </w:r>
      <w:r w:rsidRPr="004E28BB">
        <w:t xml:space="preserve"> once a person has been diagnosed with </w:t>
      </w:r>
      <w:r w:rsidR="00FA0A79" w:rsidRPr="004E28BB">
        <w:t>MTBI</w:t>
      </w:r>
      <w:r w:rsidR="00D03764">
        <w:t>,</w:t>
      </w:r>
      <w:r w:rsidRPr="004E28BB">
        <w:t xml:space="preserve"> any of the treatments for </w:t>
      </w:r>
      <w:r w:rsidR="008D519C" w:rsidRPr="004E28BB">
        <w:t>continuing symptoms may be used</w:t>
      </w:r>
      <w:r w:rsidR="00D03764">
        <w:t>.</w:t>
      </w:r>
      <w:r w:rsidRPr="004E28BB">
        <w:t xml:space="preserve"> </w:t>
      </w:r>
      <w:r w:rsidR="00D03764">
        <w:t>T</w:t>
      </w:r>
      <w:r w:rsidRPr="004E28BB">
        <w:t>hus</w:t>
      </w:r>
      <w:r w:rsidR="00D03764">
        <w:t>,</w:t>
      </w:r>
      <w:r w:rsidRPr="004E28BB">
        <w:t xml:space="preserve"> the diagnostic category of PCS is not necessary and should not be used in isolation to access the treatments in this guideline</w:t>
      </w:r>
      <w:r w:rsidR="00B4688C" w:rsidRPr="004E28BB">
        <w:t>.</w:t>
      </w:r>
    </w:p>
    <w:p w:rsidR="00FE7026" w:rsidRPr="004E28BB" w:rsidRDefault="00FE7026" w:rsidP="00D41D04">
      <w:pPr>
        <w:pStyle w:val="ListNumber4"/>
        <w:rPr>
          <w:i/>
        </w:rPr>
      </w:pPr>
      <w:r w:rsidRPr="008C0DEB">
        <w:rPr>
          <w:u w:val="single"/>
        </w:rPr>
        <w:t xml:space="preserve">Complicated </w:t>
      </w:r>
      <w:r w:rsidR="00D03764" w:rsidRPr="008C0DEB">
        <w:rPr>
          <w:u w:val="single"/>
        </w:rPr>
        <w:t>M</w:t>
      </w:r>
      <w:r w:rsidRPr="008C0DEB">
        <w:rPr>
          <w:u w:val="single"/>
        </w:rPr>
        <w:t xml:space="preserve">ild </w:t>
      </w:r>
      <w:r w:rsidR="00D03764" w:rsidRPr="008C0DEB">
        <w:rPr>
          <w:u w:val="single"/>
        </w:rPr>
        <w:t>T</w:t>
      </w:r>
      <w:r w:rsidRPr="008C0DEB">
        <w:rPr>
          <w:u w:val="single"/>
        </w:rPr>
        <w:t xml:space="preserve">raumatic </w:t>
      </w:r>
      <w:r w:rsidR="00D03764" w:rsidRPr="008C0DEB">
        <w:rPr>
          <w:u w:val="single"/>
        </w:rPr>
        <w:t>B</w:t>
      </w:r>
      <w:r w:rsidRPr="008C0DEB">
        <w:rPr>
          <w:u w:val="single"/>
        </w:rPr>
        <w:t xml:space="preserve">rain </w:t>
      </w:r>
      <w:r w:rsidR="00D03764" w:rsidRPr="008C0DEB">
        <w:rPr>
          <w:u w:val="single"/>
        </w:rPr>
        <w:t>I</w:t>
      </w:r>
      <w:r w:rsidRPr="008C0DEB">
        <w:rPr>
          <w:u w:val="single"/>
        </w:rPr>
        <w:t>njury</w:t>
      </w:r>
      <w:r w:rsidR="00322E9B" w:rsidRPr="004E28BB">
        <w:t>:</w:t>
      </w:r>
      <w:r w:rsidR="00202675">
        <w:t xml:space="preserve"> </w:t>
      </w:r>
      <w:r w:rsidR="00322E9B">
        <w:t>A</w:t>
      </w:r>
      <w:r w:rsidRPr="004E28BB">
        <w:t xml:space="preserve"> </w:t>
      </w:r>
      <w:r w:rsidR="00322E9B">
        <w:t>M</w:t>
      </w:r>
      <w:r w:rsidR="00F5511A">
        <w:t>TBI</w:t>
      </w:r>
      <w:r w:rsidRPr="004E28BB">
        <w:t xml:space="preserve"> accompanied by structural brain damage visualized on acute neuroimaging. More patients in this group have slow or incomplete recovery as compared to patients without this finding</w:t>
      </w:r>
      <w:r w:rsidR="00D03764">
        <w:t>;</w:t>
      </w:r>
      <w:r w:rsidRPr="004E28BB">
        <w:t xml:space="preserve"> however</w:t>
      </w:r>
      <w:r w:rsidR="00D03764">
        <w:t>,</w:t>
      </w:r>
      <w:r w:rsidRPr="004E28BB">
        <w:t xml:space="preserve"> the finding </w:t>
      </w:r>
      <w:r w:rsidR="00D03764">
        <w:t>does</w:t>
      </w:r>
      <w:r w:rsidR="008D519C" w:rsidRPr="004E28BB">
        <w:t xml:space="preserve"> not</w:t>
      </w:r>
      <w:r w:rsidR="002C443D" w:rsidRPr="004E28BB">
        <w:t xml:space="preserve"> fully predict </w:t>
      </w:r>
      <w:r w:rsidRPr="004E28BB">
        <w:t xml:space="preserve">the </w:t>
      </w:r>
      <w:r w:rsidR="0020584E">
        <w:t xml:space="preserve">clinical </w:t>
      </w:r>
      <w:r w:rsidRPr="004E28BB">
        <w:t>course of a</w:t>
      </w:r>
      <w:r w:rsidR="00DD30D2" w:rsidRPr="004E28BB">
        <w:t>n</w:t>
      </w:r>
      <w:r w:rsidRPr="004E28BB">
        <w:t xml:space="preserve"> individual with MTBI</w:t>
      </w:r>
      <w:r w:rsidRPr="004E28BB">
        <w:rPr>
          <w:rStyle w:val="GuideCitesCharChar"/>
        </w:rPr>
        <w:t xml:space="preserve"> </w:t>
      </w:r>
      <w:r w:rsidRPr="004C5C4F">
        <w:rPr>
          <w:rStyle w:val="GuideCitesCharChar"/>
          <w:highlight w:val="yellow"/>
        </w:rPr>
        <w:t>(</w:t>
      </w:r>
      <w:hyperlink w:anchor="Iverson2006" w:history="1">
        <w:r w:rsidRPr="00852CC9">
          <w:rPr>
            <w:rStyle w:val="Hyperlink"/>
            <w:rFonts w:cs="Arial"/>
            <w:highlight w:val="yellow"/>
          </w:rPr>
          <w:t>Iverson, 2006</w:t>
        </w:r>
      </w:hyperlink>
      <w:r w:rsidRPr="004C5C4F">
        <w:rPr>
          <w:rStyle w:val="GuideCitesCharChar"/>
          <w:highlight w:val="yellow"/>
        </w:rPr>
        <w:t>)</w:t>
      </w:r>
      <w:r w:rsidR="00B30BDE" w:rsidRPr="004E28BB">
        <w:t>.</w:t>
      </w:r>
      <w:r w:rsidRPr="004E28BB">
        <w:t xml:space="preserve"> The term is not used further in this guideline, </w:t>
      </w:r>
      <w:r w:rsidR="00C0784A">
        <w:t>but</w:t>
      </w:r>
      <w:r w:rsidRPr="004E28BB">
        <w:t xml:space="preserve"> it should be understood that complicated MTBI cases will frequently require more extensive</w:t>
      </w:r>
      <w:r w:rsidR="002C443D" w:rsidRPr="004E28BB">
        <w:t xml:space="preserve"> treatment</w:t>
      </w:r>
      <w:r w:rsidRPr="004E28BB">
        <w:t xml:space="preserve"> than that described under MTBI and </w:t>
      </w:r>
      <w:r w:rsidR="007F2A10" w:rsidRPr="004E28BB">
        <w:t>may</w:t>
      </w:r>
      <w:r w:rsidRPr="004E28BB">
        <w:t xml:space="preserve"> be given access to care listed under moderate/severe as appropriate for the individual. </w:t>
      </w:r>
    </w:p>
    <w:p w:rsidR="00FE7026" w:rsidRPr="004E28BB" w:rsidRDefault="00FE7026" w:rsidP="00D41D04">
      <w:pPr>
        <w:pStyle w:val="ListNumber2"/>
      </w:pPr>
      <w:bookmarkStart w:id="44" w:name="_Toc394643180"/>
      <w:r w:rsidRPr="004E28BB">
        <w:rPr>
          <w:rStyle w:val="Guide2-123Char"/>
        </w:rPr>
        <w:t>INTERVENTION</w:t>
      </w:r>
      <w:bookmarkEnd w:id="41"/>
      <w:bookmarkEnd w:id="44"/>
      <w:r w:rsidR="00322E9B" w:rsidRPr="004E28BB">
        <w:t>:</w:t>
      </w:r>
      <w:r w:rsidRPr="004E28BB">
        <w:t xml:space="preserve"> Early identification and early intervention by providers with specialty training and experience is critical in </w:t>
      </w:r>
      <w:r w:rsidR="00C0784A">
        <w:t xml:space="preserve">the </w:t>
      </w:r>
      <w:r w:rsidRPr="004E28BB">
        <w:t>diagnosis, treatment</w:t>
      </w:r>
      <w:r w:rsidR="00C0784A">
        <w:t>,</w:t>
      </w:r>
      <w:r w:rsidRPr="004E28BB">
        <w:t xml:space="preserve"> and management of individuals with </w:t>
      </w:r>
      <w:r w:rsidR="007F2A10" w:rsidRPr="004E28BB">
        <w:t xml:space="preserve">moderate/severe </w:t>
      </w:r>
      <w:r w:rsidR="00F5511A">
        <w:t>TBI</w:t>
      </w:r>
      <w:r w:rsidRPr="004E28BB">
        <w:t>. Brain injury treatment may also require immediate interdisciplinary evaluation and treatment. The treatment and ultimate functional outcome of individuals with TBI depends upon a complex, interacting set of pre-injury, injury, and post-injury factor</w:t>
      </w:r>
      <w:r w:rsidR="008D519C" w:rsidRPr="004E28BB">
        <w:t>s. Treatment programs should: be</w:t>
      </w:r>
      <w:r w:rsidRPr="004E28BB">
        <w:t xml:space="preserve"> specialized; based on a comprehensive data set; include both functional goal</w:t>
      </w:r>
      <w:r w:rsidR="002C443D" w:rsidRPr="004E28BB">
        <w:t>s</w:t>
      </w:r>
      <w:r w:rsidRPr="004E28BB">
        <w:t xml:space="preserve"> and outcome-oriented</w:t>
      </w:r>
      <w:r w:rsidR="002C443D" w:rsidRPr="004E28BB">
        <w:t xml:space="preserve"> goals</w:t>
      </w:r>
      <w:r w:rsidRPr="004E28BB">
        <w:t xml:space="preserve">; and </w:t>
      </w:r>
      <w:r w:rsidR="008D519C" w:rsidRPr="004E28BB">
        <w:t xml:space="preserve">be </w:t>
      </w:r>
      <w:r w:rsidRPr="004E28BB">
        <w:t xml:space="preserve">delivered in the least restrictive setting(s) possible. Treatment settings may include acute care settings, hospitals, rehabilitation hospitals, outpatient settings, residential and behavioral settings, home, and community settings. Treatment should be </w:t>
      </w:r>
      <w:r w:rsidR="00B05FF1">
        <w:t>well-</w:t>
      </w:r>
      <w:r w:rsidRPr="004E28BB">
        <w:t xml:space="preserve"> managed and time-appropriate, based on progress.</w:t>
      </w:r>
      <w:r w:rsidRPr="004E28BB">
        <w:br/>
      </w:r>
      <w:r w:rsidRPr="004E28BB">
        <w:br/>
        <w:t xml:space="preserve">The provision of on-site case managers familiar with </w:t>
      </w:r>
      <w:r w:rsidR="0056633D">
        <w:t>TBI</w:t>
      </w:r>
      <w:r w:rsidRPr="004E28BB">
        <w:t xml:space="preserve"> rehabilitation treatment protocols is well-accepted and recommended for all moderate/severe TBI cases, and for select MTBI cases, based on complexity and need.</w:t>
      </w:r>
    </w:p>
    <w:p w:rsidR="00FE7026" w:rsidRPr="004E28BB" w:rsidRDefault="00FE7026" w:rsidP="00D41D04">
      <w:pPr>
        <w:pStyle w:val="ListNumber2"/>
      </w:pPr>
      <w:bookmarkStart w:id="45" w:name="_Toc319922420"/>
      <w:bookmarkStart w:id="46" w:name="_Toc394643181"/>
      <w:r w:rsidRPr="004E28BB">
        <w:rPr>
          <w:rStyle w:val="Guide2-123Char"/>
        </w:rPr>
        <w:t>EDUCATION</w:t>
      </w:r>
      <w:bookmarkEnd w:id="45"/>
      <w:bookmarkEnd w:id="46"/>
      <w:r w:rsidR="00322E9B" w:rsidRPr="004E28BB">
        <w:t>:</w:t>
      </w:r>
      <w:r w:rsidRPr="004E28BB">
        <w:t xml:space="preserve"> Outcome following TBI is often dependent on the health, education, and resources of the individual’s </w:t>
      </w:r>
      <w:r w:rsidR="00387A03">
        <w:t>family and/or support system</w:t>
      </w:r>
      <w:r w:rsidRPr="004E28BB">
        <w:t>. Therefore, education of the individual and family</w:t>
      </w:r>
      <w:r w:rsidR="00387A03">
        <w:t xml:space="preserve"> and</w:t>
      </w:r>
      <w:r w:rsidRPr="004E28BB">
        <w:t>/</w:t>
      </w:r>
      <w:r w:rsidR="00387A03">
        <w:t xml:space="preserve">or </w:t>
      </w:r>
      <w:r w:rsidRPr="004E28BB">
        <w:t>support system, insurer, case manager</w:t>
      </w:r>
      <w:r w:rsidR="00C0784A">
        <w:t>,</w:t>
      </w:r>
      <w:r w:rsidRPr="004E28BB">
        <w:t xml:space="preserve"> and employer should be a primary emphasis in the treatment and management of individuals with TBI. Providers should develop and implement effective strategies and forums to include family</w:t>
      </w:r>
      <w:r w:rsidR="00387A03">
        <w:t xml:space="preserve"> and/or support system</w:t>
      </w:r>
      <w:r w:rsidRPr="004E28BB">
        <w:t xml:space="preserve"> members with the interdisciplinary treatment team. Education for individuals and their family</w:t>
      </w:r>
      <w:r w:rsidR="00387A03">
        <w:t xml:space="preserve"> and</w:t>
      </w:r>
      <w:r w:rsidRPr="004E28BB">
        <w:t>/</w:t>
      </w:r>
      <w:r w:rsidR="00387A03">
        <w:t xml:space="preserve">or </w:t>
      </w:r>
      <w:r w:rsidRPr="004E28BB">
        <w:t xml:space="preserve">support system should include, but is not limited to: communication of basic information about the brain and the effects of </w:t>
      </w:r>
      <w:r w:rsidR="0056633D">
        <w:t>TBI</w:t>
      </w:r>
      <w:r w:rsidRPr="004E28BB">
        <w:t xml:space="preserve"> on behavior, cognition, </w:t>
      </w:r>
      <w:r w:rsidR="008D519C" w:rsidRPr="004E28BB">
        <w:t xml:space="preserve">communication, </w:t>
      </w:r>
      <w:r w:rsidRPr="004E28BB">
        <w:t>physical function, and emotion</w:t>
      </w:r>
      <w:r w:rsidR="00E96BC2" w:rsidRPr="004E28BB">
        <w:t>al function</w:t>
      </w:r>
      <w:r w:rsidRPr="004E28BB">
        <w:t>;</w:t>
      </w:r>
      <w:r w:rsidR="00E94FA5" w:rsidRPr="004E28BB">
        <w:t xml:space="preserve"> </w:t>
      </w:r>
      <w:r w:rsidRPr="004E28BB">
        <w:t>appropriate family</w:t>
      </w:r>
      <w:r w:rsidR="005C7D65">
        <w:t xml:space="preserve"> </w:t>
      </w:r>
      <w:r w:rsidR="005C7D65">
        <w:lastRenderedPageBreak/>
        <w:t>and/or support system</w:t>
      </w:r>
      <w:r w:rsidRPr="004E28BB">
        <w:t xml:space="preserve"> interventions; and possible short-term and long-term outcomes. Written information and material and referral to credible internet resources may be helpful as the individual and their family</w:t>
      </w:r>
      <w:r w:rsidR="005C7D65">
        <w:t xml:space="preserve"> and or </w:t>
      </w:r>
      <w:r w:rsidRPr="004E28BB">
        <w:t xml:space="preserve">support system may not be able to remember the often vast amount of information provided to them. For similar reasons, they may need </w:t>
      </w:r>
      <w:r w:rsidR="00C0784A">
        <w:t xml:space="preserve">to be provided </w:t>
      </w:r>
      <w:r w:rsidRPr="004E28BB">
        <w:t>repeated or ongoing information. Insurance carriers, case managers, and treatment providers are highly encouraged to provide hands</w:t>
      </w:r>
      <w:r w:rsidR="00E96BC2" w:rsidRPr="004E28BB">
        <w:t>-</w:t>
      </w:r>
      <w:r w:rsidRPr="004E28BB">
        <w:t>on personal consultations</w:t>
      </w:r>
      <w:r w:rsidR="00C0784A">
        <w:t>,</w:t>
      </w:r>
      <w:r w:rsidRPr="004E28BB">
        <w:t xml:space="preserve"> education (written, verbal, internet)</w:t>
      </w:r>
      <w:r w:rsidR="00C0784A">
        <w:t>,</w:t>
      </w:r>
      <w:r w:rsidRPr="004E28BB">
        <w:t xml:space="preserve"> and support services to families in order to maximize treatment outcomes and the durability of those outcomes. For moderate/severe cases</w:t>
      </w:r>
      <w:r w:rsidR="00C0784A">
        <w:t>,</w:t>
      </w:r>
      <w:r w:rsidRPr="004E28BB">
        <w:t xml:space="preserve"> long</w:t>
      </w:r>
      <w:r w:rsidR="00C0784A">
        <w:t>-</w:t>
      </w:r>
      <w:r w:rsidRPr="004E28BB">
        <w:t xml:space="preserve">term life planning may be discussed. Further in-depth education may be required to maximize the individual’s potential for functional living. Treatment plans should include individual and group education as a means of facilitating self-awareness, self-management and prevention of secondary disability </w:t>
      </w:r>
      <w:r w:rsidR="00756447">
        <w:t>(r</w:t>
      </w:r>
      <w:r w:rsidRPr="004E28BB">
        <w:t xml:space="preserve">efer to </w:t>
      </w:r>
      <w:r w:rsidR="00811C8B">
        <w:t>S</w:t>
      </w:r>
      <w:r w:rsidR="00B4688C" w:rsidRPr="004E28BB">
        <w:t xml:space="preserve">ection </w:t>
      </w:r>
      <w:hyperlink w:anchor="TBIG1PatientFamilySupport" w:history="1">
        <w:r w:rsidR="00B4688C" w:rsidRPr="004E28BB">
          <w:rPr>
            <w:rStyle w:val="Hyperlink"/>
            <w:rFonts w:cs="Arial"/>
          </w:rPr>
          <w:t xml:space="preserve">G.1 </w:t>
        </w:r>
        <w:r w:rsidRPr="004E28BB">
          <w:rPr>
            <w:rStyle w:val="Hyperlink"/>
            <w:rFonts w:cs="Arial"/>
          </w:rPr>
          <w:t>Patient</w:t>
        </w:r>
        <w:r w:rsidR="00B4688C" w:rsidRPr="004E28BB">
          <w:rPr>
            <w:rStyle w:val="Hyperlink"/>
            <w:rFonts w:cs="Arial"/>
          </w:rPr>
          <w:t xml:space="preserve">/Family/Support System </w:t>
        </w:r>
        <w:r w:rsidRPr="004E28BB">
          <w:rPr>
            <w:rStyle w:val="Hyperlink"/>
            <w:rFonts w:cs="Arial"/>
          </w:rPr>
          <w:t>Education</w:t>
        </w:r>
      </w:hyperlink>
      <w:r w:rsidR="00B4688C" w:rsidRPr="004E28BB">
        <w:t xml:space="preserve"> f</w:t>
      </w:r>
      <w:r w:rsidRPr="004E28BB">
        <w:t>or further details</w:t>
      </w:r>
      <w:r w:rsidR="00756447">
        <w:t>)</w:t>
      </w:r>
      <w:r w:rsidRPr="004E28BB">
        <w:t xml:space="preserve">. </w:t>
      </w:r>
    </w:p>
    <w:p w:rsidR="00FE7026" w:rsidRPr="004E28BB" w:rsidRDefault="00387A03" w:rsidP="00D41D04">
      <w:pPr>
        <w:pStyle w:val="ListNumber2"/>
      </w:pPr>
      <w:bookmarkStart w:id="47" w:name="_Toc394643182"/>
      <w:r>
        <w:rPr>
          <w:rStyle w:val="Guide2-123Char"/>
        </w:rPr>
        <w:t>RETURN TO WORK</w:t>
      </w:r>
      <w:bookmarkEnd w:id="47"/>
      <w:r w:rsidR="00322E9B" w:rsidRPr="004E28BB">
        <w:t>:</w:t>
      </w:r>
      <w:r w:rsidR="00FE7026" w:rsidRPr="004E28BB">
        <w:t xml:space="preserve"> This involves a skillful match between the individual’s physical, cognitive, emotional, </w:t>
      </w:r>
      <w:r w:rsidR="00C0784A">
        <w:t xml:space="preserve">and </w:t>
      </w:r>
      <w:r w:rsidR="00FE7026" w:rsidRPr="004E28BB">
        <w:t>behavioral abilities; the physical, cognitive, emotional, and behavioral requirements of the work; and the ability of the work environment to meet this match. Successful return-to-work activities often include vocational evaluation, job analysis, supervisor and coworker education, on-the-job</w:t>
      </w:r>
      <w:r w:rsidR="00C0784A">
        <w:t xml:space="preserve"> </w:t>
      </w:r>
      <w:r w:rsidR="00FE7026" w:rsidRPr="004E28BB">
        <w:t xml:space="preserve">trials, monitored and skillful increase of job duties and demands, job coaching, and follow-up maintenance support services. </w:t>
      </w:r>
      <w:r w:rsidR="00FE7026" w:rsidRPr="004E28BB">
        <w:br/>
      </w:r>
      <w:r w:rsidR="00FE7026" w:rsidRPr="004E28BB">
        <w:br/>
      </w:r>
      <w:r w:rsidR="002C443D" w:rsidRPr="004E28BB">
        <w:t>C</w:t>
      </w:r>
      <w:r w:rsidR="00FE7026" w:rsidRPr="004E28BB">
        <w:t>aution should be used in returning an individual to work and other</w:t>
      </w:r>
      <w:r w:rsidR="002C443D" w:rsidRPr="004E28BB">
        <w:t xml:space="preserve"> activities during the first 3</w:t>
      </w:r>
      <w:r w:rsidR="00C0784A" w:rsidRPr="00BB4C86">
        <w:t>–</w:t>
      </w:r>
      <w:r w:rsidR="002C443D" w:rsidRPr="004E28BB">
        <w:t>14</w:t>
      </w:r>
      <w:r w:rsidR="00FE7026" w:rsidRPr="004E28BB">
        <w:t xml:space="preserve"> days after MTBI. Both physical and cognitive duties should generally be non</w:t>
      </w:r>
      <w:r w:rsidR="007B38E8">
        <w:t>-</w:t>
      </w:r>
      <w:r w:rsidR="00FE7026" w:rsidRPr="004E28BB">
        <w:t xml:space="preserve">stressful initially, with a gradual increase in activity based on improvement and/or resolution of symptoms. </w:t>
      </w:r>
      <w:r w:rsidR="009B0153">
        <w:t>The individual should be competent in most basic ADLs before return</w:t>
      </w:r>
      <w:r w:rsidR="001D127F">
        <w:t xml:space="preserve"> </w:t>
      </w:r>
      <w:r w:rsidR="009B0153">
        <w:t>to</w:t>
      </w:r>
      <w:r w:rsidR="001D127F">
        <w:t xml:space="preserve"> </w:t>
      </w:r>
      <w:r w:rsidR="009B0153">
        <w:t xml:space="preserve">work is considered. </w:t>
      </w:r>
      <w:r w:rsidR="00FE7026" w:rsidRPr="004E28BB">
        <w:t>Return to full duty depends on the rate of decrease of symptoms. Generally</w:t>
      </w:r>
      <w:r w:rsidR="00C0784A">
        <w:t>,</w:t>
      </w:r>
      <w:r w:rsidR="00FE7026" w:rsidRPr="004E28BB">
        <w:t xml:space="preserve"> if symptoms recur during increasing job duties or exertion, duties should be decreased accordingly</w:t>
      </w:r>
      <w:r w:rsidR="00FE7026" w:rsidRPr="004E28BB">
        <w:rPr>
          <w:rStyle w:val="GuideCitesCharChar"/>
        </w:rPr>
        <w:t xml:space="preserve"> (</w:t>
      </w:r>
      <w:hyperlink w:anchor="DefandVetsTBIctr2008" w:history="1">
        <w:r w:rsidR="00FE7026" w:rsidRPr="00852CC9">
          <w:rPr>
            <w:rStyle w:val="Hyperlink"/>
            <w:rFonts w:cs="Arial"/>
            <w:highlight w:val="yellow"/>
          </w:rPr>
          <w:t>Defense and Veterans Brain Injury Center, 2008</w:t>
        </w:r>
      </w:hyperlink>
      <w:r w:rsidR="00FE7026" w:rsidRPr="004E28BB">
        <w:rPr>
          <w:rStyle w:val="GuideCitesCharChar"/>
        </w:rPr>
        <w:t>)</w:t>
      </w:r>
      <w:r w:rsidR="00756447">
        <w:t xml:space="preserve"> (r</w:t>
      </w:r>
      <w:r w:rsidR="00FE7026" w:rsidRPr="004E28BB">
        <w:t xml:space="preserve">efer to </w:t>
      </w:r>
      <w:r w:rsidR="00811C8B">
        <w:t>S</w:t>
      </w:r>
      <w:r w:rsidR="00F57203" w:rsidRPr="004E28BB">
        <w:t xml:space="preserve">ection </w:t>
      </w:r>
      <w:hyperlink w:anchor="TBIK2ReturnToWork" w:history="1">
        <w:r w:rsidR="00F57203" w:rsidRPr="004E28BB">
          <w:t xml:space="preserve">K.2 </w:t>
        </w:r>
        <w:r w:rsidR="0020584E">
          <w:t>Return to W</w:t>
        </w:r>
        <w:r>
          <w:t>ork</w:t>
        </w:r>
      </w:hyperlink>
      <w:r w:rsidR="00756447">
        <w:t>)</w:t>
      </w:r>
      <w:r w:rsidR="00FE7026" w:rsidRPr="004E28BB">
        <w:t>.</w:t>
      </w:r>
    </w:p>
    <w:p w:rsidR="00FE7026" w:rsidRPr="004E28BB" w:rsidRDefault="00FE7026" w:rsidP="00D41D04">
      <w:pPr>
        <w:pStyle w:val="ListNumber2"/>
      </w:pPr>
      <w:bookmarkStart w:id="48" w:name="TBIC5Disability"/>
      <w:bookmarkStart w:id="49" w:name="_Toc319922422"/>
      <w:bookmarkStart w:id="50" w:name="_Toc394643183"/>
      <w:bookmarkEnd w:id="48"/>
      <w:r w:rsidRPr="004E28BB">
        <w:rPr>
          <w:rStyle w:val="Guide2-123Char"/>
        </w:rPr>
        <w:t>DISABILITY</w:t>
      </w:r>
      <w:bookmarkEnd w:id="49"/>
      <w:bookmarkEnd w:id="50"/>
      <w:r w:rsidR="00322E9B" w:rsidRPr="004E28BB">
        <w:t>:</w:t>
      </w:r>
      <w:r w:rsidRPr="004E28BB">
        <w:t xml:space="preserve"> The World Health Organization (WHO) conceives of disability as the interaction among health conditions and environmental factors, such as social and legal structures, personal factors, including age, education and coping styles.</w:t>
      </w:r>
      <w:r w:rsidRPr="004E28BB">
        <w:br/>
      </w:r>
      <w:r w:rsidRPr="004E28BB">
        <w:br/>
        <w:t>For the purposes of th</w:t>
      </w:r>
      <w:r w:rsidR="006433BA">
        <w:t>is</w:t>
      </w:r>
      <w:r w:rsidRPr="004E28BB">
        <w:t xml:space="preserve"> guideline, we are adopting the International Classification of Functioning, Disability and Health (</w:t>
      </w:r>
      <w:r w:rsidR="00C0784A">
        <w:t>ICF</w:t>
      </w:r>
      <w:r w:rsidRPr="004E28BB">
        <w:t>) of disablement.</w:t>
      </w:r>
      <w:r w:rsidRPr="004E28BB">
        <w:br/>
      </w:r>
      <w:r w:rsidRPr="004E28BB">
        <w:br/>
        <w:t>The model recognizes the interaction between the health condition and three major components: body functions and structures, activity, and participation. These in turn are influenced by environmental and personal issues. The following definitions are used:</w:t>
      </w:r>
    </w:p>
    <w:p w:rsidR="00FE7026" w:rsidRPr="004E28BB" w:rsidRDefault="00FE7026" w:rsidP="00930F2A">
      <w:pPr>
        <w:ind w:left="2160" w:hanging="360"/>
      </w:pPr>
      <w:r w:rsidRPr="004E28BB">
        <w:t>●</w:t>
      </w:r>
      <w:r w:rsidRPr="004E28BB">
        <w:tab/>
      </w:r>
      <w:r w:rsidRPr="004E28BB">
        <w:rPr>
          <w:u w:val="single"/>
        </w:rPr>
        <w:t xml:space="preserve">Body </w:t>
      </w:r>
      <w:r w:rsidR="00C0784A">
        <w:rPr>
          <w:u w:val="single"/>
        </w:rPr>
        <w:t>F</w:t>
      </w:r>
      <w:r w:rsidRPr="004E28BB">
        <w:rPr>
          <w:u w:val="single"/>
        </w:rPr>
        <w:t>unctions</w:t>
      </w:r>
      <w:r w:rsidRPr="004E28BB">
        <w:t xml:space="preserve">: </w:t>
      </w:r>
      <w:r w:rsidR="00322E9B">
        <w:t>P</w:t>
      </w:r>
      <w:r w:rsidRPr="004E28BB">
        <w:t>hysiological functions of body systems</w:t>
      </w:r>
      <w:r w:rsidR="00930F2A">
        <w:t xml:space="preserve">, </w:t>
      </w:r>
      <w:r w:rsidRPr="004E28BB">
        <w:t>including psychological functions.</w:t>
      </w:r>
    </w:p>
    <w:p w:rsidR="00FE7026" w:rsidRPr="004E28BB" w:rsidRDefault="00FE7026" w:rsidP="00D41D04">
      <w:pPr>
        <w:ind w:left="2160" w:hanging="360"/>
      </w:pPr>
      <w:r w:rsidRPr="004E28BB">
        <w:t>●</w:t>
      </w:r>
      <w:r w:rsidRPr="004E28BB">
        <w:tab/>
      </w:r>
      <w:r w:rsidRPr="004E28BB">
        <w:rPr>
          <w:u w:val="single"/>
        </w:rPr>
        <w:t xml:space="preserve">Activity </w:t>
      </w:r>
      <w:r w:rsidR="00C0784A">
        <w:rPr>
          <w:u w:val="single"/>
        </w:rPr>
        <w:t>L</w:t>
      </w:r>
      <w:r w:rsidRPr="004E28BB">
        <w:rPr>
          <w:u w:val="single"/>
        </w:rPr>
        <w:t>imitations</w:t>
      </w:r>
      <w:r w:rsidRPr="004E28BB">
        <w:t xml:space="preserve">: </w:t>
      </w:r>
      <w:r w:rsidR="00322E9B">
        <w:t>D</w:t>
      </w:r>
      <w:r w:rsidRPr="004E28BB">
        <w:t>ifficulties an individual may have in executing activities.</w:t>
      </w:r>
    </w:p>
    <w:p w:rsidR="00FE7026" w:rsidRPr="004E28BB" w:rsidRDefault="00FE7026" w:rsidP="00D41D04">
      <w:pPr>
        <w:ind w:left="2160" w:hanging="360"/>
      </w:pPr>
      <w:r w:rsidRPr="004E28BB">
        <w:t>●</w:t>
      </w:r>
      <w:r w:rsidRPr="004E28BB">
        <w:tab/>
      </w:r>
      <w:r w:rsidRPr="004E28BB">
        <w:rPr>
          <w:u w:val="single"/>
        </w:rPr>
        <w:t xml:space="preserve">Participation </w:t>
      </w:r>
      <w:r w:rsidR="00C0784A">
        <w:rPr>
          <w:u w:val="single"/>
        </w:rPr>
        <w:t>R</w:t>
      </w:r>
      <w:r w:rsidRPr="004E28BB">
        <w:rPr>
          <w:u w:val="single"/>
        </w:rPr>
        <w:t>estrictions</w:t>
      </w:r>
      <w:r w:rsidRPr="004E28BB">
        <w:t xml:space="preserve">: </w:t>
      </w:r>
      <w:r w:rsidR="00322E9B">
        <w:t>P</w:t>
      </w:r>
      <w:r w:rsidRPr="004E28BB">
        <w:t>roblems an individual may experience in involvement in life situations.</w:t>
      </w:r>
    </w:p>
    <w:p w:rsidR="00FE7026" w:rsidRPr="004E28BB" w:rsidRDefault="00FE7026" w:rsidP="00D41D04">
      <w:pPr>
        <w:ind w:left="2160" w:hanging="360"/>
      </w:pPr>
      <w:r w:rsidRPr="004E28BB">
        <w:lastRenderedPageBreak/>
        <w:t>●</w:t>
      </w:r>
      <w:r w:rsidRPr="004E28BB">
        <w:tab/>
      </w:r>
      <w:r w:rsidRPr="004E28BB">
        <w:rPr>
          <w:u w:val="single"/>
        </w:rPr>
        <w:t>Disability</w:t>
      </w:r>
      <w:r w:rsidRPr="004E28BB">
        <w:t xml:space="preserve">: </w:t>
      </w:r>
      <w:r w:rsidR="00322E9B">
        <w:t>A</w:t>
      </w:r>
      <w:r w:rsidRPr="004E28BB">
        <w:t>ctivity limitations and/or participation restrictions in an individual with a health condition, disorder, or disease.</w:t>
      </w:r>
    </w:p>
    <w:p w:rsidR="00FE7026" w:rsidRPr="004E28BB" w:rsidRDefault="00FE7026" w:rsidP="00D41D04">
      <w:pPr>
        <w:ind w:left="1440"/>
      </w:pPr>
      <w:r w:rsidRPr="004E28BB">
        <w:t xml:space="preserve">Because of the nature of TBI and the nature of learning and memory, functional skills often cannot be generalized across working environments. Therefore, the assessment of function, evaluation, and treatment </w:t>
      </w:r>
      <w:r w:rsidR="00CE22B1" w:rsidRPr="004E28BB">
        <w:t>should</w:t>
      </w:r>
      <w:r w:rsidRPr="004E28BB">
        <w:t xml:space="preserve"> not only consider the injured worker, but also include evaluations of the individual’s “real world” environment, conducted by qualified practitioners.</w:t>
      </w:r>
    </w:p>
    <w:p w:rsidR="00FE7026" w:rsidRPr="004E28BB" w:rsidRDefault="00FE7026" w:rsidP="00D41D04">
      <w:pPr>
        <w:pStyle w:val="ListNumber2"/>
      </w:pPr>
      <w:bookmarkStart w:id="51" w:name="TBIC6CourseOfRecovery"/>
      <w:bookmarkStart w:id="52" w:name="_Toc319922423"/>
      <w:bookmarkStart w:id="53" w:name="_Toc394643184"/>
      <w:bookmarkEnd w:id="51"/>
      <w:r w:rsidRPr="004E28BB">
        <w:rPr>
          <w:rStyle w:val="Guide2-123Char"/>
        </w:rPr>
        <w:t>COURSE OF RECOVERY</w:t>
      </w:r>
      <w:bookmarkEnd w:id="52"/>
      <w:bookmarkEnd w:id="53"/>
      <w:r w:rsidR="00322E9B" w:rsidRPr="004E28BB">
        <w:t>:</w:t>
      </w:r>
      <w:r w:rsidRPr="004E28BB">
        <w:rPr>
          <w:rStyle w:val="Guide2-123Char"/>
        </w:rPr>
        <w:t xml:space="preserve"> </w:t>
      </w:r>
    </w:p>
    <w:p w:rsidR="00FE7026" w:rsidRPr="004E28BB" w:rsidRDefault="00FE7026" w:rsidP="00D41D04">
      <w:pPr>
        <w:pStyle w:val="ListNumber3"/>
      </w:pPr>
      <w:bookmarkStart w:id="54" w:name="_Toc394643185"/>
      <w:r w:rsidRPr="004E28BB">
        <w:rPr>
          <w:rStyle w:val="Guide3-abcdChar"/>
        </w:rPr>
        <w:t>M</w:t>
      </w:r>
      <w:r w:rsidR="00F5511A">
        <w:rPr>
          <w:rStyle w:val="Guide3-abcdChar"/>
        </w:rPr>
        <w:t>T</w:t>
      </w:r>
      <w:r w:rsidRPr="004E28BB">
        <w:rPr>
          <w:rStyle w:val="Guide3-abcdChar"/>
        </w:rPr>
        <w:t>B</w:t>
      </w:r>
      <w:r w:rsidR="00F5511A">
        <w:rPr>
          <w:rStyle w:val="Guide3-abcdChar"/>
        </w:rPr>
        <w:t>I</w:t>
      </w:r>
      <w:bookmarkEnd w:id="54"/>
      <w:r w:rsidR="00322E9B">
        <w:t>:</w:t>
      </w:r>
      <w:r w:rsidRPr="004E28BB">
        <w:t xml:space="preserve"> In general, 80</w:t>
      </w:r>
      <w:r w:rsidR="009217C7" w:rsidRPr="00BB4C86">
        <w:t>–</w:t>
      </w:r>
      <w:r w:rsidRPr="004E28BB">
        <w:t>90% of MTBI fully recover in less than 90 days. Another 10</w:t>
      </w:r>
      <w:r w:rsidR="009217C7" w:rsidRPr="00BB4C86">
        <w:t>–</w:t>
      </w:r>
      <w:r w:rsidRPr="004E28BB">
        <w:t>20% of persons with MTBI do not recover within 90 days and may have post</w:t>
      </w:r>
      <w:r w:rsidR="007843ED">
        <w:t>-</w:t>
      </w:r>
      <w:r w:rsidRPr="004E28BB">
        <w:t xml:space="preserve">concussive symptoms. This group may continue to report symptoms for </w:t>
      </w:r>
      <w:r w:rsidR="006C6D31">
        <w:t xml:space="preserve">several </w:t>
      </w:r>
      <w:r w:rsidRPr="004E28BB">
        <w:t xml:space="preserve">months </w:t>
      </w:r>
      <w:r w:rsidR="006C6D31">
        <w:t>or</w:t>
      </w:r>
      <w:r w:rsidR="0020584E">
        <w:t xml:space="preserve"> </w:t>
      </w:r>
      <w:r w:rsidRPr="004E28BB">
        <w:t>years</w:t>
      </w:r>
      <w:r w:rsidRPr="004E28BB">
        <w:rPr>
          <w:rStyle w:val="GuideCitesCharChar"/>
        </w:rPr>
        <w:t xml:space="preserve"> </w:t>
      </w:r>
      <w:r w:rsidRPr="004C5C4F">
        <w:rPr>
          <w:rStyle w:val="GuideCitesCharChar"/>
          <w:highlight w:val="yellow"/>
        </w:rPr>
        <w:t>(</w:t>
      </w:r>
      <w:hyperlink w:anchor="Weightman2010" w:history="1">
        <w:r w:rsidRPr="00852CC9">
          <w:rPr>
            <w:rStyle w:val="Hyperlink"/>
            <w:rFonts w:cs="Arial"/>
            <w:highlight w:val="yellow"/>
          </w:rPr>
          <w:t>Weightman, 2010</w:t>
        </w:r>
      </w:hyperlink>
      <w:r w:rsidRPr="004C5C4F">
        <w:rPr>
          <w:rStyle w:val="GuideCitesCharChar"/>
          <w:highlight w:val="yellow"/>
        </w:rPr>
        <w:t xml:space="preserve">; </w:t>
      </w:r>
      <w:hyperlink w:anchor="Carroll2004" w:history="1">
        <w:r w:rsidRPr="00852CC9">
          <w:rPr>
            <w:rStyle w:val="Hyperlink"/>
            <w:rFonts w:cs="Arial"/>
            <w:highlight w:val="yellow"/>
          </w:rPr>
          <w:t>Carroll, 2004</w:t>
        </w:r>
      </w:hyperlink>
      <w:r w:rsidRPr="004C5C4F">
        <w:rPr>
          <w:rStyle w:val="GuideCitesCharChar"/>
          <w:highlight w:val="yellow"/>
        </w:rPr>
        <w:t xml:space="preserve">; </w:t>
      </w:r>
      <w:hyperlink w:anchor="Hou2012" w:history="1">
        <w:r w:rsidRPr="00852CC9">
          <w:rPr>
            <w:rStyle w:val="Hyperlink"/>
            <w:rFonts w:cs="Arial"/>
            <w:highlight w:val="yellow"/>
          </w:rPr>
          <w:t>Hou, 2012</w:t>
        </w:r>
      </w:hyperlink>
      <w:r w:rsidRPr="004C5C4F">
        <w:rPr>
          <w:rStyle w:val="GuideCitesCharChar"/>
          <w:highlight w:val="yellow"/>
        </w:rPr>
        <w:t>)</w:t>
      </w:r>
      <w:r w:rsidR="00B30BDE" w:rsidRPr="004C5C4F">
        <w:rPr>
          <w:highlight w:val="yellow"/>
        </w:rPr>
        <w:t>.</w:t>
      </w:r>
      <w:r w:rsidRPr="004E28BB">
        <w:br/>
      </w:r>
      <w:r w:rsidRPr="004E28BB">
        <w:br/>
        <w:t xml:space="preserve">A number of acute and chronic symptoms are associated with mild </w:t>
      </w:r>
      <w:r w:rsidR="00F5511A">
        <w:t>TBI</w:t>
      </w:r>
      <w:r w:rsidRPr="004E28BB">
        <w:t>. Headache and confusion or disorientation are the most common followed by visual disturbances, dizziness or feeling unsteady, light sensitivity, amnesia, fatigue or feeling “foggy</w:t>
      </w:r>
      <w:r w:rsidR="006C6D31">
        <w:t>,</w:t>
      </w:r>
      <w:r w:rsidRPr="004E28BB">
        <w:t>” alteration of consciousness, sleep disturbance</w:t>
      </w:r>
      <w:r w:rsidR="006C6D31">
        <w:t>,</w:t>
      </w:r>
      <w:r w:rsidRPr="004E28BB">
        <w:t xml:space="preserve"> and nausea. In individuals with MTBI, neurological recovery is generally achieved at one year post-injury or sooner, but functional changes may be made beyond one year.</w:t>
      </w:r>
      <w:r w:rsidR="00163C59" w:rsidRPr="004E28BB">
        <w:t xml:space="preserve"> In the absence of secondary or tertiary complications like hydrocephalus, seizures</w:t>
      </w:r>
      <w:r w:rsidR="006C6D31">
        <w:t>,</w:t>
      </w:r>
      <w:r w:rsidR="00163C59" w:rsidRPr="004E28BB">
        <w:t xml:space="preserve"> or extra-axial fluid collections (e.g., subdural or epidural fluid collections), ongoing improvement with eventual stability of symptoms is the general expectation after mild TBI. Deterioration over time after mild TBI is uncommon, and in situations where patients have worsening complaints after mild TBI, other issues such as psychological or social stressors should be considered in the differential or other unidentified diagnosis</w:t>
      </w:r>
      <w:r w:rsidRPr="004E28BB">
        <w:t xml:space="preserve">. </w:t>
      </w:r>
    </w:p>
    <w:p w:rsidR="00FE7026" w:rsidRPr="004E28BB" w:rsidRDefault="00FE7026" w:rsidP="00D41D04">
      <w:pPr>
        <w:pStyle w:val="ListNumber2"/>
        <w:numPr>
          <w:ilvl w:val="2"/>
          <w:numId w:val="9"/>
        </w:numPr>
      </w:pPr>
      <w:bookmarkStart w:id="55" w:name="_Toc394643186"/>
      <w:r w:rsidRPr="004E28BB">
        <w:rPr>
          <w:rStyle w:val="Guide3-abcdChar"/>
        </w:rPr>
        <w:t>Moderate/Severe TBI</w:t>
      </w:r>
      <w:bookmarkEnd w:id="55"/>
      <w:r w:rsidR="00322E9B" w:rsidRPr="004E28BB">
        <w:t>:</w:t>
      </w:r>
      <w:r w:rsidRPr="004E28BB">
        <w:t xml:space="preserve"> </w:t>
      </w:r>
      <w:r w:rsidRPr="004E28BB">
        <w:rPr>
          <w:rStyle w:val="ListNumber3Char1"/>
        </w:rPr>
        <w:t xml:space="preserve">Neurological recovery following moderate/severe </w:t>
      </w:r>
      <w:r w:rsidR="0056633D">
        <w:rPr>
          <w:rStyle w:val="ListNumber3Char1"/>
        </w:rPr>
        <w:t>TBI</w:t>
      </w:r>
      <w:r w:rsidRPr="004E28BB">
        <w:rPr>
          <w:rStyle w:val="ListNumber3Char1"/>
        </w:rPr>
        <w:t xml:space="preserve"> is greatest in the first 12 months post-injury, but may occur for up to two years post-injury, with further functional improvements beyond two years. Due to the variable and dynamic nature of disability secondary to TBI, individuals with moderate/severe TBI may either improve or deteriorate over time. In most cases of moderate/severe </w:t>
      </w:r>
      <w:r w:rsidR="0056633D">
        <w:rPr>
          <w:rStyle w:val="ListNumber3Char1"/>
        </w:rPr>
        <w:t>TBI</w:t>
      </w:r>
      <w:r w:rsidRPr="004E28BB">
        <w:rPr>
          <w:rStyle w:val="ListNumber3Char1"/>
        </w:rPr>
        <w:t xml:space="preserve">, and in some unusual circumstances of MTBI, impairment will be life-long, and will require a life-long maintenance plan of services. Complications may warrant periods of active treatment in addition to the maintenance plan. </w:t>
      </w:r>
      <w:r w:rsidRPr="004E28BB">
        <w:rPr>
          <w:rStyle w:val="ListNumber3Char1"/>
        </w:rPr>
        <w:br/>
      </w:r>
      <w:r w:rsidRPr="004E28BB">
        <w:rPr>
          <w:rStyle w:val="ListNumber3Char1"/>
        </w:rPr>
        <w:br/>
        <w:t xml:space="preserve">In at least 40% of cases, TBI is accompanied by other substantial trauma (e.g. internal, </w:t>
      </w:r>
      <w:r w:rsidR="00E96BC2" w:rsidRPr="004E28BB">
        <w:rPr>
          <w:rStyle w:val="ListNumber3Char1"/>
        </w:rPr>
        <w:t xml:space="preserve">endocrine, </w:t>
      </w:r>
      <w:r w:rsidRPr="004E28BB">
        <w:rPr>
          <w:rStyle w:val="ListNumber3Char1"/>
        </w:rPr>
        <w:t>orthopedic injuries) which may involve dysfunction in other bodily systems. Psychological issues also occur frequently and are discussed in this guideline. Users of these TBI Guidelines are encouraged to employ appropriate guidelines for other disorders and dysfunction as the need arises</w:t>
      </w:r>
      <w:r w:rsidRPr="004E28BB">
        <w:t>.</w:t>
      </w:r>
    </w:p>
    <w:p w:rsidR="00FE7026" w:rsidRPr="004E28BB" w:rsidRDefault="00FE7026" w:rsidP="00D41D04">
      <w:pPr>
        <w:pStyle w:val="ListNumber2"/>
      </w:pPr>
      <w:bookmarkStart w:id="56" w:name="_Toc319922424"/>
      <w:bookmarkStart w:id="57" w:name="_Toc394643187"/>
      <w:r w:rsidRPr="004E28BB">
        <w:rPr>
          <w:rStyle w:val="Guide2-123Char"/>
        </w:rPr>
        <w:t>GUARDIANSHIP AND CONSERVATORSHIP</w:t>
      </w:r>
      <w:bookmarkEnd w:id="56"/>
      <w:bookmarkEnd w:id="57"/>
      <w:r w:rsidR="00322E9B" w:rsidRPr="004E28BB">
        <w:t>:</w:t>
      </w:r>
      <w:r w:rsidRPr="004E28BB">
        <w:t xml:space="preserve"> Individuals with TBI, usually moderate/severe TBI, may clinically be determined to lack capacity to make competent informed decisions concerning their medical care, housing, and/or finances. Health care providers, insurance carriers, and case managers should become familiar with </w:t>
      </w:r>
      <w:smartTag w:uri="urn:schemas-microsoft-com:office:smarttags" w:element="place">
        <w:smartTag w:uri="urn:schemas-microsoft-com:office:smarttags" w:element="State">
          <w:r w:rsidRPr="004E28BB">
            <w:t>Colorado</w:t>
          </w:r>
        </w:smartTag>
      </w:smartTag>
      <w:r w:rsidRPr="004E28BB">
        <w:t xml:space="preserve"> laws regarding incompetency, guardianship, conservatorship, medical and durable power of attorney, advanced directives, living wills, etc., </w:t>
      </w:r>
      <w:r w:rsidR="006C6D31">
        <w:t>in order to</w:t>
      </w:r>
      <w:r w:rsidRPr="004E28BB">
        <w:t xml:space="preserve"> provide </w:t>
      </w:r>
      <w:r w:rsidR="00387A03">
        <w:t>family and/or support system</w:t>
      </w:r>
      <w:r w:rsidRPr="004E28BB">
        <w:t xml:space="preserve"> members with </w:t>
      </w:r>
      <w:r w:rsidR="006C6D31">
        <w:lastRenderedPageBreak/>
        <w:t xml:space="preserve">the </w:t>
      </w:r>
      <w:r w:rsidRPr="004E28BB">
        <w:t>appropriate education and/or resources concerning these issues when clinically indicated.</w:t>
      </w:r>
    </w:p>
    <w:p w:rsidR="007F2A10" w:rsidRPr="004E28BB" w:rsidRDefault="00FE7026" w:rsidP="007F2A10">
      <w:pPr>
        <w:pStyle w:val="ListNumber2"/>
        <w:rPr>
          <w:sz w:val="32"/>
          <w:szCs w:val="32"/>
        </w:rPr>
      </w:pPr>
      <w:bookmarkStart w:id="58" w:name="_Toc319922425"/>
      <w:bookmarkStart w:id="59" w:name="_Toc394643188"/>
      <w:r w:rsidRPr="004E28BB">
        <w:rPr>
          <w:rStyle w:val="Guide2-123Char"/>
        </w:rPr>
        <w:t>SYSTEMS OF CARE</w:t>
      </w:r>
      <w:bookmarkEnd w:id="58"/>
      <w:bookmarkEnd w:id="59"/>
      <w:r w:rsidR="00322E9B" w:rsidRPr="004E28BB">
        <w:t>:</w:t>
      </w:r>
      <w:r w:rsidRPr="004E28BB">
        <w:t xml:space="preserve"> Integration of systems of care has the goal of assisting individuals with TBI in progressing along a continuum of care toward achieving optimal clinical outcomes as efficiently and as cost-effectively as possible (</w:t>
      </w:r>
      <w:r w:rsidRPr="00322E9B">
        <w:t>Figure 1)</w:t>
      </w:r>
      <w:r w:rsidR="006C6D31" w:rsidRPr="00322E9B">
        <w:t>.</w:t>
      </w:r>
      <w:r w:rsidRPr="004E28BB">
        <w:rPr>
          <w:b/>
        </w:rPr>
        <w:t xml:space="preserve"> </w:t>
      </w:r>
      <w:r w:rsidRPr="004E28BB">
        <w:t>Long-term outcome and “value” are recognized as superior to short-term</w:t>
      </w:r>
      <w:r w:rsidR="006C6D31">
        <w:t>,</w:t>
      </w:r>
      <w:r w:rsidRPr="004E28BB">
        <w:t xml:space="preserve"> price-driven management. (</w:t>
      </w:r>
      <w:r w:rsidRPr="00322E9B">
        <w:t xml:space="preserve">Please go to </w:t>
      </w:r>
      <w:r w:rsidR="006C6D31" w:rsidRPr="00322E9B">
        <w:t xml:space="preserve">the </w:t>
      </w:r>
      <w:r w:rsidRPr="00322E9B">
        <w:t>next page</w:t>
      </w:r>
      <w:r w:rsidRPr="004E28BB">
        <w:t>).</w:t>
      </w:r>
      <w:r w:rsidRPr="004E28BB">
        <w:br w:type="page"/>
      </w:r>
      <w:r w:rsidR="007F2A10" w:rsidRPr="004E28BB">
        <w:rPr>
          <w:sz w:val="32"/>
          <w:szCs w:val="32"/>
        </w:rPr>
        <w:lastRenderedPageBreak/>
        <w:t>Model Systems Continuum of Care for Individuals with Moderate</w:t>
      </w:r>
      <w:r w:rsidR="006C6D31">
        <w:rPr>
          <w:sz w:val="32"/>
          <w:szCs w:val="32"/>
        </w:rPr>
        <w:t>/</w:t>
      </w:r>
      <w:r w:rsidR="007F2A10" w:rsidRPr="004E28BB">
        <w:rPr>
          <w:sz w:val="32"/>
          <w:szCs w:val="32"/>
        </w:rPr>
        <w:t>Severe TBI</w:t>
      </w:r>
    </w:p>
    <w:p w:rsidR="007F2A10" w:rsidRPr="004E28BB" w:rsidRDefault="007F2A10" w:rsidP="007F2A10">
      <w:r w:rsidRPr="004E28BB">
        <w:tab/>
      </w:r>
    </w:p>
    <w:p w:rsidR="007F2A10" w:rsidRPr="004E28BB" w:rsidRDefault="007F2A10" w:rsidP="00104C4D">
      <w:pPr>
        <w:ind w:right="-480"/>
        <w:jc w:val="center"/>
      </w:pPr>
      <w:r w:rsidRPr="004E28BB">
        <w:t>Figure 1: Continuum of Care (adapted from the Rocky Mountain Regional Brain Injury System, 1991)</w:t>
      </w:r>
    </w:p>
    <w:p w:rsidR="00104C4D" w:rsidRPr="004E28BB" w:rsidRDefault="00104C4D" w:rsidP="00104C4D">
      <w:pPr>
        <w:ind w:right="-480"/>
        <w:jc w:val="center"/>
      </w:pPr>
    </w:p>
    <w:p w:rsidR="007F2A10" w:rsidRPr="004E28BB" w:rsidRDefault="00AF4148" w:rsidP="007F2A10">
      <w:pPr>
        <w:tabs>
          <w:tab w:val="left" w:pos="-1440"/>
          <w:tab w:val="left" w:pos="0"/>
          <w:tab w:val="left" w:pos="162"/>
          <w:tab w:val="left" w:pos="6192"/>
        </w:tabs>
        <w:ind w:left="162" w:right="252"/>
        <w:jc w:val="both"/>
        <w:rPr>
          <w:b/>
          <w:bCs/>
        </w:rPr>
      </w:pPr>
      <w:r>
        <w:rPr>
          <w:noProof/>
        </w:rPr>
        <mc:AlternateContent>
          <mc:Choice Requires="wps">
            <w:drawing>
              <wp:anchor distT="0" distB="0" distL="114300" distR="114300" simplePos="0" relativeHeight="251655168" behindDoc="1" locked="0" layoutInCell="1" allowOverlap="1" wp14:anchorId="7761B355" wp14:editId="7A29C9F6">
                <wp:simplePos x="0" y="0"/>
                <wp:positionH relativeFrom="column">
                  <wp:posOffset>3657600</wp:posOffset>
                </wp:positionH>
                <wp:positionV relativeFrom="paragraph">
                  <wp:posOffset>11430</wp:posOffset>
                </wp:positionV>
                <wp:extent cx="1028700" cy="571500"/>
                <wp:effectExtent l="0" t="0" r="0" b="0"/>
                <wp:wrapNone/>
                <wp:docPr id="2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w="6350">
                          <a:solidFill>
                            <a:srgbClr val="000000"/>
                          </a:solidFill>
                          <a:miter lim="800000"/>
                          <a:headEnd/>
                          <a:tailEnd/>
                        </a:ln>
                      </wps:spPr>
                      <wps:txbx>
                        <w:txbxContent>
                          <w:p w:rsidR="009018EE" w:rsidRDefault="009018EE" w:rsidP="007F2A10">
                            <w:pPr>
                              <w:spacing w:before="0"/>
                              <w:jc w:val="center"/>
                              <w:rPr>
                                <w:sz w:val="12"/>
                                <w:szCs w:val="12"/>
                              </w:rPr>
                            </w:pPr>
                            <w:r>
                              <w:rPr>
                                <w:sz w:val="12"/>
                                <w:szCs w:val="12"/>
                              </w:rPr>
                              <w:t>Home with Family</w:t>
                            </w:r>
                          </w:p>
                          <w:p w:rsidR="009018EE" w:rsidRDefault="009018EE" w:rsidP="007F2A10">
                            <w:pPr>
                              <w:spacing w:before="0"/>
                              <w:jc w:val="center"/>
                              <w:rPr>
                                <w:sz w:val="12"/>
                                <w:szCs w:val="12"/>
                              </w:rPr>
                            </w:pPr>
                            <w:r>
                              <w:rPr>
                                <w:sz w:val="12"/>
                                <w:szCs w:val="12"/>
                              </w:rPr>
                              <w:t>With Outpatient / Day</w:t>
                            </w:r>
                          </w:p>
                          <w:p w:rsidR="009018EE" w:rsidRDefault="009018EE" w:rsidP="007F2A10">
                            <w:pPr>
                              <w:spacing w:before="0"/>
                              <w:jc w:val="center"/>
                              <w:rPr>
                                <w:sz w:val="12"/>
                                <w:szCs w:val="12"/>
                              </w:rPr>
                            </w:pPr>
                            <w:r>
                              <w:rPr>
                                <w:sz w:val="12"/>
                                <w:szCs w:val="12"/>
                              </w:rPr>
                              <w:t>Treatment or</w:t>
                            </w:r>
                          </w:p>
                          <w:p w:rsidR="009018EE" w:rsidRDefault="009018EE" w:rsidP="007F2A10">
                            <w:pPr>
                              <w:spacing w:before="0"/>
                              <w:jc w:val="center"/>
                              <w:rPr>
                                <w:sz w:val="12"/>
                                <w:szCs w:val="12"/>
                              </w:rPr>
                            </w:pPr>
                            <w:r>
                              <w:rPr>
                                <w:sz w:val="12"/>
                                <w:szCs w:val="12"/>
                              </w:rPr>
                              <w:t>Home/Community</w:t>
                            </w:r>
                          </w:p>
                          <w:p w:rsidR="009018EE" w:rsidRDefault="009018EE" w:rsidP="007F2A10">
                            <w:pPr>
                              <w:spacing w:before="0"/>
                              <w:jc w:val="center"/>
                              <w:rPr>
                                <w:smallCaps/>
                                <w:sz w:val="12"/>
                                <w:szCs w:val="12"/>
                              </w:rPr>
                            </w:pPr>
                            <w:r>
                              <w:rPr>
                                <w:sz w:val="12"/>
                                <w:szCs w:val="12"/>
                              </w:rPr>
                              <w:t>Based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left:0;text-align:left;margin-left:4in;margin-top:.9pt;width:81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89sKQIAAFIEAAAOAAAAZHJzL2Uyb0RvYy54bWysVNtu2zAMfR+wfxD0vthJkzQz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" strokeweight=".5pt">
                <v:textbox>
                  <w:txbxContent>
                    <w:p w:rsidR="009018EE" w:rsidRDefault="009018EE" w:rsidP="007F2A10">
                      <w:pPr>
                        <w:spacing w:before="0"/>
                        <w:jc w:val="center"/>
                        <w:rPr>
                          <w:sz w:val="12"/>
                          <w:szCs w:val="12"/>
                        </w:rPr>
                      </w:pPr>
                      <w:r>
                        <w:rPr>
                          <w:sz w:val="12"/>
                          <w:szCs w:val="12"/>
                        </w:rPr>
                        <w:t>Home with Family</w:t>
                      </w:r>
                    </w:p>
                    <w:p w:rsidR="009018EE" w:rsidRDefault="009018EE" w:rsidP="007F2A10">
                      <w:pPr>
                        <w:spacing w:before="0"/>
                        <w:jc w:val="center"/>
                        <w:rPr>
                          <w:sz w:val="12"/>
                          <w:szCs w:val="12"/>
                        </w:rPr>
                      </w:pPr>
                      <w:r>
                        <w:rPr>
                          <w:sz w:val="12"/>
                          <w:szCs w:val="12"/>
                        </w:rPr>
                        <w:t>With Outpatient / Day</w:t>
                      </w:r>
                    </w:p>
                    <w:p w:rsidR="009018EE" w:rsidRDefault="009018EE" w:rsidP="007F2A10">
                      <w:pPr>
                        <w:spacing w:before="0"/>
                        <w:jc w:val="center"/>
                        <w:rPr>
                          <w:sz w:val="12"/>
                          <w:szCs w:val="12"/>
                        </w:rPr>
                      </w:pPr>
                      <w:r>
                        <w:rPr>
                          <w:sz w:val="12"/>
                          <w:szCs w:val="12"/>
                        </w:rPr>
                        <w:t>Treatment or</w:t>
                      </w:r>
                    </w:p>
                    <w:p w:rsidR="009018EE" w:rsidRDefault="009018EE" w:rsidP="007F2A10">
                      <w:pPr>
                        <w:spacing w:before="0"/>
                        <w:jc w:val="center"/>
                        <w:rPr>
                          <w:sz w:val="12"/>
                          <w:szCs w:val="12"/>
                        </w:rPr>
                      </w:pPr>
                      <w:r>
                        <w:rPr>
                          <w:sz w:val="12"/>
                          <w:szCs w:val="12"/>
                        </w:rPr>
                        <w:t>Home/Community</w:t>
                      </w:r>
                    </w:p>
                    <w:p w:rsidR="009018EE" w:rsidRDefault="009018EE" w:rsidP="007F2A10">
                      <w:pPr>
                        <w:spacing w:before="0"/>
                        <w:jc w:val="center"/>
                        <w:rPr>
                          <w:smallCaps/>
                          <w:sz w:val="12"/>
                          <w:szCs w:val="12"/>
                        </w:rPr>
                      </w:pPr>
                      <w:r>
                        <w:rPr>
                          <w:sz w:val="12"/>
                          <w:szCs w:val="12"/>
                        </w:rPr>
                        <w:t>Based Services</w:t>
                      </w:r>
                    </w:p>
                  </w:txbxContent>
                </v:textbox>
              </v:shape>
            </w:pict>
          </mc:Fallback>
        </mc:AlternateContent>
      </w:r>
    </w:p>
    <w:p w:rsidR="007F2A10" w:rsidRPr="004E28BB" w:rsidRDefault="00AF4148" w:rsidP="007F2A10">
      <w:pPr>
        <w:tabs>
          <w:tab w:val="left" w:pos="-1440"/>
          <w:tab w:val="left" w:pos="0"/>
          <w:tab w:val="left" w:pos="162"/>
          <w:tab w:val="left" w:pos="6192"/>
        </w:tabs>
        <w:ind w:left="162" w:right="252"/>
        <w:jc w:val="both"/>
        <w:rPr>
          <w:b/>
          <w:bCs/>
        </w:rPr>
      </w:pPr>
      <w:r>
        <w:rPr>
          <w:noProof/>
        </w:rPr>
        <mc:AlternateContent>
          <mc:Choice Requires="wps">
            <w:drawing>
              <wp:anchor distT="0" distB="0" distL="114300" distR="114300" simplePos="0" relativeHeight="251654144" behindDoc="1" locked="0" layoutInCell="1" allowOverlap="1" wp14:anchorId="3035D130" wp14:editId="1BA6EACB">
                <wp:simplePos x="0" y="0"/>
                <wp:positionH relativeFrom="column">
                  <wp:posOffset>4229100</wp:posOffset>
                </wp:positionH>
                <wp:positionV relativeFrom="paragraph">
                  <wp:posOffset>170180</wp:posOffset>
                </wp:positionV>
                <wp:extent cx="959485" cy="914400"/>
                <wp:effectExtent l="0" t="0" r="0" b="0"/>
                <wp:wrapNone/>
                <wp:docPr id="2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485" cy="914400"/>
                        </a:xfrm>
                        <a:prstGeom prst="rect">
                          <a:avLst/>
                        </a:prstGeom>
                        <a:noFill/>
                        <a:ln w="508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333pt;margin-top:13.4pt;width:75.5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" filled="f" strokeweight="4pt"/>
            </w:pict>
          </mc:Fallback>
        </mc:AlternateContent>
      </w:r>
      <w:r>
        <w:rPr>
          <w:noProof/>
        </w:rPr>
        <mc:AlternateContent>
          <mc:Choice Requires="wps">
            <w:drawing>
              <wp:anchor distT="0" distB="0" distL="114300" distR="114300" simplePos="0" relativeHeight="251653120" behindDoc="1" locked="0" layoutInCell="1" allowOverlap="1" wp14:anchorId="6D8A24BE" wp14:editId="67B0734C">
                <wp:simplePos x="0" y="0"/>
                <wp:positionH relativeFrom="column">
                  <wp:posOffset>3543300</wp:posOffset>
                </wp:positionH>
                <wp:positionV relativeFrom="paragraph">
                  <wp:posOffset>170180</wp:posOffset>
                </wp:positionV>
                <wp:extent cx="685800" cy="914400"/>
                <wp:effectExtent l="0" t="0" r="0" b="0"/>
                <wp:wrapNone/>
                <wp:docPr id="2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914400"/>
                        </a:xfrm>
                        <a:prstGeom prst="rect">
                          <a:avLst/>
                        </a:prstGeom>
                        <a:noFill/>
                        <a:ln w="508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279pt;margin-top:13.4pt;width:54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" filled="f" strokeweight="4pt"/>
            </w:pict>
          </mc:Fallback>
        </mc:AlternateContent>
      </w:r>
    </w:p>
    <w:p w:rsidR="007F2A10" w:rsidRPr="004E28BB" w:rsidRDefault="00AF4148" w:rsidP="007F2A10">
      <w:pPr>
        <w:tabs>
          <w:tab w:val="left" w:pos="-1440"/>
          <w:tab w:val="left" w:pos="0"/>
          <w:tab w:val="left" w:pos="162"/>
          <w:tab w:val="left" w:pos="1440"/>
          <w:tab w:val="left" w:pos="2160"/>
          <w:tab w:val="left" w:pos="2880"/>
          <w:tab w:val="left" w:pos="3600"/>
          <w:tab w:val="left" w:pos="4320"/>
          <w:tab w:val="left" w:leader="dot" w:pos="5040"/>
          <w:tab w:val="left" w:leader="dot" w:pos="5760"/>
          <w:tab w:val="left" w:leader="dot" w:pos="6192"/>
          <w:tab w:val="left" w:leader="dot" w:pos="7200"/>
          <w:tab w:val="left" w:leader="dot" w:pos="7920"/>
          <w:tab w:val="left" w:leader="dot" w:pos="8640"/>
          <w:tab w:val="left" w:leader="dot" w:pos="9360"/>
        </w:tabs>
        <w:ind w:left="162" w:right="252"/>
        <w:jc w:val="both"/>
        <w:rPr>
          <w:b/>
          <w:bCs/>
        </w:rPr>
      </w:pPr>
      <w:r>
        <w:rPr>
          <w:noProof/>
        </w:rPr>
        <mc:AlternateContent>
          <mc:Choice Requires="wps">
            <w:drawing>
              <wp:anchor distT="0" distB="0" distL="114300" distR="114300" simplePos="0" relativeHeight="251659264" behindDoc="1" locked="0" layoutInCell="1" allowOverlap="1" wp14:anchorId="77442890" wp14:editId="0CD5031E">
                <wp:simplePos x="0" y="0"/>
                <wp:positionH relativeFrom="column">
                  <wp:posOffset>4800600</wp:posOffset>
                </wp:positionH>
                <wp:positionV relativeFrom="paragraph">
                  <wp:posOffset>144780</wp:posOffset>
                </wp:positionV>
                <wp:extent cx="984250" cy="1264920"/>
                <wp:effectExtent l="0" t="0" r="0" b="0"/>
                <wp:wrapNone/>
                <wp:docPr id="2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264920"/>
                        </a:xfrm>
                        <a:prstGeom prst="rect">
                          <a:avLst/>
                        </a:prstGeom>
                        <a:solidFill>
                          <a:srgbClr val="FFFFFF"/>
                        </a:solidFill>
                        <a:ln w="6350">
                          <a:solidFill>
                            <a:srgbClr val="000000"/>
                          </a:solidFill>
                          <a:miter lim="800000"/>
                          <a:headEnd/>
                          <a:tailEnd/>
                        </a:ln>
                      </wps:spPr>
                      <wps:txbx>
                        <w:txbxContent>
                          <w:p w:rsidR="009018EE" w:rsidRDefault="009018EE" w:rsidP="007F2A10">
                            <w:pPr>
                              <w:spacing w:before="0"/>
                              <w:jc w:val="center"/>
                              <w:rPr>
                                <w:sz w:val="12"/>
                                <w:szCs w:val="12"/>
                              </w:rPr>
                            </w:pPr>
                            <w:r>
                              <w:rPr>
                                <w:sz w:val="12"/>
                                <w:szCs w:val="12"/>
                              </w:rPr>
                              <w:t>Independent Living</w:t>
                            </w:r>
                          </w:p>
                          <w:p w:rsidR="009018EE" w:rsidRDefault="009018EE" w:rsidP="007F2A10">
                            <w:pPr>
                              <w:spacing w:before="0"/>
                              <w:jc w:val="center"/>
                              <w:rPr>
                                <w:sz w:val="12"/>
                                <w:szCs w:val="12"/>
                              </w:rPr>
                            </w:pPr>
                          </w:p>
                          <w:p w:rsidR="009018EE" w:rsidRDefault="009018EE" w:rsidP="007F2A10">
                            <w:pPr>
                              <w:spacing w:before="0"/>
                              <w:jc w:val="center"/>
                              <w:rPr>
                                <w:sz w:val="12"/>
                                <w:szCs w:val="12"/>
                              </w:rPr>
                            </w:pPr>
                            <w:r>
                              <w:rPr>
                                <w:sz w:val="12"/>
                                <w:szCs w:val="12"/>
                              </w:rPr>
                              <w:t>Supported Living</w:t>
                            </w:r>
                          </w:p>
                          <w:p w:rsidR="009018EE" w:rsidRDefault="009018EE" w:rsidP="007F2A10">
                            <w:pPr>
                              <w:spacing w:before="0"/>
                              <w:jc w:val="center"/>
                              <w:rPr>
                                <w:sz w:val="12"/>
                                <w:szCs w:val="12"/>
                              </w:rPr>
                            </w:pPr>
                            <w:r>
                              <w:rPr>
                                <w:sz w:val="12"/>
                                <w:szCs w:val="12"/>
                              </w:rPr>
                              <w:t>Program: Group Home</w:t>
                            </w:r>
                          </w:p>
                          <w:p w:rsidR="009018EE" w:rsidRDefault="009018EE" w:rsidP="007F2A10">
                            <w:pPr>
                              <w:spacing w:before="0"/>
                              <w:jc w:val="center"/>
                              <w:rPr>
                                <w:sz w:val="12"/>
                                <w:szCs w:val="12"/>
                              </w:rPr>
                            </w:pPr>
                          </w:p>
                          <w:p w:rsidR="009018EE" w:rsidRDefault="009018EE" w:rsidP="007F2A10">
                            <w:pPr>
                              <w:spacing w:before="0"/>
                              <w:jc w:val="center"/>
                              <w:rPr>
                                <w:sz w:val="12"/>
                                <w:szCs w:val="12"/>
                              </w:rPr>
                            </w:pPr>
                            <w:r>
                              <w:rPr>
                                <w:sz w:val="12"/>
                                <w:szCs w:val="12"/>
                              </w:rPr>
                              <w:t>Supported Living Program: Apartment</w:t>
                            </w:r>
                          </w:p>
                          <w:p w:rsidR="009018EE" w:rsidRDefault="009018EE" w:rsidP="007F2A10">
                            <w:pPr>
                              <w:spacing w:before="0"/>
                              <w:jc w:val="center"/>
                              <w:rPr>
                                <w:sz w:val="12"/>
                                <w:szCs w:val="12"/>
                              </w:rPr>
                            </w:pPr>
                          </w:p>
                          <w:p w:rsidR="009018EE" w:rsidRDefault="009018EE" w:rsidP="007F2A10">
                            <w:pPr>
                              <w:spacing w:before="0"/>
                              <w:jc w:val="center"/>
                              <w:rPr>
                                <w:sz w:val="12"/>
                                <w:szCs w:val="12"/>
                              </w:rPr>
                            </w:pPr>
                            <w:r>
                              <w:rPr>
                                <w:sz w:val="12"/>
                                <w:szCs w:val="12"/>
                              </w:rPr>
                              <w:t xml:space="preserve">Home with Family and </w:t>
                            </w:r>
                          </w:p>
                          <w:p w:rsidR="009018EE" w:rsidRDefault="009018EE" w:rsidP="007F2A10">
                            <w:pPr>
                              <w:spacing w:before="0"/>
                              <w:jc w:val="center"/>
                              <w:rPr>
                                <w:sz w:val="12"/>
                                <w:szCs w:val="12"/>
                              </w:rPr>
                            </w:pPr>
                            <w:r>
                              <w:rPr>
                                <w:sz w:val="12"/>
                                <w:szCs w:val="12"/>
                              </w:rPr>
                              <w:t>Home Service</w:t>
                            </w:r>
                          </w:p>
                          <w:p w:rsidR="009018EE" w:rsidRDefault="009018EE" w:rsidP="007F2A10">
                            <w:pPr>
                              <w:spacing w:before="0"/>
                              <w:jc w:val="center"/>
                              <w:rPr>
                                <w:sz w:val="12"/>
                                <w:szCs w:val="12"/>
                              </w:rPr>
                            </w:pPr>
                          </w:p>
                          <w:p w:rsidR="009018EE" w:rsidRDefault="009018EE" w:rsidP="007F2A10">
                            <w:pPr>
                              <w:spacing w:before="0"/>
                              <w:jc w:val="center"/>
                              <w:rPr>
                                <w:sz w:val="16"/>
                                <w:szCs w:val="16"/>
                              </w:rPr>
                            </w:pPr>
                            <w:r>
                              <w:rPr>
                                <w:sz w:val="12"/>
                                <w:szCs w:val="12"/>
                              </w:rPr>
                              <w:t>Skilled Nursing Facility</w:t>
                            </w:r>
                          </w:p>
                          <w:p w:rsidR="009018EE" w:rsidRDefault="009018EE" w:rsidP="007F2A10">
                            <w:pPr>
                              <w:rPr>
                                <w:sz w:val="16"/>
                                <w:szCs w:val="16"/>
                              </w:rPr>
                            </w:pPr>
                          </w:p>
                          <w:p w:rsidR="009018EE" w:rsidRDefault="009018EE" w:rsidP="007F2A10">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7" type="#_x0000_t202" style="position:absolute;left:0;text-align:left;margin-left:378pt;margin-top:11.4pt;width:77.5pt;height:9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" strokeweight=".5pt">
                <v:textbox>
                  <w:txbxContent>
                    <w:p w:rsidR="009018EE" w:rsidRDefault="009018EE" w:rsidP="007F2A10">
                      <w:pPr>
                        <w:spacing w:before="0"/>
                        <w:jc w:val="center"/>
                        <w:rPr>
                          <w:sz w:val="12"/>
                          <w:szCs w:val="12"/>
                        </w:rPr>
                      </w:pPr>
                      <w:r>
                        <w:rPr>
                          <w:sz w:val="12"/>
                          <w:szCs w:val="12"/>
                        </w:rPr>
                        <w:t>Independent Living</w:t>
                      </w:r>
                    </w:p>
                    <w:p w:rsidR="009018EE" w:rsidRDefault="009018EE" w:rsidP="007F2A10">
                      <w:pPr>
                        <w:spacing w:before="0"/>
                        <w:jc w:val="center"/>
                        <w:rPr>
                          <w:sz w:val="12"/>
                          <w:szCs w:val="12"/>
                        </w:rPr>
                      </w:pPr>
                    </w:p>
                    <w:p w:rsidR="009018EE" w:rsidRDefault="009018EE" w:rsidP="007F2A10">
                      <w:pPr>
                        <w:spacing w:before="0"/>
                        <w:jc w:val="center"/>
                        <w:rPr>
                          <w:sz w:val="12"/>
                          <w:szCs w:val="12"/>
                        </w:rPr>
                      </w:pPr>
                      <w:r>
                        <w:rPr>
                          <w:sz w:val="12"/>
                          <w:szCs w:val="12"/>
                        </w:rPr>
                        <w:t>Supported Living</w:t>
                      </w:r>
                    </w:p>
                    <w:p w:rsidR="009018EE" w:rsidRDefault="009018EE" w:rsidP="007F2A10">
                      <w:pPr>
                        <w:spacing w:before="0"/>
                        <w:jc w:val="center"/>
                        <w:rPr>
                          <w:sz w:val="12"/>
                          <w:szCs w:val="12"/>
                        </w:rPr>
                      </w:pPr>
                      <w:r>
                        <w:rPr>
                          <w:sz w:val="12"/>
                          <w:szCs w:val="12"/>
                        </w:rPr>
                        <w:t>Program: Group Home</w:t>
                      </w:r>
                    </w:p>
                    <w:p w:rsidR="009018EE" w:rsidRDefault="009018EE" w:rsidP="007F2A10">
                      <w:pPr>
                        <w:spacing w:before="0"/>
                        <w:jc w:val="center"/>
                        <w:rPr>
                          <w:sz w:val="12"/>
                          <w:szCs w:val="12"/>
                        </w:rPr>
                      </w:pPr>
                    </w:p>
                    <w:p w:rsidR="009018EE" w:rsidRDefault="009018EE" w:rsidP="007F2A10">
                      <w:pPr>
                        <w:spacing w:before="0"/>
                        <w:jc w:val="center"/>
                        <w:rPr>
                          <w:sz w:val="12"/>
                          <w:szCs w:val="12"/>
                        </w:rPr>
                      </w:pPr>
                      <w:r>
                        <w:rPr>
                          <w:sz w:val="12"/>
                          <w:szCs w:val="12"/>
                        </w:rPr>
                        <w:t>Supported Living Program: Apartment</w:t>
                      </w:r>
                    </w:p>
                    <w:p w:rsidR="009018EE" w:rsidRDefault="009018EE" w:rsidP="007F2A10">
                      <w:pPr>
                        <w:spacing w:before="0"/>
                        <w:jc w:val="center"/>
                        <w:rPr>
                          <w:sz w:val="12"/>
                          <w:szCs w:val="12"/>
                        </w:rPr>
                      </w:pPr>
                    </w:p>
                    <w:p w:rsidR="009018EE" w:rsidRDefault="009018EE" w:rsidP="007F2A10">
                      <w:pPr>
                        <w:spacing w:before="0"/>
                        <w:jc w:val="center"/>
                        <w:rPr>
                          <w:sz w:val="12"/>
                          <w:szCs w:val="12"/>
                        </w:rPr>
                      </w:pPr>
                      <w:r>
                        <w:rPr>
                          <w:sz w:val="12"/>
                          <w:szCs w:val="12"/>
                        </w:rPr>
                        <w:t xml:space="preserve">Home with Family and </w:t>
                      </w:r>
                    </w:p>
                    <w:p w:rsidR="009018EE" w:rsidRDefault="009018EE" w:rsidP="007F2A10">
                      <w:pPr>
                        <w:spacing w:before="0"/>
                        <w:jc w:val="center"/>
                        <w:rPr>
                          <w:sz w:val="12"/>
                          <w:szCs w:val="12"/>
                        </w:rPr>
                      </w:pPr>
                      <w:r>
                        <w:rPr>
                          <w:sz w:val="12"/>
                          <w:szCs w:val="12"/>
                        </w:rPr>
                        <w:t>Home Service</w:t>
                      </w:r>
                    </w:p>
                    <w:p w:rsidR="009018EE" w:rsidRDefault="009018EE" w:rsidP="007F2A10">
                      <w:pPr>
                        <w:spacing w:before="0"/>
                        <w:jc w:val="center"/>
                        <w:rPr>
                          <w:sz w:val="12"/>
                          <w:szCs w:val="12"/>
                        </w:rPr>
                      </w:pPr>
                    </w:p>
                    <w:p w:rsidR="009018EE" w:rsidRDefault="009018EE" w:rsidP="007F2A10">
                      <w:pPr>
                        <w:spacing w:before="0"/>
                        <w:jc w:val="center"/>
                        <w:rPr>
                          <w:sz w:val="16"/>
                          <w:szCs w:val="16"/>
                        </w:rPr>
                      </w:pPr>
                      <w:r>
                        <w:rPr>
                          <w:sz w:val="12"/>
                          <w:szCs w:val="12"/>
                        </w:rPr>
                        <w:t>Skilled Nursing Facility</w:t>
                      </w:r>
                    </w:p>
                    <w:p w:rsidR="009018EE" w:rsidRDefault="009018EE" w:rsidP="007F2A10">
                      <w:pPr>
                        <w:rPr>
                          <w:sz w:val="16"/>
                          <w:szCs w:val="16"/>
                        </w:rPr>
                      </w:pPr>
                    </w:p>
                    <w:p w:rsidR="009018EE" w:rsidRDefault="009018EE" w:rsidP="007F2A10">
                      <w:pPr>
                        <w:rPr>
                          <w:sz w:val="16"/>
                          <w:szCs w:val="16"/>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62E55177" wp14:editId="12732B95">
                <wp:simplePos x="0" y="0"/>
                <wp:positionH relativeFrom="column">
                  <wp:posOffset>1264920</wp:posOffset>
                </wp:positionH>
                <wp:positionV relativeFrom="paragraph">
                  <wp:posOffset>240665</wp:posOffset>
                </wp:positionV>
                <wp:extent cx="0" cy="210820"/>
                <wp:effectExtent l="0" t="0" r="0" b="0"/>
                <wp:wrapNone/>
                <wp:docPr id="1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08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6pt,18.95pt" to="99.6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" stroked="f"/>
            </w:pict>
          </mc:Fallback>
        </mc:AlternateContent>
      </w:r>
    </w:p>
    <w:p w:rsidR="007F2A10" w:rsidRPr="004E28BB" w:rsidRDefault="00AF4148" w:rsidP="007F2A10">
      <w:pPr>
        <w:tabs>
          <w:tab w:val="left" w:pos="-1440"/>
          <w:tab w:val="left" w:pos="0"/>
          <w:tab w:val="left" w:pos="162"/>
          <w:tab w:val="left" w:pos="1440"/>
          <w:tab w:val="left" w:pos="2160"/>
          <w:tab w:val="left" w:pos="2880"/>
          <w:tab w:val="left" w:pos="3600"/>
          <w:tab w:val="left" w:pos="4320"/>
          <w:tab w:val="left" w:leader="dot" w:pos="5040"/>
          <w:tab w:val="left" w:leader="dot" w:pos="5760"/>
          <w:tab w:val="left" w:leader="dot" w:pos="6192"/>
          <w:tab w:val="left" w:leader="dot" w:pos="7200"/>
          <w:tab w:val="left" w:leader="dot" w:pos="7920"/>
          <w:tab w:val="left" w:leader="dot" w:pos="8640"/>
          <w:tab w:val="left" w:leader="dot" w:pos="9360"/>
        </w:tabs>
        <w:ind w:left="162" w:right="252"/>
        <w:jc w:val="both"/>
        <w:rPr>
          <w:b/>
          <w:bCs/>
        </w:rPr>
      </w:pPr>
      <w:r>
        <w:rPr>
          <w:noProof/>
        </w:rPr>
        <mc:AlternateContent>
          <mc:Choice Requires="wps">
            <w:drawing>
              <wp:anchor distT="0" distB="0" distL="114300" distR="114300" simplePos="0" relativeHeight="251652096" behindDoc="0" locked="0" layoutInCell="1" allowOverlap="1" wp14:anchorId="675BB570" wp14:editId="444C8060">
                <wp:simplePos x="0" y="0"/>
                <wp:positionH relativeFrom="column">
                  <wp:posOffset>1410970</wp:posOffset>
                </wp:positionH>
                <wp:positionV relativeFrom="paragraph">
                  <wp:posOffset>151130</wp:posOffset>
                </wp:positionV>
                <wp:extent cx="640080" cy="397510"/>
                <wp:effectExtent l="0" t="0" r="0" b="0"/>
                <wp:wrapNone/>
                <wp:docPr id="1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97510"/>
                        </a:xfrm>
                        <a:prstGeom prst="rect">
                          <a:avLst/>
                        </a:prstGeom>
                        <a:solidFill>
                          <a:srgbClr val="FFFFFF"/>
                        </a:solidFill>
                        <a:ln w="6350">
                          <a:solidFill>
                            <a:srgbClr val="000000"/>
                          </a:solidFill>
                          <a:miter lim="800000"/>
                          <a:headEnd/>
                          <a:tailEnd/>
                        </a:ln>
                      </wps:spPr>
                      <wps:txbx>
                        <w:txbxContent>
                          <w:p w:rsidR="009018EE" w:rsidRDefault="009018EE" w:rsidP="007F2A10">
                            <w:pPr>
                              <w:spacing w:before="0"/>
                              <w:jc w:val="center"/>
                              <w:rPr>
                                <w:sz w:val="12"/>
                                <w:szCs w:val="12"/>
                              </w:rPr>
                            </w:pPr>
                            <w:r>
                              <w:rPr>
                                <w:sz w:val="12"/>
                                <w:szCs w:val="12"/>
                              </w:rPr>
                              <w:t>Intensive</w:t>
                            </w:r>
                          </w:p>
                          <w:p w:rsidR="009018EE" w:rsidRDefault="009018EE" w:rsidP="007F2A10">
                            <w:pPr>
                              <w:spacing w:before="0"/>
                              <w:jc w:val="center"/>
                              <w:rPr>
                                <w:sz w:val="16"/>
                                <w:szCs w:val="16"/>
                              </w:rPr>
                            </w:pPr>
                            <w:r>
                              <w:rPr>
                                <w:sz w:val="12"/>
                                <w:szCs w:val="12"/>
                              </w:rPr>
                              <w:t xml:space="preserve">Care Unit </w:t>
                            </w:r>
                          </w:p>
                          <w:p w:rsidR="009018EE" w:rsidRDefault="009018EE" w:rsidP="007F2A10">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28" type="#_x0000_t202" style="position:absolute;left:0;text-align:left;margin-left:111.1pt;margin-top:11.9pt;width:50.4pt;height:31.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" strokeweight=".5pt">
                <v:textbox>
                  <w:txbxContent>
                    <w:p w:rsidR="009018EE" w:rsidRDefault="009018EE" w:rsidP="007F2A10">
                      <w:pPr>
                        <w:spacing w:before="0"/>
                        <w:jc w:val="center"/>
                        <w:rPr>
                          <w:sz w:val="12"/>
                          <w:szCs w:val="12"/>
                        </w:rPr>
                      </w:pPr>
                      <w:r>
                        <w:rPr>
                          <w:sz w:val="12"/>
                          <w:szCs w:val="12"/>
                        </w:rPr>
                        <w:t>Intensive</w:t>
                      </w:r>
                    </w:p>
                    <w:p w:rsidR="009018EE" w:rsidRDefault="009018EE" w:rsidP="007F2A10">
                      <w:pPr>
                        <w:spacing w:before="0"/>
                        <w:jc w:val="center"/>
                        <w:rPr>
                          <w:sz w:val="16"/>
                          <w:szCs w:val="16"/>
                        </w:rPr>
                      </w:pPr>
                      <w:r>
                        <w:rPr>
                          <w:sz w:val="12"/>
                          <w:szCs w:val="12"/>
                        </w:rPr>
                        <w:t xml:space="preserve">Care Unit </w:t>
                      </w:r>
                    </w:p>
                    <w:p w:rsidR="009018EE" w:rsidRDefault="009018EE" w:rsidP="007F2A10">
                      <w:pPr>
                        <w:rPr>
                          <w:sz w:val="16"/>
                          <w:szCs w:val="16"/>
                        </w:rPr>
                      </w:pPr>
                    </w:p>
                  </w:txbxContent>
                </v:textbox>
              </v:shape>
            </w:pict>
          </mc:Fallback>
        </mc:AlternateContent>
      </w:r>
      <w:r>
        <w:rPr>
          <w:noProof/>
        </w:rPr>
        <mc:AlternateContent>
          <mc:Choice Requires="wps">
            <w:drawing>
              <wp:anchor distT="0" distB="0" distL="114300" distR="114300" simplePos="0" relativeHeight="251651072" behindDoc="0" locked="0" layoutInCell="1" allowOverlap="1" wp14:anchorId="45E5B1ED" wp14:editId="17E79CC7">
                <wp:simplePos x="0" y="0"/>
                <wp:positionH relativeFrom="column">
                  <wp:posOffset>0</wp:posOffset>
                </wp:positionH>
                <wp:positionV relativeFrom="paragraph">
                  <wp:posOffset>163195</wp:posOffset>
                </wp:positionV>
                <wp:extent cx="615315" cy="385445"/>
                <wp:effectExtent l="0" t="0" r="0" b="0"/>
                <wp:wrapNone/>
                <wp:docPr id="1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385445"/>
                        </a:xfrm>
                        <a:prstGeom prst="rect">
                          <a:avLst/>
                        </a:prstGeom>
                        <a:solidFill>
                          <a:srgbClr val="FFFFFF"/>
                        </a:solidFill>
                        <a:ln w="6350">
                          <a:solidFill>
                            <a:srgbClr val="000000"/>
                          </a:solidFill>
                          <a:miter lim="800000"/>
                          <a:headEnd/>
                          <a:tailEnd/>
                        </a:ln>
                      </wps:spPr>
                      <wps:txbx>
                        <w:txbxContent>
                          <w:p w:rsidR="009018EE" w:rsidRPr="00E950E0" w:rsidRDefault="009018EE" w:rsidP="007F2A10">
                            <w:pPr>
                              <w:spacing w:before="0"/>
                              <w:jc w:val="center"/>
                              <w:rPr>
                                <w:sz w:val="12"/>
                                <w:szCs w:val="12"/>
                              </w:rPr>
                            </w:pPr>
                            <w:r w:rsidRPr="00E950E0">
                              <w:rPr>
                                <w:sz w:val="12"/>
                                <w:szCs w:val="12"/>
                              </w:rPr>
                              <w:t>Emergency Evaluation</w:t>
                            </w:r>
                          </w:p>
                          <w:p w:rsidR="009018EE" w:rsidRPr="00E950E0" w:rsidRDefault="009018EE" w:rsidP="007F2A10">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9" type="#_x0000_t202" style="position:absolute;left:0;text-align:left;margin-left:0;margin-top:12.85pt;width:48.45pt;height:30.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" strokeweight=".5pt">
                <v:textbox>
                  <w:txbxContent>
                    <w:p w:rsidR="009018EE" w:rsidRPr="00E950E0" w:rsidRDefault="009018EE" w:rsidP="007F2A10">
                      <w:pPr>
                        <w:spacing w:before="0"/>
                        <w:jc w:val="center"/>
                        <w:rPr>
                          <w:sz w:val="12"/>
                          <w:szCs w:val="12"/>
                        </w:rPr>
                      </w:pPr>
                      <w:r w:rsidRPr="00E950E0">
                        <w:rPr>
                          <w:sz w:val="12"/>
                          <w:szCs w:val="12"/>
                        </w:rPr>
                        <w:t>Emergency Evaluation</w:t>
                      </w:r>
                    </w:p>
                    <w:p w:rsidR="009018EE" w:rsidRPr="00E950E0" w:rsidRDefault="009018EE" w:rsidP="007F2A10">
                      <w:pPr>
                        <w:rPr>
                          <w:sz w:val="12"/>
                          <w:szCs w:val="12"/>
                        </w:rPr>
                      </w:pPr>
                    </w:p>
                  </w:txbxContent>
                </v:textbox>
              </v:shape>
            </w:pict>
          </mc:Fallback>
        </mc:AlternateContent>
      </w:r>
      <w:r>
        <w:rPr>
          <w:noProof/>
        </w:rPr>
        <mc:AlternateContent>
          <mc:Choice Requires="wps">
            <w:drawing>
              <wp:anchor distT="0" distB="0" distL="114300" distR="114300" simplePos="0" relativeHeight="251650048" behindDoc="0" locked="0" layoutInCell="1" allowOverlap="1" wp14:anchorId="2B76434E" wp14:editId="7300C5F9">
                <wp:simplePos x="0" y="0"/>
                <wp:positionH relativeFrom="column">
                  <wp:posOffset>694055</wp:posOffset>
                </wp:positionH>
                <wp:positionV relativeFrom="paragraph">
                  <wp:posOffset>151130</wp:posOffset>
                </wp:positionV>
                <wp:extent cx="640080" cy="397510"/>
                <wp:effectExtent l="0" t="0" r="0" b="0"/>
                <wp:wrapNone/>
                <wp:docPr id="1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97510"/>
                        </a:xfrm>
                        <a:prstGeom prst="rect">
                          <a:avLst/>
                        </a:prstGeom>
                        <a:solidFill>
                          <a:srgbClr val="FFFFFF"/>
                        </a:solidFill>
                        <a:ln w="6350">
                          <a:solidFill>
                            <a:srgbClr val="000000"/>
                          </a:solidFill>
                          <a:miter lim="800000"/>
                          <a:headEnd/>
                          <a:tailEnd/>
                        </a:ln>
                      </wps:spPr>
                      <wps:txbx>
                        <w:txbxContent>
                          <w:p w:rsidR="009018EE" w:rsidRPr="00E950E0" w:rsidRDefault="009018EE" w:rsidP="007F2A10">
                            <w:pPr>
                              <w:spacing w:before="0"/>
                              <w:jc w:val="center"/>
                              <w:rPr>
                                <w:sz w:val="12"/>
                                <w:szCs w:val="12"/>
                              </w:rPr>
                            </w:pPr>
                            <w:r w:rsidRPr="00E950E0">
                              <w:rPr>
                                <w:sz w:val="12"/>
                                <w:szCs w:val="12"/>
                              </w:rPr>
                              <w:t>Emergency</w:t>
                            </w:r>
                            <w:r>
                              <w:rPr>
                                <w:sz w:val="12"/>
                                <w:szCs w:val="12"/>
                              </w:rPr>
                              <w:t xml:space="preserve"> Department</w:t>
                            </w:r>
                          </w:p>
                          <w:p w:rsidR="009018EE" w:rsidRPr="00E950E0" w:rsidRDefault="009018EE" w:rsidP="007F2A10">
                            <w:pPr>
                              <w:spacing w:before="0"/>
                              <w:jc w:val="center"/>
                              <w:rPr>
                                <w:smallCaps/>
                                <w:sz w:val="12"/>
                                <w:szCs w:val="12"/>
                              </w:rPr>
                            </w:pPr>
                          </w:p>
                          <w:p w:rsidR="009018EE" w:rsidRPr="00E950E0" w:rsidRDefault="009018EE" w:rsidP="007F2A10">
                            <w:pPr>
                              <w:spacing w:before="0"/>
                              <w:jc w:val="cente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0" type="#_x0000_t202" style="position:absolute;left:0;text-align:left;margin-left:54.65pt;margin-top:11.9pt;width:50.4pt;height:3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" strokeweight=".5pt">
                <v:textbox>
                  <w:txbxContent>
                    <w:p w:rsidR="009018EE" w:rsidRPr="00E950E0" w:rsidRDefault="009018EE" w:rsidP="007F2A10">
                      <w:pPr>
                        <w:spacing w:before="0"/>
                        <w:jc w:val="center"/>
                        <w:rPr>
                          <w:sz w:val="12"/>
                          <w:szCs w:val="12"/>
                        </w:rPr>
                      </w:pPr>
                      <w:r w:rsidRPr="00E950E0">
                        <w:rPr>
                          <w:sz w:val="12"/>
                          <w:szCs w:val="12"/>
                        </w:rPr>
                        <w:t>Emergency</w:t>
                      </w:r>
                      <w:r>
                        <w:rPr>
                          <w:sz w:val="12"/>
                          <w:szCs w:val="12"/>
                        </w:rPr>
                        <w:t xml:space="preserve"> Department</w:t>
                      </w:r>
                    </w:p>
                    <w:p w:rsidR="009018EE" w:rsidRPr="00E950E0" w:rsidRDefault="009018EE" w:rsidP="007F2A10">
                      <w:pPr>
                        <w:spacing w:before="0"/>
                        <w:jc w:val="center"/>
                        <w:rPr>
                          <w:smallCaps/>
                          <w:sz w:val="12"/>
                          <w:szCs w:val="12"/>
                        </w:rPr>
                      </w:pPr>
                    </w:p>
                    <w:p w:rsidR="009018EE" w:rsidRPr="00E950E0" w:rsidRDefault="009018EE" w:rsidP="007F2A10">
                      <w:pPr>
                        <w:spacing w:before="0"/>
                        <w:jc w:val="center"/>
                        <w:rPr>
                          <w:sz w:val="12"/>
                          <w:szCs w:val="12"/>
                        </w:rPr>
                      </w:pPr>
                    </w:p>
                  </w:txbxContent>
                </v:textbox>
              </v:shape>
            </w:pict>
          </mc:Fallback>
        </mc:AlternateContent>
      </w:r>
      <w:r>
        <w:rPr>
          <w:noProof/>
        </w:rPr>
        <mc:AlternateContent>
          <mc:Choice Requires="wps">
            <w:drawing>
              <wp:anchor distT="0" distB="0" distL="114300" distR="114300" simplePos="0" relativeHeight="251649024" behindDoc="0" locked="0" layoutInCell="1" allowOverlap="1" wp14:anchorId="7FB7DBF6" wp14:editId="4B7E6BF8">
                <wp:simplePos x="0" y="0"/>
                <wp:positionH relativeFrom="column">
                  <wp:posOffset>2111375</wp:posOffset>
                </wp:positionH>
                <wp:positionV relativeFrom="paragraph">
                  <wp:posOffset>153670</wp:posOffset>
                </wp:positionV>
                <wp:extent cx="679450" cy="573405"/>
                <wp:effectExtent l="0" t="0" r="0" b="0"/>
                <wp:wrapNone/>
                <wp:docPr id="1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573405"/>
                        </a:xfrm>
                        <a:prstGeom prst="rect">
                          <a:avLst/>
                        </a:prstGeom>
                        <a:solidFill>
                          <a:srgbClr val="FFFFFF"/>
                        </a:solidFill>
                        <a:ln w="6350">
                          <a:solidFill>
                            <a:srgbClr val="000000"/>
                          </a:solidFill>
                          <a:miter lim="800000"/>
                          <a:headEnd/>
                          <a:tailEnd/>
                        </a:ln>
                      </wps:spPr>
                      <wps:txbx>
                        <w:txbxContent>
                          <w:p w:rsidR="009018EE" w:rsidRPr="003D0CFC" w:rsidRDefault="009018EE" w:rsidP="007F2A10">
                            <w:pPr>
                              <w:spacing w:before="0"/>
                              <w:jc w:val="center"/>
                              <w:rPr>
                                <w:sz w:val="12"/>
                                <w:szCs w:val="12"/>
                              </w:rPr>
                            </w:pPr>
                            <w:r w:rsidRPr="003D0CFC">
                              <w:rPr>
                                <w:sz w:val="12"/>
                                <w:szCs w:val="12"/>
                              </w:rPr>
                              <w:t xml:space="preserve">Acute Medical Care </w:t>
                            </w:r>
                          </w:p>
                          <w:p w:rsidR="009018EE" w:rsidRPr="003D0CFC" w:rsidRDefault="009018EE" w:rsidP="007F2A10">
                            <w:pPr>
                              <w:spacing w:before="0"/>
                              <w:jc w:val="center"/>
                              <w:rPr>
                                <w:sz w:val="12"/>
                                <w:szCs w:val="12"/>
                              </w:rPr>
                            </w:pPr>
                            <w:r w:rsidRPr="003D0CFC">
                              <w:rPr>
                                <w:sz w:val="12"/>
                                <w:szCs w:val="12"/>
                              </w:rPr>
                              <w:t xml:space="preserve">Hospital </w:t>
                            </w:r>
                          </w:p>
                          <w:p w:rsidR="009018EE" w:rsidRDefault="009018EE" w:rsidP="007F2A10">
                            <w:pPr>
                              <w:spacing w:before="0"/>
                              <w:jc w:val="center"/>
                              <w:rPr>
                                <w:sz w:val="16"/>
                                <w:szCs w:val="16"/>
                              </w:rPr>
                            </w:pPr>
                            <w:r w:rsidRPr="003D0CFC">
                              <w:rPr>
                                <w:sz w:val="12"/>
                                <w:szCs w:val="12"/>
                              </w:rPr>
                              <w:t>Unit</w:t>
                            </w:r>
                          </w:p>
                          <w:p w:rsidR="009018EE" w:rsidRDefault="009018EE" w:rsidP="007F2A10">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1" type="#_x0000_t202" style="position:absolute;left:0;text-align:left;margin-left:166.25pt;margin-top:12.1pt;width:53.5pt;height:4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" strokeweight=".5pt">
                <v:textbox>
                  <w:txbxContent>
                    <w:p w:rsidR="009018EE" w:rsidRPr="003D0CFC" w:rsidRDefault="009018EE" w:rsidP="007F2A10">
                      <w:pPr>
                        <w:spacing w:before="0"/>
                        <w:jc w:val="center"/>
                        <w:rPr>
                          <w:sz w:val="12"/>
                          <w:szCs w:val="12"/>
                        </w:rPr>
                      </w:pPr>
                      <w:r w:rsidRPr="003D0CFC">
                        <w:rPr>
                          <w:sz w:val="12"/>
                          <w:szCs w:val="12"/>
                        </w:rPr>
                        <w:t xml:space="preserve">Acute Medical Care </w:t>
                      </w:r>
                    </w:p>
                    <w:p w:rsidR="009018EE" w:rsidRPr="003D0CFC" w:rsidRDefault="009018EE" w:rsidP="007F2A10">
                      <w:pPr>
                        <w:spacing w:before="0"/>
                        <w:jc w:val="center"/>
                        <w:rPr>
                          <w:sz w:val="12"/>
                          <w:szCs w:val="12"/>
                        </w:rPr>
                      </w:pPr>
                      <w:r w:rsidRPr="003D0CFC">
                        <w:rPr>
                          <w:sz w:val="12"/>
                          <w:szCs w:val="12"/>
                        </w:rPr>
                        <w:t xml:space="preserve">Hospital </w:t>
                      </w:r>
                    </w:p>
                    <w:p w:rsidR="009018EE" w:rsidRDefault="009018EE" w:rsidP="007F2A10">
                      <w:pPr>
                        <w:spacing w:before="0"/>
                        <w:jc w:val="center"/>
                        <w:rPr>
                          <w:sz w:val="16"/>
                          <w:szCs w:val="16"/>
                        </w:rPr>
                      </w:pPr>
                      <w:r w:rsidRPr="003D0CFC">
                        <w:rPr>
                          <w:sz w:val="12"/>
                          <w:szCs w:val="12"/>
                        </w:rPr>
                        <w:t>Unit</w:t>
                      </w:r>
                    </w:p>
                    <w:p w:rsidR="009018EE" w:rsidRDefault="009018EE" w:rsidP="007F2A10">
                      <w:pPr>
                        <w:rPr>
                          <w:sz w:val="16"/>
                          <w:szCs w:val="16"/>
                        </w:rPr>
                      </w:pPr>
                    </w:p>
                  </w:txbxContent>
                </v:textbox>
              </v:shape>
            </w:pict>
          </mc:Fallback>
        </mc:AlternateContent>
      </w:r>
      <w:r>
        <w:rPr>
          <w:noProof/>
        </w:rPr>
        <mc:AlternateContent>
          <mc:Choice Requires="wps">
            <w:drawing>
              <wp:anchor distT="0" distB="0" distL="114300" distR="114300" simplePos="0" relativeHeight="251667456" behindDoc="1" locked="0" layoutInCell="1" allowOverlap="1" wp14:anchorId="4C00EFD2" wp14:editId="5AFD2640">
                <wp:simplePos x="0" y="0"/>
                <wp:positionH relativeFrom="column">
                  <wp:posOffset>3886200</wp:posOffset>
                </wp:positionH>
                <wp:positionV relativeFrom="paragraph">
                  <wp:posOffset>189230</wp:posOffset>
                </wp:positionV>
                <wp:extent cx="665480" cy="456565"/>
                <wp:effectExtent l="0" t="0" r="0" b="0"/>
                <wp:wrapNone/>
                <wp:docPr id="1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456565"/>
                        </a:xfrm>
                        <a:prstGeom prst="rect">
                          <a:avLst/>
                        </a:prstGeom>
                        <a:solidFill>
                          <a:srgbClr val="FFFFFF"/>
                        </a:solidFill>
                        <a:ln w="6350">
                          <a:solidFill>
                            <a:srgbClr val="000000"/>
                          </a:solidFill>
                          <a:miter lim="800000"/>
                          <a:headEnd/>
                          <a:tailEnd/>
                        </a:ln>
                      </wps:spPr>
                      <wps:txbx>
                        <w:txbxContent>
                          <w:p w:rsidR="009018EE" w:rsidRDefault="009018EE" w:rsidP="007F2A10">
                            <w:pPr>
                              <w:spacing w:before="0"/>
                              <w:jc w:val="center"/>
                              <w:rPr>
                                <w:sz w:val="12"/>
                                <w:szCs w:val="12"/>
                              </w:rPr>
                            </w:pPr>
                            <w:r>
                              <w:rPr>
                                <w:sz w:val="12"/>
                                <w:szCs w:val="12"/>
                              </w:rPr>
                              <w:t>Post Acute</w:t>
                            </w:r>
                          </w:p>
                          <w:p w:rsidR="009018EE" w:rsidRDefault="009018EE" w:rsidP="007F2A10">
                            <w:pPr>
                              <w:spacing w:before="0"/>
                              <w:jc w:val="center"/>
                              <w:rPr>
                                <w:sz w:val="12"/>
                                <w:szCs w:val="12"/>
                              </w:rPr>
                            </w:pPr>
                            <w:r>
                              <w:rPr>
                                <w:sz w:val="12"/>
                                <w:szCs w:val="12"/>
                              </w:rPr>
                              <w:t>Residential</w:t>
                            </w:r>
                          </w:p>
                          <w:p w:rsidR="009018EE" w:rsidRDefault="009018EE" w:rsidP="007F2A10">
                            <w:pPr>
                              <w:spacing w:before="0"/>
                              <w:jc w:val="center"/>
                              <w:rPr>
                                <w:sz w:val="12"/>
                                <w:szCs w:val="12"/>
                              </w:rPr>
                            </w:pPr>
                            <w:r>
                              <w:rPr>
                                <w:sz w:val="12"/>
                                <w:szCs w:val="12"/>
                              </w:rPr>
                              <w:t>Transitional</w:t>
                            </w:r>
                          </w:p>
                          <w:p w:rsidR="009018EE" w:rsidRDefault="009018EE" w:rsidP="007F2A10">
                            <w:pPr>
                              <w:spacing w:before="0"/>
                              <w:jc w:val="center"/>
                              <w:rPr>
                                <w:sz w:val="16"/>
                                <w:szCs w:val="16"/>
                              </w:rPr>
                            </w:pPr>
                            <w:r>
                              <w:rPr>
                                <w:sz w:val="12"/>
                                <w:szCs w:val="12"/>
                              </w:rPr>
                              <w:t xml:space="preserve">Rehabilitation </w:t>
                            </w:r>
                          </w:p>
                          <w:p w:rsidR="009018EE" w:rsidRDefault="009018EE" w:rsidP="007F2A10">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32" type="#_x0000_t202" style="position:absolute;left:0;text-align:left;margin-left:306pt;margin-top:14.9pt;width:52.4pt;height:35.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" strokeweight=".5pt">
                <v:textbox>
                  <w:txbxContent>
                    <w:p w:rsidR="009018EE" w:rsidRDefault="009018EE" w:rsidP="007F2A10">
                      <w:pPr>
                        <w:spacing w:before="0"/>
                        <w:jc w:val="center"/>
                        <w:rPr>
                          <w:sz w:val="12"/>
                          <w:szCs w:val="12"/>
                        </w:rPr>
                      </w:pPr>
                      <w:r>
                        <w:rPr>
                          <w:sz w:val="12"/>
                          <w:szCs w:val="12"/>
                        </w:rPr>
                        <w:t>Post Acute</w:t>
                      </w:r>
                    </w:p>
                    <w:p w:rsidR="009018EE" w:rsidRDefault="009018EE" w:rsidP="007F2A10">
                      <w:pPr>
                        <w:spacing w:before="0"/>
                        <w:jc w:val="center"/>
                        <w:rPr>
                          <w:sz w:val="12"/>
                          <w:szCs w:val="12"/>
                        </w:rPr>
                      </w:pPr>
                      <w:r>
                        <w:rPr>
                          <w:sz w:val="12"/>
                          <w:szCs w:val="12"/>
                        </w:rPr>
                        <w:t>Residential</w:t>
                      </w:r>
                    </w:p>
                    <w:p w:rsidR="009018EE" w:rsidRDefault="009018EE" w:rsidP="007F2A10">
                      <w:pPr>
                        <w:spacing w:before="0"/>
                        <w:jc w:val="center"/>
                        <w:rPr>
                          <w:sz w:val="12"/>
                          <w:szCs w:val="12"/>
                        </w:rPr>
                      </w:pPr>
                      <w:r>
                        <w:rPr>
                          <w:sz w:val="12"/>
                          <w:szCs w:val="12"/>
                        </w:rPr>
                        <w:t>Transitional</w:t>
                      </w:r>
                    </w:p>
                    <w:p w:rsidR="009018EE" w:rsidRDefault="009018EE" w:rsidP="007F2A10">
                      <w:pPr>
                        <w:spacing w:before="0"/>
                        <w:jc w:val="center"/>
                        <w:rPr>
                          <w:sz w:val="16"/>
                          <w:szCs w:val="16"/>
                        </w:rPr>
                      </w:pPr>
                      <w:r>
                        <w:rPr>
                          <w:sz w:val="12"/>
                          <w:szCs w:val="12"/>
                        </w:rPr>
                        <w:t xml:space="preserve">Rehabilitation </w:t>
                      </w:r>
                    </w:p>
                    <w:p w:rsidR="009018EE" w:rsidRDefault="009018EE" w:rsidP="007F2A10">
                      <w:pPr>
                        <w:rPr>
                          <w:sz w:val="16"/>
                          <w:szCs w:val="16"/>
                        </w:rPr>
                      </w:pPr>
                    </w:p>
                  </w:txbxContent>
                </v:textbox>
              </v:shape>
            </w:pict>
          </mc:Fallback>
        </mc:AlternateContent>
      </w:r>
      <w:r>
        <w:rPr>
          <w:noProof/>
        </w:rPr>
        <mc:AlternateContent>
          <mc:Choice Requires="wps">
            <w:drawing>
              <wp:anchor distT="0" distB="0" distL="114300" distR="114300" simplePos="0" relativeHeight="251669504" behindDoc="1" locked="0" layoutInCell="1" allowOverlap="1" wp14:anchorId="3CB152B9" wp14:editId="79BF4524">
                <wp:simplePos x="0" y="0"/>
                <wp:positionH relativeFrom="column">
                  <wp:posOffset>2971800</wp:posOffset>
                </wp:positionH>
                <wp:positionV relativeFrom="paragraph">
                  <wp:posOffset>189230</wp:posOffset>
                </wp:positionV>
                <wp:extent cx="775970" cy="647065"/>
                <wp:effectExtent l="0" t="0" r="0" b="0"/>
                <wp:wrapNone/>
                <wp:docPr id="1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647065"/>
                        </a:xfrm>
                        <a:prstGeom prst="rect">
                          <a:avLst/>
                        </a:prstGeom>
                        <a:solidFill>
                          <a:srgbClr val="FFFFFF"/>
                        </a:solidFill>
                        <a:ln w="6350">
                          <a:solidFill>
                            <a:srgbClr val="000000"/>
                          </a:solidFill>
                          <a:miter lim="800000"/>
                          <a:headEnd/>
                          <a:tailEnd/>
                        </a:ln>
                      </wps:spPr>
                      <wps:txbx>
                        <w:txbxContent>
                          <w:p w:rsidR="009018EE" w:rsidRDefault="009018EE" w:rsidP="007F2A10">
                            <w:pPr>
                              <w:pStyle w:val="BodyText"/>
                              <w:spacing w:before="0"/>
                              <w:rPr>
                                <w:smallCaps w:val="0"/>
                              </w:rPr>
                            </w:pPr>
                            <w:r>
                              <w:rPr>
                                <w:smallCaps w:val="0"/>
                              </w:rPr>
                              <w:t>Comprehensive Integrated</w:t>
                            </w:r>
                          </w:p>
                          <w:p w:rsidR="009018EE" w:rsidRDefault="009018EE" w:rsidP="007F2A10">
                            <w:pPr>
                              <w:spacing w:before="0"/>
                              <w:jc w:val="center"/>
                              <w:rPr>
                                <w:sz w:val="12"/>
                                <w:szCs w:val="12"/>
                              </w:rPr>
                            </w:pPr>
                            <w:r>
                              <w:rPr>
                                <w:sz w:val="12"/>
                                <w:szCs w:val="12"/>
                              </w:rPr>
                              <w:t>Inpatient</w:t>
                            </w:r>
                          </w:p>
                          <w:p w:rsidR="009018EE" w:rsidRDefault="009018EE" w:rsidP="007F2A10">
                            <w:pPr>
                              <w:spacing w:before="0"/>
                              <w:jc w:val="center"/>
                              <w:rPr>
                                <w:sz w:val="12"/>
                                <w:szCs w:val="12"/>
                              </w:rPr>
                            </w:pPr>
                            <w:r>
                              <w:rPr>
                                <w:sz w:val="12"/>
                                <w:szCs w:val="12"/>
                              </w:rPr>
                              <w:t>Brain Injury</w:t>
                            </w:r>
                          </w:p>
                          <w:p w:rsidR="009018EE" w:rsidRDefault="009018EE" w:rsidP="007F2A10">
                            <w:pPr>
                              <w:spacing w:before="0"/>
                              <w:jc w:val="center"/>
                              <w:rPr>
                                <w:sz w:val="12"/>
                                <w:szCs w:val="12"/>
                              </w:rPr>
                            </w:pPr>
                            <w:r>
                              <w:rPr>
                                <w:sz w:val="12"/>
                                <w:szCs w:val="12"/>
                              </w:rPr>
                              <w:t>Rehabilitation</w:t>
                            </w:r>
                          </w:p>
                          <w:p w:rsidR="009018EE" w:rsidRDefault="009018EE" w:rsidP="007F2A10">
                            <w:pPr>
                              <w:spacing w:before="0"/>
                              <w:jc w:val="center"/>
                              <w:rPr>
                                <w:sz w:val="12"/>
                                <w:szCs w:val="12"/>
                              </w:rPr>
                            </w:pPr>
                            <w:r>
                              <w:rPr>
                                <w:sz w:val="12"/>
                                <w:szCs w:val="12"/>
                              </w:rPr>
                              <w:t>Hospital</w:t>
                            </w:r>
                          </w:p>
                          <w:p w:rsidR="009018EE" w:rsidRDefault="009018EE" w:rsidP="007F2A10">
                            <w:pPr>
                              <w:rPr>
                                <w:sz w:val="16"/>
                                <w:szCs w:val="16"/>
                              </w:rPr>
                            </w:pPr>
                          </w:p>
                          <w:p w:rsidR="009018EE" w:rsidRDefault="009018EE" w:rsidP="007F2A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3" type="#_x0000_t202" style="position:absolute;left:0;text-align:left;margin-left:234pt;margin-top:14.9pt;width:61.1pt;height:50.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" strokeweight=".5pt">
                <v:textbox>
                  <w:txbxContent>
                    <w:p w:rsidR="009018EE" w:rsidRDefault="009018EE" w:rsidP="007F2A10">
                      <w:pPr>
                        <w:pStyle w:val="BodyText"/>
                        <w:spacing w:before="0"/>
                        <w:rPr>
                          <w:smallCaps w:val="0"/>
                        </w:rPr>
                      </w:pPr>
                      <w:r>
                        <w:rPr>
                          <w:smallCaps w:val="0"/>
                        </w:rPr>
                        <w:t>Comprehensive Integrated</w:t>
                      </w:r>
                    </w:p>
                    <w:p w:rsidR="009018EE" w:rsidRDefault="009018EE" w:rsidP="007F2A10">
                      <w:pPr>
                        <w:spacing w:before="0"/>
                        <w:jc w:val="center"/>
                        <w:rPr>
                          <w:sz w:val="12"/>
                          <w:szCs w:val="12"/>
                        </w:rPr>
                      </w:pPr>
                      <w:r>
                        <w:rPr>
                          <w:sz w:val="12"/>
                          <w:szCs w:val="12"/>
                        </w:rPr>
                        <w:t>Inpatient</w:t>
                      </w:r>
                    </w:p>
                    <w:p w:rsidR="009018EE" w:rsidRDefault="009018EE" w:rsidP="007F2A10">
                      <w:pPr>
                        <w:spacing w:before="0"/>
                        <w:jc w:val="center"/>
                        <w:rPr>
                          <w:sz w:val="12"/>
                          <w:szCs w:val="12"/>
                        </w:rPr>
                      </w:pPr>
                      <w:r>
                        <w:rPr>
                          <w:sz w:val="12"/>
                          <w:szCs w:val="12"/>
                        </w:rPr>
                        <w:t>Brain Injury</w:t>
                      </w:r>
                    </w:p>
                    <w:p w:rsidR="009018EE" w:rsidRDefault="009018EE" w:rsidP="007F2A10">
                      <w:pPr>
                        <w:spacing w:before="0"/>
                        <w:jc w:val="center"/>
                        <w:rPr>
                          <w:sz w:val="12"/>
                          <w:szCs w:val="12"/>
                        </w:rPr>
                      </w:pPr>
                      <w:r>
                        <w:rPr>
                          <w:sz w:val="12"/>
                          <w:szCs w:val="12"/>
                        </w:rPr>
                        <w:t>Rehabilitation</w:t>
                      </w:r>
                    </w:p>
                    <w:p w:rsidR="009018EE" w:rsidRDefault="009018EE" w:rsidP="007F2A10">
                      <w:pPr>
                        <w:spacing w:before="0"/>
                        <w:jc w:val="center"/>
                        <w:rPr>
                          <w:sz w:val="12"/>
                          <w:szCs w:val="12"/>
                        </w:rPr>
                      </w:pPr>
                      <w:r>
                        <w:rPr>
                          <w:sz w:val="12"/>
                          <w:szCs w:val="12"/>
                        </w:rPr>
                        <w:t>Hospital</w:t>
                      </w:r>
                    </w:p>
                    <w:p w:rsidR="009018EE" w:rsidRDefault="009018EE" w:rsidP="007F2A10">
                      <w:pPr>
                        <w:rPr>
                          <w:sz w:val="16"/>
                          <w:szCs w:val="16"/>
                        </w:rPr>
                      </w:pPr>
                    </w:p>
                    <w:p w:rsidR="009018EE" w:rsidRDefault="009018EE" w:rsidP="007F2A10"/>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9CC7049" wp14:editId="72FC843F">
                <wp:simplePos x="0" y="0"/>
                <wp:positionH relativeFrom="column">
                  <wp:posOffset>-15875</wp:posOffset>
                </wp:positionH>
                <wp:positionV relativeFrom="paragraph">
                  <wp:posOffset>153035</wp:posOffset>
                </wp:positionV>
                <wp:extent cx="0" cy="368300"/>
                <wp:effectExtent l="0" t="0" r="0" b="0"/>
                <wp:wrapNone/>
                <wp:docPr id="1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3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2.05pt" to="-1.2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" stroked="f"/>
            </w:pict>
          </mc:Fallback>
        </mc:AlternateContent>
      </w:r>
      <w:r>
        <w:rPr>
          <w:noProof/>
        </w:rPr>
        <mc:AlternateContent>
          <mc:Choice Requires="wps">
            <w:drawing>
              <wp:anchor distT="0" distB="0" distL="114300" distR="114300" simplePos="0" relativeHeight="251663360" behindDoc="0" locked="0" layoutInCell="1" allowOverlap="1" wp14:anchorId="5C6A5C05" wp14:editId="775924D3">
                <wp:simplePos x="0" y="0"/>
                <wp:positionH relativeFrom="column">
                  <wp:posOffset>2566035</wp:posOffset>
                </wp:positionH>
                <wp:positionV relativeFrom="paragraph">
                  <wp:posOffset>153035</wp:posOffset>
                </wp:positionV>
                <wp:extent cx="0" cy="368300"/>
                <wp:effectExtent l="0" t="0" r="0" b="0"/>
                <wp:wrapNone/>
                <wp:docPr id="1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3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12.05pt" to="202.0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" stroked="f"/>
            </w:pict>
          </mc:Fallback>
        </mc:AlternateContent>
      </w:r>
      <w:r>
        <w:rPr>
          <w:noProof/>
        </w:rPr>
        <mc:AlternateContent>
          <mc:Choice Requires="wps">
            <w:drawing>
              <wp:anchor distT="0" distB="0" distL="114300" distR="114300" simplePos="0" relativeHeight="251662336" behindDoc="0" locked="0" layoutInCell="1" allowOverlap="1" wp14:anchorId="31E699E8" wp14:editId="76AB1871">
                <wp:simplePos x="0" y="0"/>
                <wp:positionH relativeFrom="column">
                  <wp:posOffset>-15240</wp:posOffset>
                </wp:positionH>
                <wp:positionV relativeFrom="paragraph">
                  <wp:posOffset>153035</wp:posOffset>
                </wp:positionV>
                <wp:extent cx="2574925" cy="0"/>
                <wp:effectExtent l="0" t="0" r="0" b="0"/>
                <wp:wrapNone/>
                <wp:docPr id="10"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492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05pt" to="201.5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" stroked="f"/>
            </w:pict>
          </mc:Fallback>
        </mc:AlternateContent>
      </w:r>
    </w:p>
    <w:p w:rsidR="007F2A10" w:rsidRPr="004E28BB" w:rsidRDefault="00AF4148" w:rsidP="007F2A10">
      <w:pPr>
        <w:tabs>
          <w:tab w:val="left" w:pos="-1440"/>
          <w:tab w:val="left" w:pos="0"/>
          <w:tab w:val="left" w:pos="162"/>
          <w:tab w:val="left" w:pos="1440"/>
          <w:tab w:val="left" w:pos="2160"/>
          <w:tab w:val="left" w:pos="2880"/>
          <w:tab w:val="left" w:pos="3600"/>
          <w:tab w:val="left" w:pos="4320"/>
          <w:tab w:val="left" w:leader="dot" w:pos="5040"/>
          <w:tab w:val="left" w:leader="dot" w:pos="5760"/>
          <w:tab w:val="left" w:leader="dot" w:pos="6192"/>
          <w:tab w:val="left" w:leader="dot" w:pos="7200"/>
          <w:tab w:val="left" w:leader="dot" w:pos="7920"/>
          <w:tab w:val="left" w:leader="dot" w:pos="8640"/>
          <w:tab w:val="left" w:leader="dot" w:pos="9360"/>
        </w:tabs>
        <w:ind w:left="162" w:right="252"/>
        <w:jc w:val="both"/>
        <w:rPr>
          <w:b/>
          <w:bCs/>
        </w:rPr>
      </w:pPr>
      <w:r>
        <w:rPr>
          <w:noProof/>
        </w:rPr>
        <mc:AlternateContent>
          <mc:Choice Requires="wps">
            <w:drawing>
              <wp:anchor distT="0" distB="0" distL="114300" distR="114300" simplePos="0" relativeHeight="251658240" behindDoc="1" locked="0" layoutInCell="1" allowOverlap="1" wp14:anchorId="1CD5ABFA" wp14:editId="4C335249">
                <wp:simplePos x="0" y="0"/>
                <wp:positionH relativeFrom="column">
                  <wp:posOffset>2514600</wp:posOffset>
                </wp:positionH>
                <wp:positionV relativeFrom="paragraph">
                  <wp:posOffset>157480</wp:posOffset>
                </wp:positionV>
                <wp:extent cx="680720" cy="685800"/>
                <wp:effectExtent l="0" t="0" r="0" b="0"/>
                <wp:wrapNone/>
                <wp:docPr id="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 cy="685800"/>
                        </a:xfrm>
                        <a:prstGeom prst="rect">
                          <a:avLst/>
                        </a:prstGeom>
                        <a:noFill/>
                        <a:ln w="508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198pt;margin-top:12.4pt;width:53.6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" filled="f" strokeweight="4pt"/>
            </w:pict>
          </mc:Fallback>
        </mc:AlternateContent>
      </w:r>
      <w:r>
        <w:rPr>
          <w:noProof/>
        </w:rPr>
        <mc:AlternateContent>
          <mc:Choice Requires="wps">
            <w:drawing>
              <wp:anchor distT="0" distB="0" distL="114300" distR="114300" simplePos="0" relativeHeight="251657216" behindDoc="1" locked="0" layoutInCell="1" allowOverlap="1" wp14:anchorId="67E8AAC3" wp14:editId="63EBD86C">
                <wp:simplePos x="0" y="0"/>
                <wp:positionH relativeFrom="column">
                  <wp:posOffset>3429000</wp:posOffset>
                </wp:positionH>
                <wp:positionV relativeFrom="paragraph">
                  <wp:posOffset>189230</wp:posOffset>
                </wp:positionV>
                <wp:extent cx="685800" cy="685800"/>
                <wp:effectExtent l="0" t="0" r="0" b="0"/>
                <wp:wrapNone/>
                <wp:docPr id="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noFill/>
                        <a:ln w="508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270pt;margin-top:14.9pt;width:5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" filled="f" strokeweight="4pt"/>
            </w:pict>
          </mc:Fallback>
        </mc:AlternateContent>
      </w:r>
      <w:r>
        <w:rPr>
          <w:noProof/>
        </w:rPr>
        <mc:AlternateContent>
          <mc:Choice Requires="wps">
            <w:drawing>
              <wp:anchor distT="0" distB="0" distL="114300" distR="114300" simplePos="0" relativeHeight="251656192" behindDoc="1" locked="0" layoutInCell="1" allowOverlap="1" wp14:anchorId="69DAA26A" wp14:editId="0395AE07">
                <wp:simplePos x="0" y="0"/>
                <wp:positionH relativeFrom="column">
                  <wp:posOffset>4114800</wp:posOffset>
                </wp:positionH>
                <wp:positionV relativeFrom="paragraph">
                  <wp:posOffset>189230</wp:posOffset>
                </wp:positionV>
                <wp:extent cx="1188085" cy="826770"/>
                <wp:effectExtent l="0" t="0" r="0" b="0"/>
                <wp:wrapNone/>
                <wp:docPr id="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826770"/>
                        </a:xfrm>
                        <a:prstGeom prst="rect">
                          <a:avLst/>
                        </a:prstGeom>
                        <a:noFill/>
                        <a:ln w="508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324pt;margin-top:14.9pt;width:93.55pt;height:6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" filled="f" strokeweight="4pt"/>
            </w:pict>
          </mc:Fallback>
        </mc:AlternateContent>
      </w:r>
      <w:r>
        <w:rPr>
          <w:noProof/>
        </w:rPr>
        <mc:AlternateContent>
          <mc:Choice Requires="wps">
            <w:drawing>
              <wp:anchor distT="0" distB="0" distL="114300" distR="114300" simplePos="0" relativeHeight="251668480" behindDoc="1" locked="0" layoutInCell="1" allowOverlap="1" wp14:anchorId="2041FD24" wp14:editId="1E990334">
                <wp:simplePos x="0" y="0"/>
                <wp:positionH relativeFrom="column">
                  <wp:posOffset>1714500</wp:posOffset>
                </wp:positionH>
                <wp:positionV relativeFrom="paragraph">
                  <wp:posOffset>157480</wp:posOffset>
                </wp:positionV>
                <wp:extent cx="0" cy="800100"/>
                <wp:effectExtent l="0" t="0" r="0" b="0"/>
                <wp:wrapNone/>
                <wp:docPr id="6"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800100"/>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flip:x 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2.4pt" to="135pt,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" strokeweight="4pt"/>
            </w:pict>
          </mc:Fallback>
        </mc:AlternateContent>
      </w:r>
      <w:r>
        <w:rPr>
          <w:noProof/>
        </w:rPr>
        <mc:AlternateContent>
          <mc:Choice Requires="wps">
            <w:drawing>
              <wp:anchor distT="0" distB="0" distL="114300" distR="114300" simplePos="0" relativeHeight="251666432" behindDoc="1" locked="0" layoutInCell="1" allowOverlap="1" wp14:anchorId="6F1CB369" wp14:editId="3B1BB4F6">
                <wp:simplePos x="0" y="0"/>
                <wp:positionH relativeFrom="column">
                  <wp:posOffset>228600</wp:posOffset>
                </wp:positionH>
                <wp:positionV relativeFrom="paragraph">
                  <wp:posOffset>43180</wp:posOffset>
                </wp:positionV>
                <wp:extent cx="2428875" cy="0"/>
                <wp:effectExtent l="0" t="0" r="0" b="0"/>
                <wp:wrapNone/>
                <wp:docPr id="5"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28875" cy="0"/>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4pt" to="209.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" strokeweight="4pt"/>
            </w:pict>
          </mc:Fallback>
        </mc:AlternateContent>
      </w:r>
    </w:p>
    <w:p w:rsidR="007F2A10" w:rsidRPr="004E28BB" w:rsidRDefault="007F2A10" w:rsidP="007F2A10">
      <w:pPr>
        <w:tabs>
          <w:tab w:val="left" w:pos="-1440"/>
          <w:tab w:val="left" w:pos="0"/>
          <w:tab w:val="left" w:pos="162"/>
          <w:tab w:val="left" w:pos="1440"/>
          <w:tab w:val="left" w:pos="2160"/>
          <w:tab w:val="left" w:pos="2880"/>
          <w:tab w:val="left" w:pos="3600"/>
          <w:tab w:val="left" w:pos="4320"/>
          <w:tab w:val="left" w:leader="dot" w:pos="5040"/>
          <w:tab w:val="left" w:leader="dot" w:pos="5760"/>
          <w:tab w:val="left" w:leader="dot" w:pos="6192"/>
          <w:tab w:val="left" w:leader="dot" w:pos="7200"/>
          <w:tab w:val="left" w:leader="dot" w:pos="7920"/>
          <w:tab w:val="left" w:leader="dot" w:pos="8640"/>
          <w:tab w:val="left" w:leader="dot" w:pos="9360"/>
        </w:tabs>
        <w:ind w:left="162" w:right="252"/>
        <w:jc w:val="both"/>
        <w:rPr>
          <w:b/>
          <w:bCs/>
        </w:rPr>
      </w:pPr>
    </w:p>
    <w:p w:rsidR="007F2A10" w:rsidRPr="004E28BB" w:rsidRDefault="00AF4148" w:rsidP="007F2A10">
      <w:pPr>
        <w:tabs>
          <w:tab w:val="left" w:pos="-1440"/>
          <w:tab w:val="left" w:pos="0"/>
          <w:tab w:val="left" w:pos="162"/>
        </w:tabs>
        <w:ind w:left="162" w:right="252"/>
        <w:jc w:val="both"/>
        <w:rPr>
          <w:b/>
          <w:bCs/>
        </w:rPr>
      </w:pPr>
      <w:r>
        <w:rPr>
          <w:noProof/>
        </w:rPr>
        <mc:AlternateContent>
          <mc:Choice Requires="wps">
            <w:drawing>
              <wp:anchor distT="0" distB="0" distL="114300" distR="114300" simplePos="0" relativeHeight="251661312" behindDoc="1" locked="0" layoutInCell="1" allowOverlap="1" wp14:anchorId="30FA17E9" wp14:editId="0574179F">
                <wp:simplePos x="0" y="0"/>
                <wp:positionH relativeFrom="column">
                  <wp:posOffset>3771900</wp:posOffset>
                </wp:positionH>
                <wp:positionV relativeFrom="paragraph">
                  <wp:posOffset>132080</wp:posOffset>
                </wp:positionV>
                <wp:extent cx="759460" cy="431800"/>
                <wp:effectExtent l="0" t="0" r="0" b="0"/>
                <wp:wrapNone/>
                <wp:docPr id="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431800"/>
                        </a:xfrm>
                        <a:prstGeom prst="rect">
                          <a:avLst/>
                        </a:prstGeom>
                        <a:solidFill>
                          <a:srgbClr val="FFFFFF"/>
                        </a:solidFill>
                        <a:ln w="6350">
                          <a:solidFill>
                            <a:srgbClr val="000000"/>
                          </a:solidFill>
                          <a:miter lim="800000"/>
                          <a:headEnd/>
                          <a:tailEnd/>
                        </a:ln>
                      </wps:spPr>
                      <wps:txbx>
                        <w:txbxContent>
                          <w:p w:rsidR="009018EE" w:rsidRDefault="009018EE" w:rsidP="007F2A10">
                            <w:pPr>
                              <w:spacing w:before="0"/>
                              <w:jc w:val="center"/>
                              <w:rPr>
                                <w:smallCaps/>
                                <w:sz w:val="16"/>
                                <w:szCs w:val="16"/>
                              </w:rPr>
                            </w:pPr>
                            <w:r>
                              <w:rPr>
                                <w:sz w:val="12"/>
                                <w:szCs w:val="12"/>
                              </w:rPr>
                              <w:t>Skilled Nursing Facility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4" type="#_x0000_t202" style="position:absolute;left:0;text-align:left;margin-left:297pt;margin-top:10.4pt;width:59.8pt;height: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" strokeweight=".5pt">
                <v:textbox>
                  <w:txbxContent>
                    <w:p w:rsidR="009018EE" w:rsidRDefault="009018EE" w:rsidP="007F2A10">
                      <w:pPr>
                        <w:spacing w:before="0"/>
                        <w:jc w:val="center"/>
                        <w:rPr>
                          <w:smallCaps/>
                          <w:sz w:val="16"/>
                          <w:szCs w:val="16"/>
                        </w:rPr>
                      </w:pPr>
                      <w:r>
                        <w:rPr>
                          <w:sz w:val="12"/>
                          <w:szCs w:val="12"/>
                        </w:rPr>
                        <w:t>Skilled Nursing Facility</w:t>
                      </w:r>
                    </w:p>
                  </w:txbxContent>
                </v:textbox>
              </v:shape>
            </w:pict>
          </mc:Fallback>
        </mc:AlternateContent>
      </w:r>
      <w:r>
        <w:rPr>
          <w:noProof/>
        </w:rPr>
        <mc:AlternateContent>
          <mc:Choice Requires="wps">
            <w:drawing>
              <wp:anchor distT="0" distB="0" distL="114300" distR="114300" simplePos="0" relativeHeight="251660288" behindDoc="1" locked="0" layoutInCell="1" allowOverlap="1" wp14:anchorId="51BAD74C" wp14:editId="07E262B8">
                <wp:simplePos x="0" y="0"/>
                <wp:positionH relativeFrom="column">
                  <wp:posOffset>2171700</wp:posOffset>
                </wp:positionH>
                <wp:positionV relativeFrom="paragraph">
                  <wp:posOffset>132080</wp:posOffset>
                </wp:positionV>
                <wp:extent cx="827405" cy="476250"/>
                <wp:effectExtent l="0" t="0" r="0" b="0"/>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405" cy="476250"/>
                        </a:xfrm>
                        <a:prstGeom prst="rect">
                          <a:avLst/>
                        </a:prstGeom>
                        <a:solidFill>
                          <a:srgbClr val="FFFFFF"/>
                        </a:solidFill>
                        <a:ln w="6350">
                          <a:solidFill>
                            <a:srgbClr val="000000"/>
                          </a:solidFill>
                          <a:miter lim="800000"/>
                          <a:headEnd/>
                          <a:tailEnd/>
                        </a:ln>
                      </wps:spPr>
                      <wps:txbx>
                        <w:txbxContent>
                          <w:p w:rsidR="009018EE" w:rsidRDefault="009018EE" w:rsidP="007F2A10">
                            <w:pPr>
                              <w:spacing w:before="0"/>
                              <w:jc w:val="center"/>
                              <w:rPr>
                                <w:sz w:val="12"/>
                                <w:szCs w:val="12"/>
                              </w:rPr>
                            </w:pPr>
                            <w:r>
                              <w:rPr>
                                <w:sz w:val="12"/>
                                <w:szCs w:val="12"/>
                              </w:rPr>
                              <w:t>Long-Term</w:t>
                            </w:r>
                          </w:p>
                          <w:p w:rsidR="009018EE" w:rsidRDefault="009018EE" w:rsidP="007F2A10">
                            <w:pPr>
                              <w:spacing w:before="0"/>
                              <w:jc w:val="center"/>
                              <w:rPr>
                                <w:sz w:val="16"/>
                                <w:szCs w:val="16"/>
                              </w:rPr>
                            </w:pPr>
                            <w:r>
                              <w:rPr>
                                <w:sz w:val="12"/>
                                <w:szCs w:val="12"/>
                              </w:rPr>
                              <w:t>Acute Care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5" type="#_x0000_t202" style="position:absolute;left:0;text-align:left;margin-left:171pt;margin-top:10.4pt;width:65.15pt;height: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" strokeweight=".5pt">
                <v:textbox>
                  <w:txbxContent>
                    <w:p w:rsidR="009018EE" w:rsidRDefault="009018EE" w:rsidP="007F2A10">
                      <w:pPr>
                        <w:spacing w:before="0"/>
                        <w:jc w:val="center"/>
                        <w:rPr>
                          <w:sz w:val="12"/>
                          <w:szCs w:val="12"/>
                        </w:rPr>
                      </w:pPr>
                      <w:r>
                        <w:rPr>
                          <w:sz w:val="12"/>
                          <w:szCs w:val="12"/>
                        </w:rPr>
                        <w:t>Long-Term</w:t>
                      </w:r>
                    </w:p>
                    <w:p w:rsidR="009018EE" w:rsidRDefault="009018EE" w:rsidP="007F2A10">
                      <w:pPr>
                        <w:spacing w:before="0"/>
                        <w:jc w:val="center"/>
                        <w:rPr>
                          <w:sz w:val="16"/>
                          <w:szCs w:val="16"/>
                        </w:rPr>
                      </w:pPr>
                      <w:r>
                        <w:rPr>
                          <w:sz w:val="12"/>
                          <w:szCs w:val="12"/>
                        </w:rPr>
                        <w:t>Acute Care</w:t>
                      </w:r>
                    </w:p>
                  </w:txbxContent>
                </v:textbox>
              </v:shape>
            </w:pict>
          </mc:Fallback>
        </mc:AlternateContent>
      </w:r>
      <w:r w:rsidR="007F2A10" w:rsidRPr="004E28BB">
        <w:rPr>
          <w:b/>
          <w:bCs/>
        </w:rPr>
        <w:tab/>
      </w:r>
    </w:p>
    <w:p w:rsidR="007F2A10" w:rsidRPr="004E28BB" w:rsidRDefault="00AF4148" w:rsidP="007F2A10">
      <w:pPr>
        <w:tabs>
          <w:tab w:val="left" w:pos="-1440"/>
          <w:tab w:val="left" w:pos="0"/>
          <w:tab w:val="left" w:pos="162"/>
          <w:tab w:val="left" w:pos="1440"/>
          <w:tab w:val="left" w:pos="2160"/>
          <w:tab w:val="left" w:pos="2880"/>
          <w:tab w:val="left" w:pos="3600"/>
          <w:tab w:val="left" w:pos="4320"/>
          <w:tab w:val="left" w:leader="dot" w:pos="5040"/>
          <w:tab w:val="left" w:leader="dot" w:pos="5760"/>
          <w:tab w:val="left" w:leader="dot" w:pos="6192"/>
          <w:tab w:val="left" w:leader="dot" w:pos="7200"/>
          <w:tab w:val="left" w:leader="dot" w:pos="7920"/>
          <w:tab w:val="left" w:leader="dot" w:pos="8640"/>
          <w:tab w:val="left" w:leader="dot" w:pos="9360"/>
        </w:tabs>
        <w:ind w:left="162" w:right="252"/>
        <w:jc w:val="both"/>
      </w:pPr>
      <w:r>
        <w:rPr>
          <w:noProof/>
        </w:rPr>
        <mc:AlternateContent>
          <mc:Choice Requires="wps">
            <w:drawing>
              <wp:anchor distT="0" distB="0" distL="114300" distR="114300" simplePos="0" relativeHeight="251648000" behindDoc="1" locked="0" layoutInCell="1" allowOverlap="1" wp14:anchorId="12F1D3BC" wp14:editId="62549130">
                <wp:simplePos x="0" y="0"/>
                <wp:positionH relativeFrom="column">
                  <wp:posOffset>1714500</wp:posOffset>
                </wp:positionH>
                <wp:positionV relativeFrom="paragraph">
                  <wp:posOffset>62230</wp:posOffset>
                </wp:positionV>
                <wp:extent cx="685800" cy="0"/>
                <wp:effectExtent l="0" t="0" r="0" b="0"/>
                <wp:wrapNone/>
                <wp:docPr id="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0"/>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9pt" to="18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" strokeweight="4pt"/>
            </w:pict>
          </mc:Fallback>
        </mc:AlternateContent>
      </w:r>
      <w:r>
        <w:rPr>
          <w:noProof/>
        </w:rPr>
        <mc:AlternateContent>
          <mc:Choice Requires="wps">
            <w:drawing>
              <wp:anchor distT="0" distB="0" distL="114300" distR="114300" simplePos="0" relativeHeight="251646976" behindDoc="1" locked="0" layoutInCell="1" allowOverlap="1" wp14:anchorId="6152B9A0" wp14:editId="3DA80B23">
                <wp:simplePos x="0" y="0"/>
                <wp:positionH relativeFrom="column">
                  <wp:posOffset>2971800</wp:posOffset>
                </wp:positionH>
                <wp:positionV relativeFrom="paragraph">
                  <wp:posOffset>176530</wp:posOffset>
                </wp:positionV>
                <wp:extent cx="914400" cy="0"/>
                <wp:effectExtent l="0" t="0" r="0" b="0"/>
                <wp:wrapNone/>
                <wp:docPr id="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14400" cy="0"/>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3.9pt" to="306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" strokeweight="4pt"/>
            </w:pict>
          </mc:Fallback>
        </mc:AlternateContent>
      </w:r>
    </w:p>
    <w:p w:rsidR="007F2A10" w:rsidRPr="004E28BB" w:rsidRDefault="007F2A10" w:rsidP="007F2A10">
      <w:pPr>
        <w:ind w:left="1440"/>
      </w:pPr>
    </w:p>
    <w:p w:rsidR="007F2A10" w:rsidRPr="004E28BB" w:rsidRDefault="007F2A10" w:rsidP="007F2A10">
      <w:pPr>
        <w:ind w:left="1440"/>
      </w:pPr>
      <w:r w:rsidRPr="004E28BB">
        <w:t xml:space="preserve">Figure 1 shows a schematic depicting an organized continuum of care for individuals with moderate/severe </w:t>
      </w:r>
      <w:r w:rsidR="00F5511A">
        <w:t>TBI</w:t>
      </w:r>
      <w:r w:rsidRPr="004E28BB">
        <w:t>. The system is not a lock-step progression, but a spectrum of TBI programs and services based on</w:t>
      </w:r>
      <w:r w:rsidR="006C6D31">
        <w:t xml:space="preserve"> the</w:t>
      </w:r>
      <w:r w:rsidRPr="004E28BB">
        <w:t xml:space="preserve"> individual’s unique condition and needs. </w:t>
      </w:r>
    </w:p>
    <w:p w:rsidR="007F2A10" w:rsidRPr="004E28BB" w:rsidRDefault="007F2A10" w:rsidP="007F2A10">
      <w:pPr>
        <w:ind w:left="1440"/>
      </w:pPr>
      <w:r w:rsidRPr="004E28BB">
        <w:t>“The term rehabilitative and habilitative services includes items and services used to restore functional capacity, minimize limitations on physical and cognitive function, and maintain or prevent deterioration of functioning as a result of an illness, injury, disorder or other health condition. Such services also include training of individuals with mental and physical disabilities to enhance functional development.”</w:t>
      </w:r>
      <w:r w:rsidRPr="004E28BB">
        <w:rPr>
          <w:rStyle w:val="GuideCitesCharChar"/>
        </w:rPr>
        <w:t xml:space="preserve"> </w:t>
      </w:r>
      <w:r w:rsidRPr="00980EAA">
        <w:rPr>
          <w:rStyle w:val="GuideCitesCharChar"/>
          <w:highlight w:val="yellow"/>
        </w:rPr>
        <w:t>(</w:t>
      </w:r>
      <w:hyperlink w:anchor="CongressRec2010" w:history="1">
        <w:r w:rsidRPr="00852CC9">
          <w:rPr>
            <w:rStyle w:val="Hyperlink"/>
            <w:rFonts w:cs="Arial"/>
            <w:highlight w:val="yellow"/>
          </w:rPr>
          <w:t>Congressional Record, E4</w:t>
        </w:r>
        <w:r w:rsidR="00AA1D5D" w:rsidRPr="00852CC9">
          <w:rPr>
            <w:rStyle w:val="Hyperlink"/>
            <w:rFonts w:cs="Arial"/>
            <w:highlight w:val="yellow"/>
          </w:rPr>
          <w:t>62 [March 23, 2010]</w:t>
        </w:r>
        <w:r w:rsidR="009E4D82" w:rsidRPr="00852CC9">
          <w:rPr>
            <w:rStyle w:val="Hyperlink"/>
            <w:rFonts w:cs="Arial"/>
            <w:highlight w:val="yellow"/>
          </w:rPr>
          <w:t xml:space="preserve"> [Affordable Care Act</w:t>
        </w:r>
      </w:hyperlink>
      <w:r w:rsidR="009E4D82" w:rsidRPr="00980EAA">
        <w:rPr>
          <w:rStyle w:val="GuideCitesCharChar"/>
          <w:highlight w:val="yellow"/>
        </w:rPr>
        <w:t>]</w:t>
      </w:r>
      <w:r w:rsidRPr="00980EAA">
        <w:rPr>
          <w:rStyle w:val="GuideCitesCharChar"/>
          <w:highlight w:val="yellow"/>
        </w:rPr>
        <w:t>)</w:t>
      </w:r>
      <w:r w:rsidR="00B30BDE" w:rsidRPr="004E28BB">
        <w:rPr>
          <w:rStyle w:val="GuideCitesCharChar"/>
        </w:rPr>
        <w:t>.</w:t>
      </w:r>
      <w:r w:rsidRPr="004E28BB">
        <w:rPr>
          <w:i/>
        </w:rPr>
        <w:br/>
      </w:r>
      <w:r w:rsidRPr="004E28BB">
        <w:rPr>
          <w:i/>
        </w:rPr>
        <w:br/>
      </w:r>
      <w:r w:rsidRPr="004E28BB">
        <w:t>The type, amount, frequency and duration of medical, rehabilitation, and long-term services are determined by the individual’s condition and needs, degree of functional improvement within specific time frames</w:t>
      </w:r>
      <w:r w:rsidR="006C6D31">
        <w:t>,</w:t>
      </w:r>
      <w:r w:rsidRPr="004E28BB">
        <w:t xml:space="preserve"> as well as the individual’s potential to achieve additional, measurable functional improvements with continued provision of services. Decisions concerning treatment within the continuum of care should be made by specialists in </w:t>
      </w:r>
      <w:r w:rsidR="006C6D31">
        <w:t>TBI</w:t>
      </w:r>
      <w:r w:rsidRPr="004E28BB">
        <w:t xml:space="preserve"> in conjunction with the individual with TBI</w:t>
      </w:r>
      <w:r w:rsidR="006C6D31">
        <w:t xml:space="preserve"> and</w:t>
      </w:r>
      <w:r w:rsidRPr="004E28BB">
        <w:t xml:space="preserve"> family and/or support system. The following paragraphs describe care programs commonly used by individuals with moderate/severe </w:t>
      </w:r>
      <w:r w:rsidR="006C6D31">
        <w:t>TBI</w:t>
      </w:r>
      <w:r w:rsidR="0056633D">
        <w:t>s</w:t>
      </w:r>
      <w:r w:rsidRPr="004E28BB">
        <w:t xml:space="preserve">. Individuals with MTBI usually do not require the acute care inpatient </w:t>
      </w:r>
      <w:r w:rsidR="0020584E">
        <w:t>or</w:t>
      </w:r>
      <w:r w:rsidR="0020584E" w:rsidRPr="004E28BB">
        <w:t xml:space="preserve"> </w:t>
      </w:r>
      <w:r w:rsidRPr="004E28BB">
        <w:t>residential services described in this continuum.</w:t>
      </w:r>
    </w:p>
    <w:p w:rsidR="007F2A10" w:rsidRPr="004E28BB" w:rsidRDefault="007F2A10" w:rsidP="007F2A10">
      <w:pPr>
        <w:pStyle w:val="ListNumber3"/>
        <w:rPr>
          <w:sz w:val="24"/>
        </w:rPr>
      </w:pPr>
      <w:bookmarkStart w:id="60" w:name="_Toc319922426"/>
      <w:bookmarkStart w:id="61" w:name="_Toc394643189"/>
      <w:r w:rsidRPr="004E28BB">
        <w:rPr>
          <w:rStyle w:val="Guide3-abcdChar"/>
        </w:rPr>
        <w:t>Acute Care</w:t>
      </w:r>
      <w:bookmarkEnd w:id="60"/>
      <w:bookmarkEnd w:id="61"/>
      <w:r w:rsidRPr="004E28BB">
        <w:t xml:space="preserve">: Established Emergency Medical Services (EMS) triage guidelines and organized pre-hospital trauma systems improve the delivery of trauma care and should be utilized. Trauma systems with </w:t>
      </w:r>
      <w:r w:rsidRPr="004E28BB">
        <w:lastRenderedPageBreak/>
        <w:t xml:space="preserve">identified regionally-designated neuro-trauma centers (preferable Level I or Level II Trauma Centers) should be utilized for the acute care of individuals with </w:t>
      </w:r>
      <w:r w:rsidR="00F5511A">
        <w:t>TBI</w:t>
      </w:r>
      <w:r w:rsidRPr="004E28BB">
        <w:t>. Neuro</w:t>
      </w:r>
      <w:r w:rsidR="00DB49BA">
        <w:t>-</w:t>
      </w:r>
      <w:r w:rsidRPr="004E28BB">
        <w:t xml:space="preserve">trauma centers should have a multidisciplinary trauma team, an in-house trauma surgeon, </w:t>
      </w:r>
      <w:r w:rsidR="00915CD9">
        <w:t xml:space="preserve">a </w:t>
      </w:r>
      <w:r w:rsidRPr="004E28BB">
        <w:t xml:space="preserve">promptly available neurosurgeon, a continuously staffed Operating Room, Neuroscience nurses, </w:t>
      </w:r>
      <w:r w:rsidR="00915CD9">
        <w:t xml:space="preserve">a </w:t>
      </w:r>
      <w:r w:rsidRPr="004E28BB">
        <w:t xml:space="preserve">Neuro-Intensive Care Unit, </w:t>
      </w:r>
      <w:r w:rsidR="00915CD9">
        <w:t xml:space="preserve">a </w:t>
      </w:r>
      <w:r w:rsidRPr="004E28BB">
        <w:t>laboratory, and a CAT scanner immediately available at all times. Other team members should include orthopedists, radiologists, anesthesiologists, occupational therapists, physical therapists</w:t>
      </w:r>
      <w:r w:rsidR="00915CD9">
        <w:t>,</w:t>
      </w:r>
      <w:r w:rsidRPr="004E28BB">
        <w:t xml:space="preserve"> and speech pathologists. Moderate/severe patients are usually admitted to the </w:t>
      </w:r>
      <w:r w:rsidR="00915CD9">
        <w:t>I</w:t>
      </w:r>
      <w:r w:rsidRPr="004E28BB">
        <w:t xml:space="preserve">ntensive </w:t>
      </w:r>
      <w:r w:rsidR="00915CD9">
        <w:t>C</w:t>
      </w:r>
      <w:r w:rsidRPr="004E28BB">
        <w:t xml:space="preserve">are </w:t>
      </w:r>
      <w:r w:rsidR="00915CD9">
        <w:t>U</w:t>
      </w:r>
      <w:r w:rsidRPr="004E28BB">
        <w:t>nit initially and then progress to acute care units</w:t>
      </w:r>
      <w:r w:rsidR="00915CD9">
        <w:t>,</w:t>
      </w:r>
      <w:r w:rsidRPr="004E28BB">
        <w:t xml:space="preserve"> which are frequently termed transitional or step-down units. Insurance carriers should develop programs to respond quickly to individuals with TBI and their families</w:t>
      </w:r>
      <w:r w:rsidR="0020584E">
        <w:t xml:space="preserve"> and/or support systems</w:t>
      </w:r>
      <w:r w:rsidRPr="004E28BB">
        <w:t xml:space="preserve"> once moderate/severe TBI is identified. In these instances, insurance carriers are encouraged to deploy on-site certified case managers (CCM) to assist treatment providers, individuals</w:t>
      </w:r>
      <w:r w:rsidR="00915CD9">
        <w:t>,</w:t>
      </w:r>
      <w:r w:rsidRPr="004E28BB">
        <w:t xml:space="preserve"> and family </w:t>
      </w:r>
      <w:r w:rsidR="008D7DFD">
        <w:t xml:space="preserve">and/or </w:t>
      </w:r>
      <w:r w:rsidRPr="004E28BB">
        <w:t>support system.</w:t>
      </w:r>
    </w:p>
    <w:p w:rsidR="00FE7026" w:rsidRPr="004E28BB" w:rsidRDefault="00FE7026" w:rsidP="00D41D04">
      <w:pPr>
        <w:pStyle w:val="ListNumber3"/>
      </w:pPr>
      <w:bookmarkStart w:id="62" w:name="_Toc319922427"/>
      <w:bookmarkStart w:id="63" w:name="_Toc394643190"/>
      <w:smartTag w:uri="urn:schemas-microsoft-com:office:smarttags" w:element="place">
        <w:smartTag w:uri="urn:schemas-microsoft-com:office:smarttags" w:element="PlaceName">
          <w:r w:rsidRPr="004E28BB">
            <w:rPr>
              <w:rStyle w:val="Guide3-abcdChar"/>
            </w:rPr>
            <w:t>Comprehensive</w:t>
          </w:r>
        </w:smartTag>
        <w:r w:rsidRPr="004E28BB">
          <w:rPr>
            <w:rStyle w:val="Guide3-abcdChar"/>
          </w:rPr>
          <w:t xml:space="preserve"> </w:t>
        </w:r>
        <w:smartTag w:uri="urn:schemas-microsoft-com:office:smarttags" w:element="PlaceName">
          <w:r w:rsidRPr="004E28BB">
            <w:rPr>
              <w:rStyle w:val="Guide3-abcdChar"/>
            </w:rPr>
            <w:t>Integrated</w:t>
          </w:r>
        </w:smartTag>
        <w:r w:rsidRPr="004E28BB">
          <w:rPr>
            <w:rStyle w:val="Guide3-abcdChar"/>
          </w:rPr>
          <w:t xml:space="preserve"> </w:t>
        </w:r>
        <w:smartTag w:uri="urn:schemas-microsoft-com:office:smarttags" w:element="PlaceName">
          <w:r w:rsidRPr="004E28BB">
            <w:rPr>
              <w:rStyle w:val="Guide3-abcdChar"/>
            </w:rPr>
            <w:t>Inpatient</w:t>
          </w:r>
        </w:smartTag>
        <w:r w:rsidRPr="004E28BB">
          <w:rPr>
            <w:rStyle w:val="Guide3-abcdChar"/>
          </w:rPr>
          <w:t xml:space="preserve"> </w:t>
        </w:r>
        <w:smartTag w:uri="urn:schemas-microsoft-com:office:smarttags" w:element="PlaceName">
          <w:r w:rsidRPr="004E28BB">
            <w:rPr>
              <w:rStyle w:val="Guide3-abcdChar"/>
            </w:rPr>
            <w:t>Rehabilitation</w:t>
          </w:r>
        </w:smartTag>
        <w:r w:rsidRPr="004E28BB">
          <w:rPr>
            <w:rStyle w:val="Guide3-abcdChar"/>
          </w:rPr>
          <w:t xml:space="preserve"> </w:t>
        </w:r>
        <w:smartTag w:uri="urn:schemas-microsoft-com:office:smarttags" w:element="PlaceType">
          <w:r w:rsidRPr="004E28BB">
            <w:rPr>
              <w:rStyle w:val="Guide3-abcdChar"/>
            </w:rPr>
            <w:t>Hospital</w:t>
          </w:r>
        </w:smartTag>
      </w:smartTag>
      <w:r w:rsidRPr="004E28BB">
        <w:rPr>
          <w:rStyle w:val="Guide3-abcdChar"/>
        </w:rPr>
        <w:t xml:space="preserve"> or “Acute Rehabilitation</w:t>
      </w:r>
      <w:bookmarkEnd w:id="62"/>
      <w:r w:rsidRPr="004E28BB">
        <w:rPr>
          <w:rStyle w:val="Guide3-abcdChar"/>
        </w:rPr>
        <w:t>”</w:t>
      </w:r>
      <w:r w:rsidRPr="008D7DFD">
        <w:rPr>
          <w:rStyle w:val="Guide3-abcdChar"/>
          <w:b w:val="0"/>
          <w:u w:val="none"/>
        </w:rPr>
        <w:t>:</w:t>
      </w:r>
      <w:bookmarkEnd w:id="63"/>
      <w:r w:rsidRPr="004E28BB">
        <w:t xml:space="preserve"> Following medical stability, individuals with moderate/severe </w:t>
      </w:r>
      <w:r w:rsidR="0056633D">
        <w:t>TBI</w:t>
      </w:r>
      <w:r w:rsidRPr="004E28BB">
        <w:t xml:space="preserve"> should be transferred from acute hospital care to a comprehensive integrated inpatient brain injury rehabilitation program unless they are unable to participate in the program. Acute brain injury rehabilitation hospitals should have a designated specialty program, with designated beds for patients with brain</w:t>
      </w:r>
      <w:r w:rsidR="008D7DFD">
        <w:t xml:space="preserve"> </w:t>
      </w:r>
      <w:r w:rsidRPr="004E28BB">
        <w:t xml:space="preserve">injuries, designated staff, treatment areas, therapy programs, equipment, and a sufficient number of individuals with TBI to constitute a peer and family milieu. Acute rehabilitation hospitals should be accredited by the Joint Commission on Accreditation of Healthcare Organizations (Joint Commission), and have components consistent with the Commission on Accreditation of Rehabilitation Facilities (CARF). CARF eligibility implies that programs meet specific care standards of design and efficacy </w:t>
      </w:r>
      <w:r w:rsidR="00756447">
        <w:t>(r</w:t>
      </w:r>
      <w:r w:rsidRPr="004E28BB">
        <w:t xml:space="preserve">efer to </w:t>
      </w:r>
      <w:r w:rsidR="00811C8B">
        <w:t>S</w:t>
      </w:r>
      <w:r w:rsidR="00F04FA7" w:rsidRPr="004E28BB">
        <w:t xml:space="preserve">ection </w:t>
      </w:r>
      <w:hyperlink w:anchor="TBII1bComprehensiveIntegratedInpatient" w:history="1">
        <w:r w:rsidR="00F04FA7" w:rsidRPr="004E28BB">
          <w:rPr>
            <w:rStyle w:val="Hyperlink"/>
            <w:rFonts w:cs="Arial"/>
          </w:rPr>
          <w:t>I.1.b</w:t>
        </w:r>
        <w:r w:rsidRPr="004E28BB">
          <w:rPr>
            <w:rStyle w:val="Hyperlink"/>
            <w:rFonts w:cs="Arial"/>
          </w:rPr>
          <w:t>. Comprehensive Integrated Inpatient</w:t>
        </w:r>
        <w:r w:rsidR="00F04FA7" w:rsidRPr="004E28BB">
          <w:rPr>
            <w:rStyle w:val="Hyperlink"/>
            <w:rFonts w:cs="Arial"/>
          </w:rPr>
          <w:t xml:space="preserve"> Interdisciplinary </w:t>
        </w:r>
        <w:r w:rsidRPr="004E28BB">
          <w:rPr>
            <w:rStyle w:val="Hyperlink"/>
            <w:rFonts w:cs="Arial"/>
          </w:rPr>
          <w:t>Rehabilitation</w:t>
        </w:r>
        <w:r w:rsidR="00F04FA7" w:rsidRPr="004E28BB">
          <w:rPr>
            <w:rStyle w:val="Hyperlink"/>
            <w:rFonts w:cs="Arial"/>
          </w:rPr>
          <w:t xml:space="preserve"> Programs</w:t>
        </w:r>
      </w:hyperlink>
      <w:r w:rsidR="00756447">
        <w:t>)</w:t>
      </w:r>
      <w:r w:rsidRPr="004E28BB">
        <w:t>.</w:t>
      </w:r>
    </w:p>
    <w:p w:rsidR="00FE7026" w:rsidRPr="004E28BB" w:rsidRDefault="00FE7026" w:rsidP="00D41D04">
      <w:pPr>
        <w:pStyle w:val="ListNumber3"/>
      </w:pPr>
      <w:bookmarkStart w:id="64" w:name="_Toc319922428"/>
      <w:bookmarkStart w:id="65" w:name="_Toc394643191"/>
      <w:r w:rsidRPr="004E28BB">
        <w:rPr>
          <w:rStyle w:val="Guide3-abcdChar"/>
        </w:rPr>
        <w:t>Long-Term Acute Care (LTAC) Programs</w:t>
      </w:r>
      <w:bookmarkEnd w:id="64"/>
      <w:bookmarkEnd w:id="65"/>
      <w:r w:rsidRPr="004E28BB">
        <w:t xml:space="preserve">: Some individuals will be unable to participate in a full inpatient program immediately following </w:t>
      </w:r>
      <w:r w:rsidR="00387A03">
        <w:t>a</w:t>
      </w:r>
      <w:r w:rsidRPr="004E28BB">
        <w:t xml:space="preserve">cute </w:t>
      </w:r>
      <w:r w:rsidR="008D7DFD">
        <w:t>c</w:t>
      </w:r>
      <w:r w:rsidRPr="004E28BB">
        <w:t xml:space="preserve">are and may need </w:t>
      </w:r>
      <w:r w:rsidR="00C80B09">
        <w:t>LTAC</w:t>
      </w:r>
      <w:r w:rsidRPr="004E28BB">
        <w:t xml:space="preserve"> for a period of time prior to entering a </w:t>
      </w:r>
      <w:smartTag w:uri="urn:schemas-microsoft-com:office:smarttags" w:element="place">
        <w:smartTag w:uri="urn:schemas-microsoft-com:office:smarttags" w:element="PlaceName">
          <w:r w:rsidRPr="004E28BB">
            <w:t>Comprehensive</w:t>
          </w:r>
        </w:smartTag>
        <w:r w:rsidRPr="004E28BB">
          <w:t xml:space="preserve"> </w:t>
        </w:r>
        <w:smartTag w:uri="urn:schemas-microsoft-com:office:smarttags" w:element="PlaceName">
          <w:r w:rsidRPr="004E28BB">
            <w:t>Integrated</w:t>
          </w:r>
        </w:smartTag>
        <w:r w:rsidRPr="004E28BB">
          <w:t xml:space="preserve"> </w:t>
        </w:r>
        <w:smartTag w:uri="urn:schemas-microsoft-com:office:smarttags" w:element="PlaceName">
          <w:r w:rsidRPr="004E28BB">
            <w:t>Inpatient</w:t>
          </w:r>
        </w:smartTag>
        <w:r w:rsidRPr="004E28BB">
          <w:t xml:space="preserve"> </w:t>
        </w:r>
        <w:smartTag w:uri="urn:schemas-microsoft-com:office:smarttags" w:element="PlaceName">
          <w:r w:rsidRPr="004E28BB">
            <w:t>Rehabilitation</w:t>
          </w:r>
        </w:smartTag>
        <w:r w:rsidRPr="004E28BB">
          <w:t xml:space="preserve"> </w:t>
        </w:r>
        <w:smartTag w:uri="urn:schemas-microsoft-com:office:smarttags" w:element="PlaceType">
          <w:r w:rsidRPr="004E28BB">
            <w:t>Hospital</w:t>
          </w:r>
        </w:smartTag>
      </w:smartTag>
      <w:r w:rsidRPr="004E28BB">
        <w:t>. LTAC is a recognized designation by the Centers for</w:t>
      </w:r>
      <w:r w:rsidR="00C71AEF" w:rsidRPr="004E28BB">
        <w:t xml:space="preserve"> Medicare and Medicaid Services</w:t>
      </w:r>
      <w:r w:rsidRPr="004E28BB">
        <w:t xml:space="preserve"> for </w:t>
      </w:r>
      <w:r w:rsidR="00C80B09">
        <w:t>LTAC</w:t>
      </w:r>
      <w:r w:rsidRPr="004E28BB">
        <w:t xml:space="preserve"> and rehabilitation hospitals whose average length of stay is at least 25 days. LTAC hospitals provide specialized care services, including skilled nursing care to manage medical conditions, so that individuals with catastrophic or acute illnesses/injuries may progress toward entry into </w:t>
      </w:r>
      <w:r w:rsidR="002C443D" w:rsidRPr="004E28BB">
        <w:t xml:space="preserve">full rehabilitation programs. </w:t>
      </w:r>
      <w:r w:rsidRPr="004E28BB">
        <w:t xml:space="preserve">LTAC programs should be accredited by the Joint Commission. LTAC rehabilitation is generally accepted, but should not be used in lieu of Comprehensive Integrated Inpatient Rehabilitation Hospitals. </w:t>
      </w:r>
    </w:p>
    <w:p w:rsidR="00FE7026" w:rsidRPr="004E28BB" w:rsidRDefault="00FE7026" w:rsidP="00D41D04">
      <w:pPr>
        <w:pStyle w:val="ListNumber3"/>
      </w:pPr>
      <w:bookmarkStart w:id="66" w:name="_Toc319922429"/>
      <w:bookmarkStart w:id="67" w:name="_Toc394643192"/>
      <w:r w:rsidRPr="004E28BB">
        <w:rPr>
          <w:rStyle w:val="Guide3-abcdChar"/>
        </w:rPr>
        <w:t>Sub</w:t>
      </w:r>
      <w:r w:rsidR="007843ED">
        <w:rPr>
          <w:rStyle w:val="Guide3-abcdChar"/>
        </w:rPr>
        <w:t>-</w:t>
      </w:r>
      <w:r w:rsidR="00CD4608">
        <w:rPr>
          <w:rStyle w:val="Guide3-abcdChar"/>
        </w:rPr>
        <w:t>A</w:t>
      </w:r>
      <w:r w:rsidRPr="004E28BB">
        <w:rPr>
          <w:rStyle w:val="Guide3-abcdChar"/>
        </w:rPr>
        <w:t>cute Skilled Nursing Facility (SNF) Rehabilitation Programs</w:t>
      </w:r>
      <w:bookmarkEnd w:id="66"/>
      <w:bookmarkEnd w:id="67"/>
      <w:r w:rsidRPr="004E28BB">
        <w:t xml:space="preserve">: These programs are located on separate and specially licensed units of hospitals or free-standing </w:t>
      </w:r>
      <w:r w:rsidR="00CD4608">
        <w:t>SNFs</w:t>
      </w:r>
      <w:r w:rsidRPr="004E28BB">
        <w:t xml:space="preserve">. Individuals appropriate for SNF require skilled nursing care, and </w:t>
      </w:r>
      <w:r w:rsidR="008D7DFD">
        <w:t xml:space="preserve">they </w:t>
      </w:r>
      <w:r w:rsidRPr="004E28BB">
        <w:t xml:space="preserve">have either completed comprehensive inpatient rehabilitation or are judged to not be able to benefit from inpatient rehabilitation. SNFs are generally accepted, but </w:t>
      </w:r>
      <w:r w:rsidR="008D7DFD">
        <w:t xml:space="preserve">they </w:t>
      </w:r>
      <w:r w:rsidRPr="004E28BB">
        <w:t xml:space="preserve">should not be used in lieu of </w:t>
      </w:r>
      <w:smartTag w:uri="urn:schemas-microsoft-com:office:smarttags" w:element="place">
        <w:smartTag w:uri="urn:schemas-microsoft-com:office:smarttags" w:element="PlaceName">
          <w:r w:rsidRPr="004E28BB">
            <w:t>Comprehensive</w:t>
          </w:r>
        </w:smartTag>
        <w:r w:rsidRPr="004E28BB">
          <w:t xml:space="preserve"> </w:t>
        </w:r>
        <w:smartTag w:uri="urn:schemas-microsoft-com:office:smarttags" w:element="PlaceName">
          <w:r w:rsidRPr="004E28BB">
            <w:t>Integrated</w:t>
          </w:r>
        </w:smartTag>
        <w:r w:rsidRPr="004E28BB">
          <w:t xml:space="preserve"> </w:t>
        </w:r>
        <w:smartTag w:uri="urn:schemas-microsoft-com:office:smarttags" w:element="PlaceName">
          <w:r w:rsidRPr="004E28BB">
            <w:t>Inpatient</w:t>
          </w:r>
        </w:smartTag>
        <w:r w:rsidRPr="004E28BB">
          <w:t xml:space="preserve"> </w:t>
        </w:r>
        <w:smartTag w:uri="urn:schemas-microsoft-com:office:smarttags" w:element="PlaceName">
          <w:r w:rsidRPr="004E28BB">
            <w:t>Rehabilitation</w:t>
          </w:r>
        </w:smartTag>
        <w:r w:rsidRPr="004E28BB">
          <w:t xml:space="preserve"> </w:t>
        </w:r>
        <w:smartTag w:uri="urn:schemas-microsoft-com:office:smarttags" w:element="PlaceType">
          <w:r w:rsidRPr="004E28BB">
            <w:lastRenderedPageBreak/>
            <w:t>Hospital</w:t>
          </w:r>
        </w:smartTag>
      </w:smartTag>
      <w:r w:rsidRPr="004E28BB">
        <w:t xml:space="preserve"> for individuals who may benefit from a comprehensive inpatient rehabilitation program. </w:t>
      </w:r>
      <w:r w:rsidR="00CD4608">
        <w:t>SNFs</w:t>
      </w:r>
      <w:r w:rsidRPr="004E28BB">
        <w:t xml:space="preserve"> should be accredited by the Joint Commission. </w:t>
      </w:r>
    </w:p>
    <w:p w:rsidR="00FE7026" w:rsidRPr="004E28BB" w:rsidRDefault="00FE7026" w:rsidP="00D41D04">
      <w:pPr>
        <w:pStyle w:val="ListNumber3"/>
      </w:pPr>
      <w:bookmarkStart w:id="68" w:name="_Toc319922430"/>
      <w:bookmarkStart w:id="69" w:name="_Toc394643193"/>
      <w:r w:rsidRPr="004E28BB">
        <w:rPr>
          <w:rStyle w:val="Guide3-abcdChar"/>
        </w:rPr>
        <w:t>Post-Acute Rehabilitation</w:t>
      </w:r>
      <w:bookmarkEnd w:id="68"/>
      <w:bookmarkEnd w:id="69"/>
      <w:r w:rsidRPr="004E28BB">
        <w:t>: This describes programs following</w:t>
      </w:r>
      <w:r w:rsidR="00F5511A">
        <w:t xml:space="preserve"> an individual’s stay at a</w:t>
      </w:r>
      <w:r w:rsidRPr="004E28BB">
        <w:t xml:space="preserve"> </w:t>
      </w:r>
      <w:smartTag w:uri="urn:schemas-microsoft-com:office:smarttags" w:element="place">
        <w:smartTag w:uri="urn:schemas-microsoft-com:office:smarttags" w:element="PlaceName">
          <w:r w:rsidRPr="004E28BB">
            <w:t>Comprehensive</w:t>
          </w:r>
        </w:smartTag>
        <w:r w:rsidRPr="004E28BB">
          <w:t xml:space="preserve"> </w:t>
        </w:r>
        <w:smartTag w:uri="urn:schemas-microsoft-com:office:smarttags" w:element="PlaceName">
          <w:r w:rsidRPr="004E28BB">
            <w:t>Integrated</w:t>
          </w:r>
        </w:smartTag>
        <w:r w:rsidRPr="004E28BB">
          <w:t xml:space="preserve"> </w:t>
        </w:r>
        <w:smartTag w:uri="urn:schemas-microsoft-com:office:smarttags" w:element="PlaceName">
          <w:r w:rsidRPr="004E28BB">
            <w:t>Inpatient</w:t>
          </w:r>
        </w:smartTag>
        <w:r w:rsidRPr="004E28BB">
          <w:t xml:space="preserve"> </w:t>
        </w:r>
        <w:smartTag w:uri="urn:schemas-microsoft-com:office:smarttags" w:element="PlaceName">
          <w:r w:rsidRPr="004E28BB">
            <w:t>Rehabilitation</w:t>
          </w:r>
        </w:smartTag>
        <w:r w:rsidRPr="004E28BB">
          <w:t xml:space="preserve"> </w:t>
        </w:r>
        <w:smartTag w:uri="urn:schemas-microsoft-com:office:smarttags" w:element="PlaceType">
          <w:r w:rsidRPr="004E28BB">
            <w:t>Hospital</w:t>
          </w:r>
        </w:smartTag>
      </w:smartTag>
      <w:r w:rsidRPr="004E28BB">
        <w:t xml:space="preserve">, </w:t>
      </w:r>
      <w:r w:rsidRPr="004E28BB">
        <w:rPr>
          <w:rStyle w:val="CommentReference"/>
        </w:rPr>
        <w:t>i</w:t>
      </w:r>
      <w:r w:rsidRPr="004E28BB">
        <w:t>ncluding outpatient or day treatment rehabilitation, residential transitional rehabilitation, behavioral treatment programs, neurobehavioral rehabilitation or home/community</w:t>
      </w:r>
      <w:r w:rsidR="007843ED">
        <w:t>-</w:t>
      </w:r>
      <w:r w:rsidRPr="004E28BB">
        <w:t>based programs. The most appropriate post-acute rehabilitation program is dependent on the individual’s needs following inpatient hospital rehabilitation, as well as proximity and availability of services, family</w:t>
      </w:r>
      <w:r w:rsidR="005C7D65">
        <w:t xml:space="preserve"> and/or support system</w:t>
      </w:r>
      <w:r w:rsidRPr="004E28BB">
        <w:t xml:space="preserve"> dynamics, and projected long-term outcomes. Individuals with significant deficits or who require behavioral treatment or supervision for safety may require neurobehavioral residential rehabilitation. Post-</w:t>
      </w:r>
      <w:r w:rsidR="007843ED">
        <w:t>a</w:t>
      </w:r>
      <w:r w:rsidRPr="004E28BB">
        <w:t xml:space="preserve">cute </w:t>
      </w:r>
      <w:r w:rsidR="007843ED">
        <w:t>r</w:t>
      </w:r>
      <w:r w:rsidRPr="004E28BB">
        <w:t>ehabilitation should not be used in lieu of Comprehensive Integrated Inpatient Rehabilitation Hospitals. (</w:t>
      </w:r>
      <w:r w:rsidR="00756447">
        <w:t>r</w:t>
      </w:r>
      <w:r w:rsidRPr="004E28BB">
        <w:t xml:space="preserve">efer to </w:t>
      </w:r>
      <w:r w:rsidR="00811C8B">
        <w:t>S</w:t>
      </w:r>
      <w:r w:rsidRPr="004E28BB">
        <w:t xml:space="preserve">ection </w:t>
      </w:r>
      <w:hyperlink w:anchor="TBII1aBehavioralPrograms" w:history="1">
        <w:r w:rsidR="00975F14" w:rsidRPr="004E28BB">
          <w:rPr>
            <w:rStyle w:val="Hyperlink"/>
          </w:rPr>
          <w:t>I</w:t>
        </w:r>
        <w:r w:rsidRPr="004E28BB">
          <w:rPr>
            <w:rStyle w:val="Hyperlink"/>
          </w:rPr>
          <w:t>.</w:t>
        </w:r>
        <w:r w:rsidR="00975F14" w:rsidRPr="004E28BB">
          <w:rPr>
            <w:rStyle w:val="Hyperlink"/>
          </w:rPr>
          <w:t>1</w:t>
        </w:r>
        <w:r w:rsidRPr="004E28BB">
          <w:rPr>
            <w:rStyle w:val="Hyperlink"/>
          </w:rPr>
          <w:t>.a. Behavioral Programs</w:t>
        </w:r>
      </w:hyperlink>
      <w:r w:rsidRPr="004E28BB">
        <w:t xml:space="preserve"> and </w:t>
      </w:r>
      <w:hyperlink w:anchor="TBIG11hResidentialRehab" w:history="1">
        <w:r w:rsidRPr="004E28BB">
          <w:rPr>
            <w:rStyle w:val="Hyperlink"/>
          </w:rPr>
          <w:t>h. Residential Rehabilitation</w:t>
        </w:r>
      </w:hyperlink>
      <w:r w:rsidRPr="004E28BB">
        <w:t>). Other individuals may be able to use a combination of home and community-based rehabilitation and outpatient or day treatment rehabilitation. (</w:t>
      </w:r>
      <w:r w:rsidR="00756447">
        <w:t>r</w:t>
      </w:r>
      <w:r w:rsidRPr="004E28BB">
        <w:t xml:space="preserve">efer to </w:t>
      </w:r>
      <w:r w:rsidR="00811C8B">
        <w:t>S</w:t>
      </w:r>
      <w:r w:rsidRPr="004E28BB">
        <w:t xml:space="preserve">ections </w:t>
      </w:r>
      <w:hyperlink w:anchor="TBII1cHomeAndCommunity" w:history="1">
        <w:r w:rsidR="00975F14" w:rsidRPr="004E28BB">
          <w:rPr>
            <w:rStyle w:val="Hyperlink"/>
          </w:rPr>
          <w:t>I</w:t>
        </w:r>
        <w:r w:rsidRPr="004E28BB">
          <w:rPr>
            <w:rStyle w:val="Hyperlink"/>
          </w:rPr>
          <w:t>.1.c. Home and Community-</w:t>
        </w:r>
        <w:r w:rsidR="007843ED">
          <w:rPr>
            <w:rStyle w:val="Hyperlink"/>
          </w:rPr>
          <w:t>B</w:t>
        </w:r>
        <w:r w:rsidRPr="004E28BB">
          <w:rPr>
            <w:rStyle w:val="Hyperlink"/>
          </w:rPr>
          <w:t>ased Rehabilitation</w:t>
        </w:r>
      </w:hyperlink>
      <w:r w:rsidRPr="004E28BB">
        <w:t xml:space="preserve"> and </w:t>
      </w:r>
      <w:hyperlink w:anchor="TBII1gOutpatientRehabServies" w:history="1">
        <w:r w:rsidRPr="004E28BB">
          <w:rPr>
            <w:rStyle w:val="Hyperlink"/>
          </w:rPr>
          <w:t>g. Outpatient Rehabilitation Services</w:t>
        </w:r>
      </w:hyperlink>
      <w:r w:rsidRPr="004E28BB">
        <w:t>).</w:t>
      </w:r>
    </w:p>
    <w:p w:rsidR="00FE7026" w:rsidRPr="004E28BB" w:rsidRDefault="00FE7026" w:rsidP="00D41D04">
      <w:pPr>
        <w:pStyle w:val="ListNumber3"/>
      </w:pPr>
      <w:bookmarkStart w:id="70" w:name="_Toc319922431"/>
      <w:bookmarkStart w:id="71" w:name="_Toc394643194"/>
      <w:r w:rsidRPr="004E28BB">
        <w:rPr>
          <w:rStyle w:val="Guide3-abcdChar"/>
        </w:rPr>
        <w:t>Long-Term Support Care</w:t>
      </w:r>
      <w:bookmarkEnd w:id="70"/>
      <w:bookmarkEnd w:id="71"/>
      <w:r w:rsidRPr="004E28BB">
        <w:t>: The range of long-term outcomes following TBI is diverse</w:t>
      </w:r>
      <w:r w:rsidR="00D5711F">
        <w:t>, ranging</w:t>
      </w:r>
      <w:r w:rsidRPr="004E28BB">
        <w:t xml:space="preserve"> from virtually complete independence and function to severe and permanent disability. Therefore, the range of ne</w:t>
      </w:r>
      <w:r w:rsidR="00D5711F">
        <w:t>cessary</w:t>
      </w:r>
      <w:r w:rsidRPr="004E28BB">
        <w:t xml:space="preserve"> services is complex and individualized. Some individuals with moderate/severe </w:t>
      </w:r>
      <w:r w:rsidR="00D5711F">
        <w:t>TBI</w:t>
      </w:r>
      <w:r w:rsidRPr="004E28BB">
        <w:t xml:space="preserve"> will require significant care and supervision in order to perform </w:t>
      </w:r>
      <w:r w:rsidR="0049733A">
        <w:t>ADLs</w:t>
      </w:r>
      <w:r w:rsidRPr="004E28BB">
        <w:t xml:space="preserve"> safely, either at home by </w:t>
      </w:r>
      <w:r w:rsidR="00387A03">
        <w:t>family and/or support system</w:t>
      </w:r>
      <w:r w:rsidRPr="004E28BB">
        <w:t xml:space="preserve"> members with appropriate training or attendant care, in a skilled nursing care facility, or </w:t>
      </w:r>
      <w:r w:rsidR="00D5711F">
        <w:t xml:space="preserve">in a </w:t>
      </w:r>
      <w:r w:rsidRPr="004E28BB">
        <w:t>long-term supported living residential program. (</w:t>
      </w:r>
      <w:r w:rsidR="00756447">
        <w:t>r</w:t>
      </w:r>
      <w:r w:rsidRPr="004E28BB">
        <w:t xml:space="preserve">efer to </w:t>
      </w:r>
      <w:r w:rsidR="00811C8B">
        <w:t>S</w:t>
      </w:r>
      <w:r w:rsidRPr="004E28BB">
        <w:t xml:space="preserve">ections </w:t>
      </w:r>
      <w:hyperlink w:anchor="TBIG11iSLPorLongTermCare" w:history="1">
        <w:r w:rsidR="00975F14" w:rsidRPr="004E28BB">
          <w:rPr>
            <w:rStyle w:val="Hyperlink"/>
          </w:rPr>
          <w:t>I</w:t>
        </w:r>
        <w:r w:rsidRPr="004E28BB">
          <w:rPr>
            <w:rStyle w:val="Hyperlink"/>
          </w:rPr>
          <w:t>.1.i Supported Living Programs or Long-Term Care Residential Services</w:t>
        </w:r>
      </w:hyperlink>
      <w:r w:rsidRPr="004E28BB">
        <w:t xml:space="preserve"> or </w:t>
      </w:r>
      <w:hyperlink w:anchor="TBII1dNursingCareFacilities" w:history="1">
        <w:r w:rsidRPr="004E28BB">
          <w:rPr>
            <w:rStyle w:val="Hyperlink"/>
            <w:rFonts w:cs="Arial"/>
          </w:rPr>
          <w:t>d. Nursing Care Facilities</w:t>
        </w:r>
      </w:hyperlink>
      <w:r w:rsidRPr="004E28BB">
        <w:t>). Individuals may also benefit from periodic re-evaluations based on condition and needs (</w:t>
      </w:r>
      <w:r w:rsidR="00756447">
        <w:t>r</w:t>
      </w:r>
      <w:r w:rsidRPr="004E28BB">
        <w:t xml:space="preserve">efer to </w:t>
      </w:r>
      <w:r w:rsidR="00811C8B">
        <w:t>S</w:t>
      </w:r>
      <w:r w:rsidRPr="004E28BB">
        <w:t xml:space="preserve">ection </w:t>
      </w:r>
      <w:hyperlink w:anchor="TBIMMaintenanceManagement" w:history="1">
        <w:r w:rsidR="00975F14" w:rsidRPr="004E28BB">
          <w:rPr>
            <w:rStyle w:val="Hyperlink"/>
            <w:rFonts w:cs="Arial"/>
          </w:rPr>
          <w:t>M</w:t>
        </w:r>
        <w:r w:rsidRPr="004E28BB">
          <w:rPr>
            <w:rStyle w:val="Hyperlink"/>
          </w:rPr>
          <w:t>, Maintenance Management</w:t>
        </w:r>
      </w:hyperlink>
      <w:r w:rsidRPr="004E28BB">
        <w:t>). Long-term care programs should have components consistent with certification by CARF. CARF eligibility or certification implies that programs meet specific care standards of design and efficacy.</w:t>
      </w:r>
    </w:p>
    <w:p w:rsidR="00FE7026" w:rsidRPr="004E28BB" w:rsidRDefault="00FE7026" w:rsidP="00D41D04">
      <w:pPr>
        <w:pStyle w:val="ListNumber2"/>
      </w:pPr>
      <w:bookmarkStart w:id="72" w:name="_Toc319922432"/>
      <w:bookmarkStart w:id="73" w:name="_Toc394643195"/>
      <w:r w:rsidRPr="004E28BB">
        <w:rPr>
          <w:rStyle w:val="Guide2-123Char"/>
        </w:rPr>
        <w:t>INTERDISCIPLINARY TREATMENT TEAM</w:t>
      </w:r>
      <w:bookmarkEnd w:id="72"/>
      <w:bookmarkEnd w:id="73"/>
      <w:r w:rsidR="00322E9B" w:rsidRPr="004E28BB">
        <w:t>:</w:t>
      </w:r>
      <w:r w:rsidRPr="004E28BB">
        <w:t xml:space="preserve"> (also </w:t>
      </w:r>
      <w:r w:rsidR="00C71AEF" w:rsidRPr="004E28BB">
        <w:t xml:space="preserve">known as </w:t>
      </w:r>
      <w:r w:rsidRPr="004E28BB">
        <w:t xml:space="preserve">multidisciplinary treatment team) </w:t>
      </w:r>
      <w:r w:rsidR="00322E9B">
        <w:t>A</w:t>
      </w:r>
      <w:r w:rsidRPr="004E28BB">
        <w:t>n alliance of professionals from different medical or therapeutic disciplines (as described below) that provides a coordinated treatment program. The disciplines, which make up the team, will be determined by the particular treatment needs of the individual with TBI. The team establishes treatment priorities and goals and provides treatment. Team members contribute their respective skills, competencies, insight, and perspectives to the rehabilitation process. This includes education, communication, and alignment of expectations for the purpose of optimizing treatment outcomes. It is highly recommended that the individual with TBI, along with his or her family</w:t>
      </w:r>
      <w:r w:rsidR="005C7D65">
        <w:t xml:space="preserve"> and</w:t>
      </w:r>
      <w:r w:rsidRPr="004E28BB">
        <w:t>/</w:t>
      </w:r>
      <w:r w:rsidR="005C7D65">
        <w:t xml:space="preserve">or </w:t>
      </w:r>
      <w:r w:rsidRPr="004E28BB">
        <w:t>support system, insurance carrier, and case manager, participate in team planning.</w:t>
      </w:r>
      <w:r w:rsidRPr="004E28BB">
        <w:br/>
      </w:r>
      <w:r w:rsidRPr="004E28BB">
        <w:br/>
        <w:t>The most common disciplines</w:t>
      </w:r>
      <w:r w:rsidR="00C05094" w:rsidRPr="004E28BB">
        <w:t>, in alphabetical order,</w:t>
      </w:r>
      <w:r w:rsidRPr="004E28BB">
        <w:t xml:space="preserve"> involved in the medical and rehabilitation treatment of TBI include, but are not limited to:</w:t>
      </w:r>
    </w:p>
    <w:p w:rsidR="00FE7026" w:rsidRPr="004E28BB" w:rsidRDefault="00FE7026" w:rsidP="00D41D04">
      <w:pPr>
        <w:pStyle w:val="ListNumber3"/>
        <w:rPr>
          <w:b/>
          <w:u w:val="single"/>
        </w:rPr>
      </w:pPr>
      <w:bookmarkStart w:id="74" w:name="_Toc319922433"/>
      <w:bookmarkStart w:id="75" w:name="_Toc394643196"/>
      <w:r w:rsidRPr="004E28BB">
        <w:rPr>
          <w:rStyle w:val="Guide3-abcdChar"/>
        </w:rPr>
        <w:lastRenderedPageBreak/>
        <w:t>Behavioral Psychologist</w:t>
      </w:r>
      <w:bookmarkEnd w:id="74"/>
      <w:bookmarkEnd w:id="75"/>
      <w:r w:rsidRPr="004E28BB">
        <w:t>: A psychologist with special training, credentials, and licensing, who specializes in the area of behavior analysis and treatment</w:t>
      </w:r>
      <w:bookmarkStart w:id="76" w:name="_Toc319922434"/>
      <w:r w:rsidRPr="004E28BB">
        <w:t>.</w:t>
      </w:r>
    </w:p>
    <w:p w:rsidR="00B33618" w:rsidRPr="004E28BB" w:rsidRDefault="00FE7026" w:rsidP="00D41D04">
      <w:pPr>
        <w:pStyle w:val="ListNumber3"/>
      </w:pPr>
      <w:bookmarkStart w:id="77" w:name="_Toc394643197"/>
      <w:r w:rsidRPr="004E28BB">
        <w:rPr>
          <w:rStyle w:val="Guide3-abcdChar"/>
        </w:rPr>
        <w:t>Behavioral Analyst</w:t>
      </w:r>
      <w:bookmarkEnd w:id="77"/>
      <w:r w:rsidR="00B01C0C">
        <w:rPr>
          <w:rStyle w:val="Guide3-abcdChar"/>
        </w:rPr>
        <w:t xml:space="preserve"> </w:t>
      </w:r>
      <w:r w:rsidR="00D5711F" w:rsidRPr="00B01C0C">
        <w:rPr>
          <w:u w:val="single"/>
        </w:rPr>
        <w:t>–</w:t>
      </w:r>
      <w:r w:rsidRPr="00B01C0C">
        <w:rPr>
          <w:rStyle w:val="Guide3-abcdChar"/>
        </w:rPr>
        <w:t xml:space="preserve"> </w:t>
      </w:r>
      <w:r w:rsidR="00D5711F">
        <w:rPr>
          <w:rStyle w:val="Guide3-abcdChar"/>
        </w:rPr>
        <w:t>M</w:t>
      </w:r>
      <w:r w:rsidRPr="004E28BB">
        <w:rPr>
          <w:rStyle w:val="Guide3-abcdChar"/>
        </w:rPr>
        <w:t xml:space="preserve">asters </w:t>
      </w:r>
      <w:r w:rsidR="00D5711F">
        <w:rPr>
          <w:rStyle w:val="Guide3-abcdChar"/>
        </w:rPr>
        <w:t>L</w:t>
      </w:r>
      <w:r w:rsidRPr="004E28BB">
        <w:rPr>
          <w:rStyle w:val="Guide3-abcdChar"/>
        </w:rPr>
        <w:t>evel</w:t>
      </w:r>
      <w:r w:rsidRPr="004E28BB">
        <w:t xml:space="preserve">: </w:t>
      </w:r>
      <w:r w:rsidR="00E807F9">
        <w:t xml:space="preserve">An </w:t>
      </w:r>
      <w:r w:rsidRPr="004E28BB">
        <w:t>individual certified as a behavior analyst who designs and supervises behavior interventions. (Behavioral assessments by an analyst do not substitute for neuropsychologic</w:t>
      </w:r>
      <w:r w:rsidR="00D5711F">
        <w:t>al</w:t>
      </w:r>
      <w:r w:rsidRPr="004E28BB">
        <w:t xml:space="preserve"> assessments.)</w:t>
      </w:r>
      <w:r w:rsidR="00E807ED">
        <w:t>.</w:t>
      </w:r>
    </w:p>
    <w:p w:rsidR="00FE7026" w:rsidRPr="004E28BB" w:rsidRDefault="00FE7026" w:rsidP="00D41D04">
      <w:pPr>
        <w:pStyle w:val="ListNumber3"/>
      </w:pPr>
      <w:bookmarkStart w:id="78" w:name="_Toc394643198"/>
      <w:r w:rsidRPr="004E28BB">
        <w:rPr>
          <w:rStyle w:val="Guide3-abcdChar"/>
        </w:rPr>
        <w:t>Case Manager</w:t>
      </w:r>
      <w:bookmarkEnd w:id="76"/>
      <w:bookmarkEnd w:id="78"/>
      <w:r w:rsidRPr="004E28BB">
        <w:t xml:space="preserve">: </w:t>
      </w:r>
      <w:r w:rsidR="00E807F9">
        <w:t>Case managers are initially trained under a variety of disciplines such as nursing, social work, and other health and human services fields and should be certified through the Commission for Case Manager Certification</w:t>
      </w:r>
      <w:r w:rsidR="00E807F9" w:rsidRPr="00184F43">
        <w:rPr>
          <w:rStyle w:val="GuideCitesCharChar"/>
        </w:rPr>
        <w:t xml:space="preserve"> </w:t>
      </w:r>
      <w:r w:rsidR="00E807F9" w:rsidRPr="00980EAA">
        <w:rPr>
          <w:rStyle w:val="GuideCitesCharChar"/>
          <w:highlight w:val="yellow"/>
        </w:rPr>
        <w:t>(</w:t>
      </w:r>
      <w:hyperlink w:anchor="CCMCnd" w:history="1">
        <w:r w:rsidR="00E807F9" w:rsidRPr="00852CC9">
          <w:rPr>
            <w:rStyle w:val="Hyperlink"/>
            <w:rFonts w:cs="Arial"/>
            <w:highlight w:val="yellow"/>
          </w:rPr>
          <w:t>CCMC</w:t>
        </w:r>
        <w:r w:rsidR="00EC682F" w:rsidRPr="00852CC9">
          <w:rPr>
            <w:rStyle w:val="Hyperlink"/>
            <w:rFonts w:cs="Arial"/>
            <w:highlight w:val="yellow"/>
          </w:rPr>
          <w:t>, n.d</w:t>
        </w:r>
      </w:hyperlink>
      <w:r w:rsidR="00EC682F" w:rsidRPr="00980EAA">
        <w:rPr>
          <w:rStyle w:val="GuideCitesCharChar"/>
          <w:highlight w:val="yellow"/>
        </w:rPr>
        <w:t>.)</w:t>
      </w:r>
      <w:r w:rsidR="00EC682F">
        <w:t>. In order to achieve the best possible outcome for everyone involved, it is best to provide case management services in an environment in which the case manager, the client, and the appropriate service personnel are able to communicate directly.</w:t>
      </w:r>
      <w:r w:rsidR="00E807F9" w:rsidRPr="00184F43">
        <w:rPr>
          <w:rStyle w:val="GuideCitesCharChar"/>
        </w:rPr>
        <w:t xml:space="preserve"> (</w:t>
      </w:r>
      <w:hyperlink w:anchor="CMSA2012" w:history="1">
        <w:r w:rsidR="00E807F9" w:rsidRPr="00852CC9">
          <w:rPr>
            <w:rStyle w:val="Hyperlink"/>
            <w:rFonts w:cs="Arial"/>
            <w:highlight w:val="yellow"/>
          </w:rPr>
          <w:t>Case Management Society of America,</w:t>
        </w:r>
        <w:r w:rsidR="00E807F9" w:rsidRPr="00852CC9">
          <w:rPr>
            <w:rStyle w:val="Hyperlink"/>
            <w:rFonts w:cs="Arial"/>
          </w:rPr>
          <w:t xml:space="preserve"> </w:t>
        </w:r>
        <w:r w:rsidR="00E807F9" w:rsidRPr="00852CC9">
          <w:rPr>
            <w:rStyle w:val="Hyperlink"/>
            <w:rFonts w:cs="Arial"/>
            <w:highlight w:val="yellow"/>
          </w:rPr>
          <w:t>[CMSA, 2012],</w:t>
        </w:r>
        <w:r w:rsidR="00F64E42" w:rsidRPr="00852CC9">
          <w:rPr>
            <w:rStyle w:val="Hyperlink"/>
            <w:rFonts w:cs="Arial"/>
            <w:highlight w:val="yellow"/>
          </w:rPr>
          <w:t xml:space="preserve"> </w:t>
        </w:r>
        <w:r w:rsidR="00E807F9" w:rsidRPr="00852CC9">
          <w:rPr>
            <w:rStyle w:val="Hyperlink"/>
            <w:rFonts w:cs="Arial"/>
            <w:highlight w:val="yellow"/>
          </w:rPr>
          <w:t>‘Philosophy of Case Management’</w:t>
        </w:r>
        <w:r w:rsidR="00F64E42" w:rsidRPr="00852CC9">
          <w:rPr>
            <w:rStyle w:val="Hyperlink"/>
            <w:rFonts w:cs="Arial"/>
            <w:highlight w:val="yellow"/>
          </w:rPr>
          <w:t xml:space="preserve"> </w:t>
        </w:r>
        <w:r w:rsidR="00E807F9" w:rsidRPr="00852CC9">
          <w:rPr>
            <w:rStyle w:val="Hyperlink"/>
            <w:rFonts w:cs="Arial"/>
            <w:highlight w:val="yellow"/>
          </w:rPr>
          <w:t>para. 2</w:t>
        </w:r>
      </w:hyperlink>
      <w:r w:rsidR="00E807F9" w:rsidRPr="00184F43">
        <w:rPr>
          <w:rStyle w:val="GuideCitesCharChar"/>
        </w:rPr>
        <w:t>).</w:t>
      </w:r>
      <w:r w:rsidR="00F64E42">
        <w:t xml:space="preserve"> </w:t>
      </w:r>
      <w:r w:rsidR="00E807F9">
        <w:t>It is crucial that the case manager be thoroughly educated in the complexities of treating individuals with TBI.</w:t>
      </w:r>
      <w:r w:rsidRPr="004E28BB">
        <w:br/>
      </w:r>
      <w:r w:rsidRPr="004E28BB">
        <w:br/>
        <w:t>The primary functions of TBI case management are:</w:t>
      </w:r>
    </w:p>
    <w:p w:rsidR="00FE7026" w:rsidRPr="004E28BB" w:rsidRDefault="00FE7026" w:rsidP="00D41D04">
      <w:pPr>
        <w:ind w:left="2880" w:hanging="360"/>
      </w:pPr>
      <w:r w:rsidRPr="004E28BB">
        <w:t>●</w:t>
      </w:r>
      <w:r w:rsidRPr="004E28BB">
        <w:tab/>
      </w:r>
      <w:r w:rsidR="00E807F9">
        <w:t>To obtain information through a comprehensive assessment of the injured individual and his/her family and/or support system.</w:t>
      </w:r>
      <w:r w:rsidRPr="004E28BB">
        <w:t xml:space="preserve"> </w:t>
      </w:r>
    </w:p>
    <w:p w:rsidR="00FE7026" w:rsidRPr="004E28BB" w:rsidRDefault="00E807F9" w:rsidP="00D41D04">
      <w:pPr>
        <w:numPr>
          <w:ilvl w:val="0"/>
          <w:numId w:val="10"/>
        </w:numPr>
      </w:pPr>
      <w:r>
        <w:t>To work with the health care team, the injured worker, and family and/or support system in development, monitoring, and implementation of a comprehensive case management plan. Plan reassessment should be completed on a regular basis.</w:t>
      </w:r>
      <w:r w:rsidR="00FE7026" w:rsidRPr="004E28BB">
        <w:t xml:space="preserve"> </w:t>
      </w:r>
    </w:p>
    <w:p w:rsidR="00FE7026" w:rsidRPr="004E28BB" w:rsidRDefault="00E807F9" w:rsidP="00D41D04">
      <w:pPr>
        <w:numPr>
          <w:ilvl w:val="0"/>
          <w:numId w:val="10"/>
        </w:numPr>
      </w:pPr>
      <w:r>
        <w:t>To optimize access to appropriate health care services and maintain cost effectiveness.</w:t>
      </w:r>
    </w:p>
    <w:p w:rsidR="00FE7026" w:rsidRPr="004E28BB" w:rsidRDefault="00FE7026" w:rsidP="00D41D04">
      <w:pPr>
        <w:ind w:left="2880" w:hanging="360"/>
      </w:pPr>
      <w:r w:rsidRPr="004E28BB">
        <w:t>●</w:t>
      </w:r>
      <w:r w:rsidRPr="004E28BB">
        <w:tab/>
      </w:r>
      <w:r w:rsidR="00E807F9">
        <w:t>To integrate and coordinate service delivery among all providers and to prevent fragmentation of services by facilitation of communication and by involving the injured worker and family and/or support system in the decision-making process.</w:t>
      </w:r>
    </w:p>
    <w:p w:rsidR="00FE7026" w:rsidRPr="004E28BB" w:rsidRDefault="00FE7026" w:rsidP="00D41D04">
      <w:pPr>
        <w:ind w:left="2880" w:hanging="360"/>
      </w:pPr>
      <w:r w:rsidRPr="004E28BB">
        <w:t>●</w:t>
      </w:r>
      <w:r w:rsidRPr="004E28BB">
        <w:tab/>
      </w:r>
      <w:r w:rsidR="00E807F9">
        <w:t>To educate and collaborate with the injured worker, family and/or support system, and the health care team when necessary about treatment options, compliance issues, and community resources.</w:t>
      </w:r>
      <w:r w:rsidRPr="004E28BB">
        <w:t xml:space="preserve"> </w:t>
      </w:r>
    </w:p>
    <w:p w:rsidR="00FE7026" w:rsidRPr="004E28BB" w:rsidRDefault="00FE7026" w:rsidP="00D41D04">
      <w:pPr>
        <w:ind w:left="2880" w:hanging="360"/>
      </w:pPr>
      <w:r w:rsidRPr="004E28BB">
        <w:t>●</w:t>
      </w:r>
      <w:r w:rsidRPr="004E28BB">
        <w:tab/>
      </w:r>
      <w:r w:rsidR="00E807F9">
        <w:t>To predict and avoid potential complications.</w:t>
      </w:r>
    </w:p>
    <w:p w:rsidR="00FE7026" w:rsidRPr="004E28BB" w:rsidRDefault="00FE7026" w:rsidP="00E807F9">
      <w:pPr>
        <w:ind w:left="2160"/>
      </w:pPr>
      <w:bookmarkStart w:id="79" w:name="_Toc319922435"/>
      <w:r w:rsidRPr="004E28BB">
        <w:t>Case managers may perform Utilization Review (</w:t>
      </w:r>
      <w:smartTag w:uri="urn:schemas-microsoft-com:office:smarttags" w:element="City">
        <w:r w:rsidRPr="004E28BB">
          <w:t>UR</w:t>
        </w:r>
      </w:smartTag>
      <w:r w:rsidRPr="004E28BB">
        <w:t xml:space="preserve">) as a part of case management duties, but </w:t>
      </w:r>
      <w:smartTag w:uri="urn:schemas-microsoft-com:office:smarttags" w:element="place">
        <w:smartTag w:uri="urn:schemas-microsoft-com:office:smarttags" w:element="City">
          <w:r w:rsidRPr="004E28BB">
            <w:t>UR</w:t>
          </w:r>
        </w:smartTag>
      </w:smartTag>
      <w:r w:rsidRPr="004E28BB">
        <w:t xml:space="preserve"> alone is not case management.</w:t>
      </w:r>
    </w:p>
    <w:p w:rsidR="00FE7026" w:rsidRPr="004E28BB" w:rsidRDefault="00FE7026" w:rsidP="00D41D04">
      <w:pPr>
        <w:pStyle w:val="ListNumber3"/>
      </w:pPr>
      <w:bookmarkStart w:id="80" w:name="_Toc319922436"/>
      <w:bookmarkStart w:id="81" w:name="_Toc394643199"/>
      <w:bookmarkEnd w:id="79"/>
      <w:r w:rsidRPr="004E28BB">
        <w:rPr>
          <w:rStyle w:val="Guide3-abcdChar"/>
        </w:rPr>
        <w:t>Chiropractor</w:t>
      </w:r>
      <w:bookmarkEnd w:id="80"/>
      <w:bookmarkEnd w:id="81"/>
      <w:r w:rsidRPr="004E28BB">
        <w:t>: A credentialed and licensed doctor of chiropractic who assesses and treats human illness and injury, includ</w:t>
      </w:r>
      <w:r w:rsidR="008A42CF">
        <w:t>ing,</w:t>
      </w:r>
      <w:r w:rsidRPr="004E28BB">
        <w:t xml:space="preserve"> but not limited to</w:t>
      </w:r>
      <w:r w:rsidR="008A42CF">
        <w:t>:</w:t>
      </w:r>
      <w:r w:rsidRPr="004E28BB">
        <w:t xml:space="preserve"> musculoskeletal injuries</w:t>
      </w:r>
      <w:r w:rsidR="008A42CF">
        <w:t>;</w:t>
      </w:r>
      <w:r w:rsidR="008A42CF" w:rsidRPr="004E28BB">
        <w:t xml:space="preserve"> </w:t>
      </w:r>
      <w:r w:rsidRPr="004E28BB">
        <w:t>movement dysfunction</w:t>
      </w:r>
      <w:r w:rsidR="008A42CF">
        <w:t>;</w:t>
      </w:r>
      <w:r w:rsidR="008A42CF" w:rsidRPr="004E28BB">
        <w:t xml:space="preserve"> </w:t>
      </w:r>
      <w:r w:rsidRPr="004E28BB">
        <w:t>impairments in strength</w:t>
      </w:r>
      <w:r w:rsidR="008A42CF">
        <w:t>;</w:t>
      </w:r>
      <w:r w:rsidR="008A42CF" w:rsidRPr="004E28BB">
        <w:t xml:space="preserve"> </w:t>
      </w:r>
      <w:r w:rsidRPr="004E28BB">
        <w:t>muscle tone</w:t>
      </w:r>
      <w:r w:rsidR="008A42CF">
        <w:t>;</w:t>
      </w:r>
      <w:r w:rsidR="008A42CF" w:rsidRPr="004E28BB">
        <w:t xml:space="preserve"> </w:t>
      </w:r>
      <w:r w:rsidRPr="004E28BB">
        <w:t>motor control</w:t>
      </w:r>
      <w:r w:rsidR="008A42CF">
        <w:t>;</w:t>
      </w:r>
      <w:r w:rsidR="008A42CF" w:rsidRPr="004E28BB">
        <w:t xml:space="preserve"> </w:t>
      </w:r>
      <w:r w:rsidRPr="004E28BB">
        <w:t>posture coordination</w:t>
      </w:r>
      <w:r w:rsidR="008A42CF">
        <w:t>;</w:t>
      </w:r>
      <w:r w:rsidR="008A42CF" w:rsidRPr="004E28BB">
        <w:t xml:space="preserve"> </w:t>
      </w:r>
      <w:r w:rsidRPr="004E28BB">
        <w:t>endurance</w:t>
      </w:r>
      <w:r w:rsidR="00A329BF">
        <w:t>;</w:t>
      </w:r>
      <w:r w:rsidR="00A329BF" w:rsidRPr="004E28BB">
        <w:t xml:space="preserve"> </w:t>
      </w:r>
      <w:r w:rsidRPr="004E28BB">
        <w:t>functional mobility</w:t>
      </w:r>
      <w:r w:rsidR="00A329BF">
        <w:t>;</w:t>
      </w:r>
      <w:r w:rsidR="00A329BF" w:rsidRPr="004E28BB">
        <w:t xml:space="preserve"> </w:t>
      </w:r>
      <w:r w:rsidRPr="004E28BB">
        <w:t>neurological injuries and loss of function</w:t>
      </w:r>
      <w:r w:rsidR="00A329BF">
        <w:t>.</w:t>
      </w:r>
      <w:r w:rsidRPr="004E28BB">
        <w:t xml:space="preserve"> </w:t>
      </w:r>
      <w:r w:rsidR="00A329BF">
        <w:t>C</w:t>
      </w:r>
      <w:r w:rsidRPr="004E28BB">
        <w:t>hiropract</w:t>
      </w:r>
      <w:r w:rsidR="00A329BF">
        <w:t>ic</w:t>
      </w:r>
      <w:r w:rsidRPr="004E28BB">
        <w:t xml:space="preserve"> utilizes joint manipulation and spinal and joint rehabilitation</w:t>
      </w:r>
      <w:r w:rsidR="00A329BF">
        <w:t>,</w:t>
      </w:r>
      <w:r w:rsidRPr="004E28BB">
        <w:t xml:space="preserve"> along with various therapies</w:t>
      </w:r>
      <w:r w:rsidR="00CE0546" w:rsidRPr="004E28BB">
        <w:t xml:space="preserve"> and</w:t>
      </w:r>
      <w:r w:rsidRPr="004E28BB">
        <w:t xml:space="preserve"> modalities.</w:t>
      </w:r>
    </w:p>
    <w:p w:rsidR="002C443D" w:rsidRPr="004E28BB" w:rsidRDefault="002C443D" w:rsidP="00D41D04">
      <w:pPr>
        <w:pStyle w:val="ListNumber3"/>
      </w:pPr>
      <w:bookmarkStart w:id="82" w:name="_Toc394643200"/>
      <w:r w:rsidRPr="004E28BB">
        <w:rPr>
          <w:rStyle w:val="Guide3-abcdChar"/>
        </w:rPr>
        <w:lastRenderedPageBreak/>
        <w:t xml:space="preserve">Clinical </w:t>
      </w:r>
      <w:r w:rsidR="00D64C30" w:rsidRPr="004E28BB">
        <w:rPr>
          <w:rStyle w:val="Guide3-abcdChar"/>
        </w:rPr>
        <w:t>Pharmacist</w:t>
      </w:r>
      <w:bookmarkEnd w:id="82"/>
      <w:r w:rsidRPr="004E28BB">
        <w:t xml:space="preserve">: </w:t>
      </w:r>
      <w:r w:rsidR="00A329BF">
        <w:t>A</w:t>
      </w:r>
      <w:r w:rsidR="008D2A68" w:rsidRPr="004E28BB">
        <w:t xml:space="preserve"> pharmacist with expertise in medication management </w:t>
      </w:r>
      <w:r w:rsidR="00A329BF">
        <w:t xml:space="preserve">who </w:t>
      </w:r>
      <w:r w:rsidR="00D64C30" w:rsidRPr="004E28BB">
        <w:t>may be an important par</w:t>
      </w:r>
      <w:r w:rsidR="008D2A68" w:rsidRPr="004E28BB">
        <w:t>t of the multidisciplinary team</w:t>
      </w:r>
      <w:r w:rsidR="00D64C30" w:rsidRPr="004E28BB">
        <w:t xml:space="preserve"> and </w:t>
      </w:r>
      <w:r w:rsidR="00A329BF">
        <w:t>might</w:t>
      </w:r>
      <w:r w:rsidR="00A329BF" w:rsidRPr="004E28BB">
        <w:t xml:space="preserve"> </w:t>
      </w:r>
      <w:r w:rsidR="00D64C30" w:rsidRPr="004E28BB">
        <w:t xml:space="preserve">be useful </w:t>
      </w:r>
      <w:r w:rsidR="008D2A68" w:rsidRPr="004E28BB">
        <w:t>for</w:t>
      </w:r>
      <w:r w:rsidR="00D64C30" w:rsidRPr="004E28BB">
        <w:t xml:space="preserve"> patients with multiple medication regimens.</w:t>
      </w:r>
    </w:p>
    <w:p w:rsidR="00FE7026" w:rsidRPr="004E28BB" w:rsidRDefault="00FE7026" w:rsidP="00D41D04">
      <w:pPr>
        <w:pStyle w:val="ListNumber3"/>
      </w:pPr>
      <w:bookmarkStart w:id="83" w:name="_Toc319922437"/>
      <w:bookmarkStart w:id="84" w:name="_Toc394643201"/>
      <w:r w:rsidRPr="004E28BB">
        <w:rPr>
          <w:rStyle w:val="Guide3-abcdChar"/>
        </w:rPr>
        <w:t>Clinical Psychologist</w:t>
      </w:r>
      <w:bookmarkEnd w:id="83"/>
      <w:bookmarkEnd w:id="84"/>
      <w:r w:rsidRPr="004E28BB">
        <w:t>: A licensed psychologist with special training, credentials, and licensing, who specializes in: the assessment and treatment of personality and psychological disorders; education and adjustment counseling; psychotherapy; and management of behavior</w:t>
      </w:r>
      <w:r w:rsidR="0073739E">
        <w:t>.</w:t>
      </w:r>
    </w:p>
    <w:p w:rsidR="00FE7026" w:rsidRPr="004E28BB" w:rsidRDefault="00FE7026" w:rsidP="00D41D04">
      <w:pPr>
        <w:pStyle w:val="ListNumber3"/>
      </w:pPr>
      <w:bookmarkStart w:id="85" w:name="_Toc319922438"/>
      <w:bookmarkStart w:id="86" w:name="_Toc394643202"/>
      <w:r w:rsidRPr="004E28BB">
        <w:rPr>
          <w:rStyle w:val="Guide3-abcdChar"/>
        </w:rPr>
        <w:t>Driver Rehabilitation Specialist</w:t>
      </w:r>
      <w:bookmarkEnd w:id="85"/>
      <w:bookmarkEnd w:id="86"/>
      <w:r w:rsidRPr="004E28BB">
        <w:t xml:space="preserve">: An individual with training in the health care field and certified by the </w:t>
      </w:r>
      <w:r w:rsidR="00E807F9">
        <w:t>A</w:t>
      </w:r>
      <w:r w:rsidRPr="004E28BB">
        <w:t>ssociation for Driver Rehabilitation and the American Occupational Therapy</w:t>
      </w:r>
      <w:r w:rsidR="00D64C30" w:rsidRPr="004E28BB">
        <w:t xml:space="preserve"> Association</w:t>
      </w:r>
      <w:r w:rsidRPr="004E28BB">
        <w:t>.</w:t>
      </w:r>
    </w:p>
    <w:p w:rsidR="00FE7026" w:rsidRPr="004E28BB" w:rsidRDefault="00FE7026" w:rsidP="00D41D04">
      <w:pPr>
        <w:pStyle w:val="ListNumber3"/>
      </w:pPr>
      <w:bookmarkStart w:id="87" w:name="_Toc319922439"/>
      <w:bookmarkStart w:id="88" w:name="_Toc394643203"/>
      <w:r w:rsidRPr="004E28BB">
        <w:rPr>
          <w:rStyle w:val="Guide3-abcdChar"/>
        </w:rPr>
        <w:t>Independent Life Skills Trainer</w:t>
      </w:r>
      <w:bookmarkEnd w:id="87"/>
      <w:bookmarkEnd w:id="88"/>
      <w:r w:rsidRPr="004E28BB">
        <w:t>: An individual with documented training to develop and maintain an individual’s ability to independently sustain herself physically, emotionally and economically.</w:t>
      </w:r>
      <w:r w:rsidRPr="004E28BB">
        <w:rPr>
          <w:i/>
          <w:u w:val="single"/>
        </w:rPr>
        <w:t xml:space="preserve"> </w:t>
      </w:r>
      <w:r w:rsidRPr="004E28BB">
        <w:t>Services may include assessment, training, and supervision or assistance to an individual with self care, medication supervision, task completion, communication skill building, interpersonal skill development, socialization, therapeutic recreation, sensory motor skills, mobility or community transportation training, reduction or elimination of maladaptive behaviors, problem solving skill development, benefits coordination, resource coordination, financial management, and household management</w:t>
      </w:r>
      <w:bookmarkStart w:id="89" w:name="_Toc319922440"/>
      <w:r w:rsidRPr="004E28BB">
        <w:t>.</w:t>
      </w:r>
    </w:p>
    <w:p w:rsidR="00FE7026" w:rsidRPr="004E28BB" w:rsidRDefault="00FE7026" w:rsidP="00D41D04">
      <w:pPr>
        <w:pStyle w:val="ListNumber3"/>
      </w:pPr>
      <w:bookmarkStart w:id="90" w:name="_Toc394643204"/>
      <w:r w:rsidRPr="004E28BB">
        <w:rPr>
          <w:rStyle w:val="Guide3-abcdChar"/>
        </w:rPr>
        <w:t>Music Therapist</w:t>
      </w:r>
      <w:bookmarkEnd w:id="90"/>
      <w:r w:rsidR="00E807ED" w:rsidRPr="004E28BB">
        <w:t>:</w:t>
      </w:r>
      <w:r w:rsidRPr="004E28BB">
        <w:t xml:space="preserve"> A</w:t>
      </w:r>
      <w:r w:rsidR="004900F4">
        <w:t>n individual</w:t>
      </w:r>
      <w:r w:rsidRPr="004E28BB">
        <w:t xml:space="preserve"> </w:t>
      </w:r>
      <w:r w:rsidR="001D127F">
        <w:t xml:space="preserve">who is </w:t>
      </w:r>
      <w:r w:rsidR="008A3581">
        <w:t xml:space="preserve">board </w:t>
      </w:r>
      <w:r w:rsidRPr="004E28BB">
        <w:t xml:space="preserve">certified </w:t>
      </w:r>
      <w:r w:rsidR="004900F4">
        <w:t xml:space="preserve">and </w:t>
      </w:r>
      <w:r w:rsidRPr="004E28BB">
        <w:t xml:space="preserve">trained to use music </w:t>
      </w:r>
      <w:r w:rsidR="00D64C30" w:rsidRPr="004E28BB">
        <w:t>within a therapeutic relationship to im</w:t>
      </w:r>
      <w:r w:rsidRPr="004E28BB">
        <w:t>prove cognitive, sensory, motor</w:t>
      </w:r>
      <w:r w:rsidR="00D64C30" w:rsidRPr="004E28BB">
        <w:t>, communication, and behavioral</w:t>
      </w:r>
      <w:r w:rsidRPr="004E28BB">
        <w:t xml:space="preserve"> function</w:t>
      </w:r>
      <w:r w:rsidR="004900F4">
        <w:t>s</w:t>
      </w:r>
      <w:r w:rsidRPr="004E28BB">
        <w:t xml:space="preserve"> </w:t>
      </w:r>
      <w:r w:rsidR="004900F4">
        <w:t>that have been affected by</w:t>
      </w:r>
      <w:r w:rsidRPr="004E28BB">
        <w:t xml:space="preserve"> neurologic disease of the human nervous system</w:t>
      </w:r>
      <w:r w:rsidRPr="004E28BB">
        <w:rPr>
          <w:rFonts w:ascii="Verdana" w:hAnsi="Verdana"/>
        </w:rPr>
        <w:t>.</w:t>
      </w:r>
    </w:p>
    <w:p w:rsidR="00FE7026" w:rsidRPr="004E28BB" w:rsidRDefault="00FE7026" w:rsidP="00D41D04">
      <w:pPr>
        <w:pStyle w:val="ListNumber3"/>
      </w:pPr>
      <w:bookmarkStart w:id="91" w:name="_Toc394643205"/>
      <w:r w:rsidRPr="004E28BB">
        <w:rPr>
          <w:rStyle w:val="Guide3-abcdChar"/>
        </w:rPr>
        <w:t>Neurologist</w:t>
      </w:r>
      <w:bookmarkEnd w:id="89"/>
      <w:bookmarkEnd w:id="91"/>
      <w:r w:rsidRPr="004E28BB">
        <w:t>: A physician with special training and credentials in the area of the nervous system, who has successfully completed an approved residency in neurology.</w:t>
      </w:r>
      <w:bookmarkStart w:id="92" w:name="_Toc319922441"/>
    </w:p>
    <w:p w:rsidR="00FE7026" w:rsidRPr="004E28BB" w:rsidRDefault="00FE7026" w:rsidP="00D41D04">
      <w:pPr>
        <w:pStyle w:val="ListNumber3"/>
      </w:pPr>
      <w:bookmarkStart w:id="93" w:name="_Toc394643206"/>
      <w:r w:rsidRPr="004E28BB">
        <w:rPr>
          <w:rStyle w:val="Guide3-abcdChar"/>
        </w:rPr>
        <w:t>Neuro-ophthalmologist</w:t>
      </w:r>
      <w:bookmarkEnd w:id="92"/>
      <w:bookmarkEnd w:id="93"/>
      <w:r w:rsidRPr="004E28BB">
        <w:t>: An ophthalmologist or neurologist who has completed an approved residency in ophthalmology or neurology as well as a fellowship in neuro-ophthalmology, and who specializes in the treatment of visual disorders related to the nervous system.</w:t>
      </w:r>
    </w:p>
    <w:p w:rsidR="00FE7026" w:rsidRPr="004E28BB" w:rsidRDefault="00FE7026" w:rsidP="00D41D04">
      <w:pPr>
        <w:pStyle w:val="ListNumber3"/>
      </w:pPr>
      <w:bookmarkStart w:id="94" w:name="_Toc394643207"/>
      <w:r w:rsidRPr="004E28BB">
        <w:rPr>
          <w:rStyle w:val="Guide3-abcdChar"/>
        </w:rPr>
        <w:t>Neuro-otologist</w:t>
      </w:r>
      <w:bookmarkEnd w:id="94"/>
      <w:r w:rsidRPr="004E28BB">
        <w:t>: A physician who has completed a fellowship in Neurotology or Oto-neurology. </w:t>
      </w:r>
    </w:p>
    <w:p w:rsidR="00FE7026" w:rsidRPr="004E28BB" w:rsidRDefault="00FE7026" w:rsidP="00D41D04">
      <w:pPr>
        <w:pStyle w:val="ListNumber3"/>
      </w:pPr>
      <w:bookmarkStart w:id="95" w:name="_Toc319922442"/>
      <w:bookmarkStart w:id="96" w:name="_Toc394643208"/>
      <w:r w:rsidRPr="004E28BB">
        <w:rPr>
          <w:rStyle w:val="Guide3-abcdChar"/>
        </w:rPr>
        <w:t>Neuropsychologist</w:t>
      </w:r>
      <w:bookmarkEnd w:id="95"/>
      <w:bookmarkEnd w:id="96"/>
      <w:r w:rsidRPr="004E28BB">
        <w:t xml:space="preserve">: A licensed psychologist with </w:t>
      </w:r>
      <w:r w:rsidR="00DD579D">
        <w:t xml:space="preserve">knowledge of and </w:t>
      </w:r>
      <w:r w:rsidRPr="004E28BB">
        <w:t xml:space="preserve">special training in brain-behavior relationships including neuropsychological assessment, causality of neurobehavioral changes, </w:t>
      </w:r>
      <w:r w:rsidR="00DD579D">
        <w:t xml:space="preserve">and </w:t>
      </w:r>
      <w:r w:rsidRPr="004E28BB">
        <w:t>treatment and management of neurobehavioral disorders.</w:t>
      </w:r>
    </w:p>
    <w:p w:rsidR="00FE7026" w:rsidRPr="004E28BB" w:rsidRDefault="00FE7026" w:rsidP="00D41D04">
      <w:pPr>
        <w:pStyle w:val="ListNumber3"/>
      </w:pPr>
      <w:bookmarkStart w:id="97" w:name="_Toc319922443"/>
      <w:bookmarkStart w:id="98" w:name="_Toc394643209"/>
      <w:r w:rsidRPr="004E28BB">
        <w:rPr>
          <w:rStyle w:val="Guide3-abcdChar"/>
        </w:rPr>
        <w:t>Neuroscience Nurse</w:t>
      </w:r>
      <w:bookmarkEnd w:id="97"/>
      <w:bookmarkEnd w:id="98"/>
      <w:r w:rsidRPr="004E28BB">
        <w:t>: A registered nurse</w:t>
      </w:r>
      <w:r w:rsidR="008A3536">
        <w:t xml:space="preserve"> (RN)</w:t>
      </w:r>
      <w:r w:rsidRPr="004E28BB">
        <w:t xml:space="preserve"> who has certification in the treatment of individual and</w:t>
      </w:r>
      <w:r w:rsidR="00DD579D">
        <w:t xml:space="preserve"> </w:t>
      </w:r>
      <w:r w:rsidRPr="004E28BB">
        <w:t>family</w:t>
      </w:r>
      <w:r w:rsidR="00DD579D">
        <w:t xml:space="preserve"> and</w:t>
      </w:r>
      <w:r w:rsidRPr="004E28BB">
        <w:t>/</w:t>
      </w:r>
      <w:r w:rsidR="00DD579D">
        <w:t xml:space="preserve">or </w:t>
      </w:r>
      <w:r w:rsidRPr="004E28BB">
        <w:t>support system responses to nervous system function and dysfunction across the healthcare continuum.</w:t>
      </w:r>
    </w:p>
    <w:p w:rsidR="00FE7026" w:rsidRPr="004E28BB" w:rsidRDefault="00FE7026" w:rsidP="00D41D04">
      <w:pPr>
        <w:pStyle w:val="ListNumber3"/>
      </w:pPr>
      <w:bookmarkStart w:id="99" w:name="_Toc319922444"/>
      <w:bookmarkStart w:id="100" w:name="_Toc394643210"/>
      <w:r w:rsidRPr="004E28BB">
        <w:rPr>
          <w:rStyle w:val="Guide3-abcdChar"/>
        </w:rPr>
        <w:t>Neurosurgeon (Neurological Surgeon)</w:t>
      </w:r>
      <w:bookmarkEnd w:id="99"/>
      <w:bookmarkEnd w:id="100"/>
      <w:r w:rsidRPr="004E28BB">
        <w:t>: A physician who has special training and credentialing in the surgery of nervous system disorders and who has successfully completed an approved residency in neurosurgical medicine.</w:t>
      </w:r>
    </w:p>
    <w:p w:rsidR="00FE7026" w:rsidRPr="004E28BB" w:rsidRDefault="00FE7026" w:rsidP="00D41D04">
      <w:pPr>
        <w:pStyle w:val="ListNumber3"/>
      </w:pPr>
      <w:bookmarkStart w:id="101" w:name="_Toc319922445"/>
      <w:bookmarkStart w:id="102" w:name="_Toc394643211"/>
      <w:r w:rsidRPr="004E28BB">
        <w:rPr>
          <w:rStyle w:val="Guide3-abcdChar"/>
        </w:rPr>
        <w:lastRenderedPageBreak/>
        <w:t>Nurse</w:t>
      </w:r>
      <w:bookmarkEnd w:id="101"/>
      <w:bookmarkEnd w:id="102"/>
      <w:r w:rsidR="00462CA7" w:rsidRPr="004E28BB">
        <w:t>: A</w:t>
      </w:r>
      <w:r w:rsidR="008A3536">
        <w:t>n</w:t>
      </w:r>
      <w:r w:rsidRPr="004E28BB">
        <w:t xml:space="preserve"> RN with specialty training, credentialing, and licensing, who specializes in the collection and assessment of health data, health teaching</w:t>
      </w:r>
      <w:r w:rsidR="008D2A68" w:rsidRPr="004E28BB">
        <w:t>,</w:t>
      </w:r>
      <w:r w:rsidRPr="004E28BB">
        <w:t xml:space="preserve"> and </w:t>
      </w:r>
      <w:r w:rsidR="00DD579D">
        <w:t xml:space="preserve">the </w:t>
      </w:r>
      <w:r w:rsidRPr="004E28BB">
        <w:t>provision of treatment supportive and restorative to life and well-being.</w:t>
      </w:r>
    </w:p>
    <w:p w:rsidR="00FE7026" w:rsidRPr="004E28BB" w:rsidRDefault="00FE7026" w:rsidP="00D41D04">
      <w:pPr>
        <w:pStyle w:val="ListNumber3"/>
      </w:pPr>
      <w:bookmarkStart w:id="103" w:name="_Toc319922446"/>
      <w:bookmarkStart w:id="104" w:name="_Toc394643212"/>
      <w:r w:rsidRPr="004E28BB">
        <w:rPr>
          <w:rStyle w:val="Guide3-abcdChar"/>
        </w:rPr>
        <w:t>Occupational Therapist</w:t>
      </w:r>
      <w:bookmarkEnd w:id="103"/>
      <w:bookmarkEnd w:id="104"/>
      <w:r w:rsidRPr="004E28BB">
        <w:t xml:space="preserve">: A </w:t>
      </w:r>
      <w:r w:rsidR="005B4A17" w:rsidRPr="004E28BB">
        <w:t>registered</w:t>
      </w:r>
      <w:r w:rsidRPr="004E28BB">
        <w:t xml:space="preserve"> therapist who specializes in participation in </w:t>
      </w:r>
      <w:r w:rsidR="0049733A">
        <w:t>ADLs</w:t>
      </w:r>
      <w:r w:rsidRPr="004E28BB">
        <w:t>. They assess and treat the physical, perceptual, behavioral and cognitive skills needed to perform self-care, home mai</w:t>
      </w:r>
      <w:bookmarkStart w:id="105" w:name="_Toc319922447"/>
      <w:r w:rsidR="005B4A17" w:rsidRPr="004E28BB">
        <w:t xml:space="preserve">ntenance, and </w:t>
      </w:r>
      <w:r w:rsidR="008D2A68" w:rsidRPr="004E28BB">
        <w:t xml:space="preserve">community skills and provide </w:t>
      </w:r>
      <w:r w:rsidR="00387A03">
        <w:t>patient and family and/or support system</w:t>
      </w:r>
      <w:r w:rsidR="008D2A68" w:rsidRPr="004E28BB">
        <w:t xml:space="preserve"> education.</w:t>
      </w:r>
    </w:p>
    <w:p w:rsidR="00FE7026" w:rsidRPr="004E28BB" w:rsidRDefault="00FE7026" w:rsidP="00D41D04">
      <w:pPr>
        <w:pStyle w:val="ListNumber3"/>
        <w:rPr>
          <w:u w:val="single"/>
        </w:rPr>
      </w:pPr>
      <w:bookmarkStart w:id="106" w:name="_Toc394643213"/>
      <w:r w:rsidRPr="004E28BB">
        <w:rPr>
          <w:rStyle w:val="Guide3-abcdChar"/>
        </w:rPr>
        <w:t>Occupational Medicine Physician</w:t>
      </w:r>
      <w:bookmarkEnd w:id="106"/>
      <w:r w:rsidRPr="004E28BB">
        <w:t xml:space="preserve">: </w:t>
      </w:r>
      <w:r w:rsidR="00DD579D">
        <w:t>A p</w:t>
      </w:r>
      <w:r w:rsidRPr="004E28BB">
        <w:t xml:space="preserve">hysician who has education and training in occupational medicine. </w:t>
      </w:r>
    </w:p>
    <w:p w:rsidR="00FE7026" w:rsidRPr="004E28BB" w:rsidRDefault="00FE7026" w:rsidP="00D41D04">
      <w:pPr>
        <w:pStyle w:val="ListNumber3"/>
      </w:pPr>
      <w:bookmarkStart w:id="107" w:name="_Toc394643214"/>
      <w:r w:rsidRPr="004E28BB">
        <w:rPr>
          <w:rStyle w:val="Guide3-abcdChar"/>
        </w:rPr>
        <w:t>Optometrist</w:t>
      </w:r>
      <w:bookmarkEnd w:id="105"/>
      <w:bookmarkEnd w:id="107"/>
      <w:r w:rsidRPr="004E28BB">
        <w:t xml:space="preserve">: A specialist with training, credentials, and licensing who examines, assesses, diagnoses, and treats abnormal conditions of the eye and its appendages. Optometrists cannot treat posterior uveitis, interpret x-rays, or perform invasive laser surgery. Pharmaceutical treatment is limited by statute. </w:t>
      </w:r>
    </w:p>
    <w:p w:rsidR="00FE7026" w:rsidRPr="004E28BB" w:rsidRDefault="00FE7026" w:rsidP="00D41D04">
      <w:pPr>
        <w:pStyle w:val="ListNumber3"/>
      </w:pPr>
      <w:bookmarkStart w:id="108" w:name="_Toc319922448"/>
      <w:bookmarkStart w:id="109" w:name="_Toc394643215"/>
      <w:r w:rsidRPr="004E28BB">
        <w:rPr>
          <w:rStyle w:val="Guide3-abcdChar"/>
        </w:rPr>
        <w:t>Ophthalmologist</w:t>
      </w:r>
      <w:bookmarkEnd w:id="108"/>
      <w:bookmarkEnd w:id="109"/>
      <w:r w:rsidRPr="004E28BB">
        <w:t>: A medical doctor with special training, credentials, and licensing in the diagnosis and treatment of visual disorders and disorders of the visual system, as well as diagnosis related to systemic conditions, who has successfully completed an internship and an approved residency in ophthalmology. Th</w:t>
      </w:r>
      <w:r w:rsidR="00F5511A">
        <w:t>e scope of</w:t>
      </w:r>
      <w:r w:rsidRPr="004E28BB">
        <w:t xml:space="preserve"> treatment may include surgical procedures on the eye, orbit and adnexa.</w:t>
      </w:r>
    </w:p>
    <w:p w:rsidR="00FE7026" w:rsidRPr="004E28BB" w:rsidRDefault="00FE7026" w:rsidP="00D41D04">
      <w:pPr>
        <w:pStyle w:val="ListNumber3"/>
      </w:pPr>
      <w:bookmarkStart w:id="110" w:name="_Toc394643216"/>
      <w:r w:rsidRPr="004E28BB">
        <w:rPr>
          <w:rStyle w:val="Guide3-abcdChar"/>
        </w:rPr>
        <w:t>Otolaryngologist</w:t>
      </w:r>
      <w:bookmarkEnd w:id="110"/>
      <w:r w:rsidRPr="004E28BB">
        <w:t>: A physician who specializes in ear, nose</w:t>
      </w:r>
      <w:r w:rsidR="00DD579D">
        <w:t>,</w:t>
      </w:r>
      <w:r w:rsidRPr="004E28BB">
        <w:t xml:space="preserve"> and throat medical treatment and has completed a residency in otolaryngology. </w:t>
      </w:r>
    </w:p>
    <w:p w:rsidR="00FE7026" w:rsidRPr="004E28BB" w:rsidRDefault="00FE7026" w:rsidP="00D41D04">
      <w:pPr>
        <w:pStyle w:val="ListNumber3"/>
      </w:pPr>
      <w:bookmarkStart w:id="111" w:name="_Toc319922449"/>
      <w:bookmarkStart w:id="112" w:name="_Toc394643217"/>
      <w:r w:rsidRPr="004E28BB">
        <w:rPr>
          <w:rStyle w:val="Guide3-abcdChar"/>
        </w:rPr>
        <w:t>Physical Therapist</w:t>
      </w:r>
      <w:bookmarkEnd w:id="111"/>
      <w:bookmarkEnd w:id="112"/>
      <w:r w:rsidRPr="004E28BB">
        <w:t xml:space="preserve">: A licensed therapist with expertise in managing movement dysfunction, which specializes in the assessment and treatment of individuals with impairment deficits and functional limitations in the areas of strength, muscle tone, motor control, posture, coordination, balance, endurance, </w:t>
      </w:r>
      <w:r w:rsidR="00DD579D">
        <w:t xml:space="preserve">and </w:t>
      </w:r>
      <w:r w:rsidRPr="004E28BB">
        <w:t xml:space="preserve">general functional mobility, and </w:t>
      </w:r>
      <w:r w:rsidR="00DD579D">
        <w:t xml:space="preserve">who </w:t>
      </w:r>
      <w:r w:rsidRPr="004E28BB">
        <w:t>works to improve functional indepen</w:t>
      </w:r>
      <w:r w:rsidR="00297F34" w:rsidRPr="004E28BB">
        <w:t xml:space="preserve">dence, as well as providing </w:t>
      </w:r>
      <w:r w:rsidR="00387A03">
        <w:t>family and/or support system</w:t>
      </w:r>
      <w:r w:rsidR="00297F34" w:rsidRPr="004E28BB">
        <w:t xml:space="preserve"> and patient education.</w:t>
      </w:r>
    </w:p>
    <w:p w:rsidR="00FE7026" w:rsidRPr="004E28BB" w:rsidRDefault="00FE7026" w:rsidP="00D41D04">
      <w:pPr>
        <w:pStyle w:val="ListNumber3"/>
      </w:pPr>
      <w:bookmarkStart w:id="113" w:name="_Toc319922450"/>
      <w:bookmarkStart w:id="114" w:name="_Toc394643218"/>
      <w:r w:rsidRPr="004E28BB">
        <w:rPr>
          <w:rStyle w:val="Guide3-abcdChar"/>
        </w:rPr>
        <w:t>Physiatrist</w:t>
      </w:r>
      <w:bookmarkEnd w:id="113"/>
      <w:bookmarkEnd w:id="114"/>
      <w:r w:rsidRPr="004E28BB">
        <w:t>: A physician with special training, credentials, and licensing in the field of physical medicine and rehabilitation, and who has successfully completed an approved residency in physiatry.</w:t>
      </w:r>
    </w:p>
    <w:p w:rsidR="00FE7026" w:rsidRPr="004E28BB" w:rsidRDefault="00FE7026" w:rsidP="00D41D04">
      <w:pPr>
        <w:pStyle w:val="ListNumber3"/>
      </w:pPr>
      <w:bookmarkStart w:id="115" w:name="_Toc319922451"/>
      <w:bookmarkStart w:id="116" w:name="_Toc394643219"/>
      <w:r w:rsidRPr="004E28BB">
        <w:rPr>
          <w:rStyle w:val="Guide3-abcdChar"/>
        </w:rPr>
        <w:t>Psychiatrist</w:t>
      </w:r>
      <w:bookmarkEnd w:id="115"/>
      <w:r w:rsidRPr="004E28BB">
        <w:rPr>
          <w:rStyle w:val="Guide3-abcdChar"/>
        </w:rPr>
        <w:t>/Neuropsychiatrist</w:t>
      </w:r>
      <w:bookmarkEnd w:id="116"/>
      <w:r w:rsidRPr="004E28BB">
        <w:t xml:space="preserve">: A physician with special training, credentials, and licensing, who specializes in the field of mental health and psychological disorders, and who has successfully completed an approved residency in psychiatry. A neuropsychiatrist is a psychiatrist who has specialized training, credentials, and licensing in neurologically-based behavioral, cognitive, and emotional disturbances, including specialized training in TBI. </w:t>
      </w:r>
    </w:p>
    <w:p w:rsidR="00FE7026" w:rsidRPr="004E28BB" w:rsidRDefault="00FE7026" w:rsidP="00D41D04">
      <w:pPr>
        <w:pStyle w:val="ListNumber3"/>
      </w:pPr>
      <w:bookmarkStart w:id="117" w:name="_Toc319922452"/>
      <w:bookmarkStart w:id="118" w:name="_Toc394643220"/>
      <w:r w:rsidRPr="004E28BB">
        <w:rPr>
          <w:rStyle w:val="Guide3-abcdChar"/>
        </w:rPr>
        <w:t>Rehabilitation Counselor</w:t>
      </w:r>
      <w:bookmarkEnd w:id="117"/>
      <w:bookmarkEnd w:id="118"/>
      <w:r w:rsidRPr="004E28BB">
        <w:t>: A bachelor’s or master’s level counselor, who specializes in assisting individuals in the process of independent living, productive activity</w:t>
      </w:r>
      <w:r w:rsidR="009872AB">
        <w:t>,</w:t>
      </w:r>
      <w:r w:rsidRPr="004E28BB">
        <w:t xml:space="preserve"> and vocational pursuits. This includes assistance with financial resources, housing, community resources, </w:t>
      </w:r>
      <w:r w:rsidRPr="004E28BB">
        <w:lastRenderedPageBreak/>
        <w:t>social skills, vocational evaluation and treatment,</w:t>
      </w:r>
      <w:r w:rsidR="00462CA7" w:rsidRPr="004E28BB">
        <w:t xml:space="preserve"> integration back into the workforce,</w:t>
      </w:r>
      <w:r w:rsidRPr="004E28BB">
        <w:t xml:space="preserve"> and patient and family</w:t>
      </w:r>
      <w:r w:rsidR="00387A03">
        <w:t xml:space="preserve"> and</w:t>
      </w:r>
      <w:r w:rsidRPr="004E28BB">
        <w:t>/</w:t>
      </w:r>
      <w:r w:rsidR="00387A03">
        <w:t xml:space="preserve">or </w:t>
      </w:r>
      <w:r w:rsidRPr="004E28BB">
        <w:t>support system counseling.</w:t>
      </w:r>
    </w:p>
    <w:p w:rsidR="00FE7026" w:rsidRPr="004E28BB" w:rsidRDefault="00FE7026" w:rsidP="00D41D04">
      <w:pPr>
        <w:pStyle w:val="ListNumber3"/>
      </w:pPr>
      <w:bookmarkStart w:id="119" w:name="_Toc319922453"/>
      <w:bookmarkStart w:id="120" w:name="_Toc394643221"/>
      <w:r w:rsidRPr="004E28BB">
        <w:rPr>
          <w:rStyle w:val="Guide3-abcdChar"/>
        </w:rPr>
        <w:t>Rehabilitation Nurse</w:t>
      </w:r>
      <w:bookmarkEnd w:id="120"/>
      <w:r w:rsidRPr="004E28BB">
        <w:t>: A</w:t>
      </w:r>
      <w:r w:rsidR="008A3536">
        <w:t>n</w:t>
      </w:r>
      <w:r w:rsidRPr="004E28BB">
        <w:t xml:space="preserve"> </w:t>
      </w:r>
      <w:r w:rsidR="008A3536">
        <w:t>RN</w:t>
      </w:r>
      <w:r w:rsidRPr="004E28BB">
        <w:t xml:space="preserve"> who has certification in rehabilitation nursing. </w:t>
      </w:r>
      <w:r w:rsidRPr="004E28BB">
        <w:rPr>
          <w:rFonts w:cs="Times New Roman"/>
        </w:rPr>
        <w:t xml:space="preserve">Rehabilitation nursing is a specialty practice area within the </w:t>
      </w:r>
      <w:r w:rsidR="00CD0AE5">
        <w:rPr>
          <w:rFonts w:cs="Times New Roman"/>
        </w:rPr>
        <w:t>field</w:t>
      </w:r>
      <w:r w:rsidR="00CD0AE5" w:rsidRPr="004E28BB">
        <w:rPr>
          <w:rFonts w:cs="Times New Roman"/>
        </w:rPr>
        <w:t xml:space="preserve"> </w:t>
      </w:r>
      <w:r w:rsidRPr="004E28BB">
        <w:rPr>
          <w:rFonts w:cs="Times New Roman"/>
        </w:rPr>
        <w:t xml:space="preserve">of nursing. It involves the </w:t>
      </w:r>
      <w:r w:rsidR="00F5511A">
        <w:rPr>
          <w:rFonts w:cs="Times New Roman"/>
        </w:rPr>
        <w:t>recognition, reporting,</w:t>
      </w:r>
      <w:r w:rsidR="00F5511A" w:rsidRPr="004E28BB">
        <w:rPr>
          <w:rFonts w:cs="Times New Roman"/>
        </w:rPr>
        <w:t xml:space="preserve"> </w:t>
      </w:r>
      <w:r w:rsidRPr="004E28BB">
        <w:rPr>
          <w:rFonts w:cs="Times New Roman"/>
        </w:rPr>
        <w:t xml:space="preserve">and treatment of human responses of individuals and groups to </w:t>
      </w:r>
      <w:r w:rsidR="00CD0AE5">
        <w:rPr>
          <w:rFonts w:cs="Times New Roman"/>
        </w:rPr>
        <w:t>present or future</w:t>
      </w:r>
      <w:r w:rsidRPr="004E28BB">
        <w:rPr>
          <w:rFonts w:cs="Times New Roman"/>
        </w:rPr>
        <w:t xml:space="preserve"> health problems resulting from </w:t>
      </w:r>
      <w:r w:rsidR="00CD0AE5">
        <w:rPr>
          <w:rFonts w:cs="Times New Roman"/>
        </w:rPr>
        <w:t>changes in</w:t>
      </w:r>
      <w:r w:rsidR="00CD0AE5" w:rsidRPr="004E28BB">
        <w:rPr>
          <w:rFonts w:cs="Times New Roman"/>
        </w:rPr>
        <w:t xml:space="preserve"> </w:t>
      </w:r>
      <w:r w:rsidRPr="004E28BB">
        <w:rPr>
          <w:rFonts w:cs="Times New Roman"/>
        </w:rPr>
        <w:t>functional ability and lifestyle</w:t>
      </w:r>
      <w:r w:rsidR="00B30BDE" w:rsidRPr="004E28BB">
        <w:rPr>
          <w:rStyle w:val="GuideCitesCharChar"/>
        </w:rPr>
        <w:t xml:space="preserve"> </w:t>
      </w:r>
      <w:r w:rsidRPr="00F51CDC">
        <w:rPr>
          <w:rStyle w:val="GuideCitesCharChar"/>
          <w:highlight w:val="yellow"/>
        </w:rPr>
        <w:t>(</w:t>
      </w:r>
      <w:hyperlink w:anchor="AssocRehabNurses2012" w:history="1">
        <w:r w:rsidR="002E47D9" w:rsidRPr="00852CC9">
          <w:rPr>
            <w:rStyle w:val="Hyperlink"/>
            <w:rFonts w:cs="Arial"/>
            <w:highlight w:val="yellow"/>
          </w:rPr>
          <w:t>Association of Rehabilitation Nurses, 2012</w:t>
        </w:r>
      </w:hyperlink>
      <w:r w:rsidRPr="00F51CDC">
        <w:rPr>
          <w:rStyle w:val="GuideCitesCharChar"/>
          <w:highlight w:val="yellow"/>
        </w:rPr>
        <w:t>)</w:t>
      </w:r>
      <w:r w:rsidR="00B30BDE" w:rsidRPr="00F51CDC">
        <w:rPr>
          <w:rFonts w:cs="Times New Roman"/>
          <w:highlight w:val="yellow"/>
        </w:rPr>
        <w:t>.</w:t>
      </w:r>
    </w:p>
    <w:p w:rsidR="00FE7026" w:rsidRPr="004E28BB" w:rsidRDefault="00FE7026" w:rsidP="00D41D04">
      <w:pPr>
        <w:pStyle w:val="ListNumber3"/>
      </w:pPr>
      <w:bookmarkStart w:id="121" w:name="_Toc394643222"/>
      <w:r w:rsidRPr="004E28BB">
        <w:rPr>
          <w:rStyle w:val="Guide3-abcdChar"/>
        </w:rPr>
        <w:t>Social Worker</w:t>
      </w:r>
      <w:bookmarkEnd w:id="119"/>
      <w:bookmarkEnd w:id="121"/>
      <w:r w:rsidRPr="004E28BB">
        <w:t xml:space="preserve">: A bachelor’s or master’s level licensed social worker who specializes in patient and family relationships, as well as housing, financial resources, and society reintegration. </w:t>
      </w:r>
    </w:p>
    <w:p w:rsidR="00FE7026" w:rsidRPr="004E28BB" w:rsidRDefault="00FE7026" w:rsidP="00D41D04">
      <w:pPr>
        <w:pStyle w:val="ListNumber3"/>
      </w:pPr>
      <w:bookmarkStart w:id="122" w:name="_Toc319922454"/>
      <w:bookmarkStart w:id="123" w:name="_Toc394643223"/>
      <w:r w:rsidRPr="004E28BB">
        <w:rPr>
          <w:rStyle w:val="Guide3-abcdChar"/>
        </w:rPr>
        <w:t>Speech-Language Pathologist</w:t>
      </w:r>
      <w:bookmarkEnd w:id="122"/>
      <w:bookmarkEnd w:id="123"/>
      <w:r w:rsidRPr="004E28BB">
        <w:t>: A certified master’s or doctoral level therapist who specializes in the assessment and treatment of individuals in the areas of communication (speech, language, social skills, voice, cognition, swallowing</w:t>
      </w:r>
      <w:r w:rsidR="000C25B2" w:rsidRPr="004E28BB">
        <w:t>)</w:t>
      </w:r>
      <w:r w:rsidRPr="004E28BB">
        <w:t xml:space="preserve"> and </w:t>
      </w:r>
      <w:r w:rsidR="00387A03">
        <w:t>family and/or support system</w:t>
      </w:r>
      <w:r w:rsidRPr="004E28BB">
        <w:t xml:space="preserve"> and patient education. </w:t>
      </w:r>
    </w:p>
    <w:p w:rsidR="00FE7026" w:rsidRPr="004E28BB" w:rsidRDefault="00FE7026" w:rsidP="00D41D04">
      <w:pPr>
        <w:pStyle w:val="ListNumber3"/>
      </w:pPr>
      <w:bookmarkStart w:id="124" w:name="_Toc319922455"/>
      <w:bookmarkStart w:id="125" w:name="_Toc394643224"/>
      <w:r w:rsidRPr="004E28BB">
        <w:rPr>
          <w:rStyle w:val="Guide3-abcdChar"/>
        </w:rPr>
        <w:t>Therapeutic Recreation Specialist</w:t>
      </w:r>
      <w:bookmarkEnd w:id="124"/>
      <w:bookmarkEnd w:id="125"/>
      <w:r w:rsidRPr="004E28BB">
        <w:t>: A bachelor’s or master’s level therapist who specializes in the assessment and treatment of individuals in the areas of planning and management of leisure activities, time management, mental health through recreation, and community access.</w:t>
      </w:r>
    </w:p>
    <w:p w:rsidR="00FE7026" w:rsidRPr="004E28BB" w:rsidRDefault="00FE7026" w:rsidP="00D41D04">
      <w:pPr>
        <w:pStyle w:val="ListNumber2"/>
      </w:pPr>
      <w:bookmarkStart w:id="126" w:name="_Toc319922456"/>
      <w:bookmarkStart w:id="127" w:name="_Toc394643225"/>
      <w:r w:rsidRPr="004E28BB">
        <w:rPr>
          <w:rStyle w:val="Guide2-123Char"/>
        </w:rPr>
        <w:t>PREVENTION</w:t>
      </w:r>
      <w:bookmarkEnd w:id="126"/>
      <w:bookmarkEnd w:id="127"/>
      <w:r w:rsidR="00E807ED" w:rsidRPr="004E28BB">
        <w:t>:</w:t>
      </w:r>
      <w:r w:rsidRPr="004E28BB">
        <w:t xml:space="preserve"> </w:t>
      </w:r>
      <w:r w:rsidR="00E807ED">
        <w:t xml:space="preserve">Prevention </w:t>
      </w:r>
      <w:r w:rsidRPr="004E28BB">
        <w:t>of injuries such as TBI is an essential component of any medical treatment guideline or injury management program. TBI is a dynamic condition</w:t>
      </w:r>
      <w:r w:rsidR="009872AB">
        <w:t>,</w:t>
      </w:r>
      <w:r w:rsidRPr="004E28BB">
        <w:t xml:space="preserve"> and patients may deteriorate over time in the areas of </w:t>
      </w:r>
      <w:r w:rsidR="00E807ED">
        <w:t>physical</w:t>
      </w:r>
      <w:r w:rsidR="00F5511A">
        <w:t xml:space="preserve"> and mental health, cognition, employment, and </w:t>
      </w:r>
      <w:r w:rsidR="0049733A">
        <w:t>ADLs</w:t>
      </w:r>
      <w:r w:rsidR="00F5511A">
        <w:t>.</w:t>
      </w:r>
      <w:r w:rsidRPr="004E28BB">
        <w:t xml:space="preserve"> The following</w:t>
      </w:r>
      <w:r w:rsidR="000C25B2" w:rsidRPr="004E28BB">
        <w:t xml:space="preserve"> guideline</w:t>
      </w:r>
      <w:r w:rsidR="00235814">
        <w:t>-</w:t>
      </w:r>
      <w:r w:rsidR="000C25B2" w:rsidRPr="004E28BB">
        <w:t>specific</w:t>
      </w:r>
      <w:r w:rsidRPr="004E28BB">
        <w:t xml:space="preserve"> definitions of the various types and levels of prevention are necessary to prevent the deterioration from a healthy state to pathology and to successfully intervene at the levels of disablement described in the disability section.</w:t>
      </w:r>
    </w:p>
    <w:p w:rsidR="00FE7026" w:rsidRPr="004E28BB" w:rsidRDefault="00FE7026" w:rsidP="00D41D04">
      <w:pPr>
        <w:pStyle w:val="ListNumber3"/>
      </w:pPr>
      <w:bookmarkStart w:id="128" w:name="_Toc319922457"/>
      <w:bookmarkStart w:id="129" w:name="_Toc394643226"/>
      <w:r w:rsidRPr="004E28BB">
        <w:rPr>
          <w:rStyle w:val="Guide3-abcdChar"/>
        </w:rPr>
        <w:t>Primary Prevention</w:t>
      </w:r>
      <w:bookmarkEnd w:id="128"/>
      <w:bookmarkEnd w:id="129"/>
      <w:r w:rsidRPr="004E28BB">
        <w:t xml:space="preserve">: </w:t>
      </w:r>
      <w:r w:rsidR="00E807ED">
        <w:t>T</w:t>
      </w:r>
      <w:r w:rsidRPr="004E28BB">
        <w:t>he prevention of disease in a susceptible, or potentially susceptible, population through specific measures</w:t>
      </w:r>
      <w:r w:rsidR="007C5BDF">
        <w:t>,</w:t>
      </w:r>
      <w:r w:rsidRPr="004E28BB">
        <w:t xml:space="preserve"> </w:t>
      </w:r>
      <w:r w:rsidR="007C5BDF">
        <w:t>including</w:t>
      </w:r>
      <w:r w:rsidRPr="004E28BB">
        <w:t xml:space="preserve"> general health promotion efforts. All health providers should remind individuals and supervisors of the primary measures for preventing recurring </w:t>
      </w:r>
      <w:r w:rsidR="0056633D">
        <w:t>TBI</w:t>
      </w:r>
      <w:r w:rsidRPr="004E28BB">
        <w:t>s.</w:t>
      </w:r>
      <w:r w:rsidRPr="004E28BB">
        <w:br/>
      </w:r>
      <w:r w:rsidRPr="004E28BB">
        <w:br/>
        <w:t>Always use appropriate protective equipment on jobs that require protection, including following all of the employment policy and procedures related to the safety of the individual, co-workers, or external customers. Examples include the following:</w:t>
      </w:r>
    </w:p>
    <w:p w:rsidR="00FE7026" w:rsidRPr="004E28BB" w:rsidRDefault="00FE7026" w:rsidP="00D41D04">
      <w:pPr>
        <w:ind w:left="2880" w:hanging="360"/>
      </w:pPr>
      <w:r w:rsidRPr="004E28BB">
        <w:t>●</w:t>
      </w:r>
      <w:r w:rsidRPr="004E28BB">
        <w:tab/>
        <w:t>Protective helmets, complying with American National Standards Institute (ANSI), on jobs requiring protection from falling objects or electrical hazards</w:t>
      </w:r>
      <w:r w:rsidR="00E807ED">
        <w:t>.</w:t>
      </w:r>
    </w:p>
    <w:p w:rsidR="00FE7026" w:rsidRPr="004E28BB" w:rsidRDefault="00FE7026" w:rsidP="00D41D04">
      <w:pPr>
        <w:ind w:left="2880" w:hanging="360"/>
      </w:pPr>
      <w:r w:rsidRPr="004E28BB">
        <w:t>●</w:t>
      </w:r>
      <w:r w:rsidRPr="004E28BB">
        <w:tab/>
        <w:t>Safety goggles or glasses on jobs that require protection from flying objects or debris</w:t>
      </w:r>
      <w:r w:rsidR="00E807ED">
        <w:t>.</w:t>
      </w:r>
    </w:p>
    <w:p w:rsidR="00FE7026" w:rsidRPr="004E28BB" w:rsidRDefault="00FE7026" w:rsidP="00D41D04">
      <w:pPr>
        <w:ind w:left="2880" w:hanging="360"/>
      </w:pPr>
      <w:r w:rsidRPr="004E28BB">
        <w:t>●</w:t>
      </w:r>
      <w:r w:rsidRPr="004E28BB">
        <w:tab/>
        <w:t>Protective helmets and headwear when involved in contact, collision, and other sports such as biking, horseback riding, skating, skiing</w:t>
      </w:r>
      <w:r w:rsidR="007C5BDF">
        <w:t>,</w:t>
      </w:r>
      <w:r w:rsidRPr="004E28BB">
        <w:t xml:space="preserve"> and snowboarding</w:t>
      </w:r>
      <w:r w:rsidR="00E807ED">
        <w:t>.</w:t>
      </w:r>
    </w:p>
    <w:p w:rsidR="00FE7026" w:rsidRPr="004E28BB" w:rsidRDefault="00FE7026" w:rsidP="00D41D04">
      <w:pPr>
        <w:ind w:left="2880" w:hanging="360"/>
      </w:pPr>
      <w:r w:rsidRPr="004E28BB">
        <w:lastRenderedPageBreak/>
        <w:t>●</w:t>
      </w:r>
      <w:r w:rsidRPr="004E28BB">
        <w:tab/>
        <w:t>Avoid walking on wet, slippery floors on the worksite</w:t>
      </w:r>
      <w:r w:rsidR="00E807ED">
        <w:t>.</w:t>
      </w:r>
    </w:p>
    <w:p w:rsidR="00FE7026" w:rsidRPr="004E28BB" w:rsidRDefault="00FE7026" w:rsidP="00D41D04">
      <w:pPr>
        <w:ind w:left="2880" w:hanging="360"/>
      </w:pPr>
      <w:r w:rsidRPr="004E28BB">
        <w:t>●</w:t>
      </w:r>
      <w:r w:rsidRPr="004E28BB">
        <w:tab/>
        <w:t>Ensur</w:t>
      </w:r>
      <w:r w:rsidR="007C5BDF">
        <w:t>e</w:t>
      </w:r>
      <w:r w:rsidRPr="004E28BB">
        <w:t xml:space="preserve"> that scaffolding is in good working order</w:t>
      </w:r>
      <w:r w:rsidR="00E807ED">
        <w:t>.</w:t>
      </w:r>
    </w:p>
    <w:p w:rsidR="00FE7026" w:rsidRPr="004E28BB" w:rsidRDefault="00FE7026" w:rsidP="00D41D04">
      <w:pPr>
        <w:ind w:left="2880" w:hanging="360"/>
      </w:pPr>
      <w:r w:rsidRPr="004E28BB">
        <w:t>●</w:t>
      </w:r>
      <w:r w:rsidRPr="004E28BB">
        <w:tab/>
        <w:t>Us</w:t>
      </w:r>
      <w:r w:rsidR="007C5BDF">
        <w:t>e</w:t>
      </w:r>
      <w:r w:rsidRPr="004E28BB">
        <w:t xml:space="preserve"> ladders </w:t>
      </w:r>
      <w:r w:rsidR="007C5BDF">
        <w:t>in accordance with</w:t>
      </w:r>
      <w:r w:rsidRPr="004E28BB">
        <w:t xml:space="preserve"> Occupational Safety and Health Administration (OSHA) recommendations</w:t>
      </w:r>
      <w:r w:rsidR="00E807ED">
        <w:t>—</w:t>
      </w:r>
      <w:r w:rsidRPr="004E28BB">
        <w:t>for example, making sure that ladders over 20 feet tall have cages</w:t>
      </w:r>
      <w:r w:rsidR="00E807ED">
        <w:t>.</w:t>
      </w:r>
    </w:p>
    <w:p w:rsidR="00FE7026" w:rsidRPr="004E28BB" w:rsidRDefault="00FE7026" w:rsidP="00D41D04">
      <w:pPr>
        <w:ind w:left="2880" w:hanging="360"/>
      </w:pPr>
      <w:r w:rsidRPr="004E28BB">
        <w:t>●</w:t>
      </w:r>
      <w:r w:rsidRPr="004E28BB">
        <w:tab/>
        <w:t>The use and provision of airbags/safety belts, etc. in motor vehicles</w:t>
      </w:r>
      <w:r w:rsidR="00E807ED">
        <w:t>.</w:t>
      </w:r>
    </w:p>
    <w:p w:rsidR="00FE7026" w:rsidRPr="004E28BB" w:rsidRDefault="00FE7026" w:rsidP="00D41D04">
      <w:pPr>
        <w:ind w:left="2880" w:hanging="360"/>
      </w:pPr>
      <w:r w:rsidRPr="004E28BB">
        <w:t>●</w:t>
      </w:r>
      <w:r w:rsidRPr="004E28BB">
        <w:tab/>
        <w:t>Avoid alcohol and other drug use, including marijuana, during recreation</w:t>
      </w:r>
      <w:r w:rsidR="007C5BDF">
        <w:t>al</w:t>
      </w:r>
      <w:r w:rsidRPr="004E28BB">
        <w:t xml:space="preserve"> activities such as boating, hunting, skiing, snowboarding, etc, while driving or operating equipment, when working from elevated surfaces, and at work</w:t>
      </w:r>
      <w:r w:rsidR="00E807ED">
        <w:t>.</w:t>
      </w:r>
      <w:r w:rsidRPr="004E28BB">
        <w:t xml:space="preserve"> </w:t>
      </w:r>
    </w:p>
    <w:p w:rsidR="00FE7026" w:rsidRPr="004E28BB" w:rsidRDefault="00FE7026" w:rsidP="00D41D04">
      <w:pPr>
        <w:ind w:left="2880" w:hanging="360"/>
      </w:pPr>
      <w:bookmarkStart w:id="130" w:name="TBIC10bSecondaryPrevention"/>
      <w:bookmarkStart w:id="131" w:name="_Toc319922458"/>
      <w:bookmarkEnd w:id="130"/>
      <w:r w:rsidRPr="004E28BB">
        <w:t>●</w:t>
      </w:r>
      <w:r w:rsidRPr="004E28BB">
        <w:tab/>
        <w:t>Practicing fatigue management techniques to maintain optimal energy levels for the required work tasks</w:t>
      </w:r>
      <w:r w:rsidR="00E807ED">
        <w:t>.</w:t>
      </w:r>
    </w:p>
    <w:p w:rsidR="00FE7026" w:rsidRPr="004E28BB" w:rsidRDefault="00FE7026" w:rsidP="00D41D04">
      <w:pPr>
        <w:pStyle w:val="ListNumber3"/>
      </w:pPr>
      <w:bookmarkStart w:id="132" w:name="_Toc394643227"/>
      <w:r w:rsidRPr="004E28BB">
        <w:rPr>
          <w:rStyle w:val="Guide3-abcdChar"/>
        </w:rPr>
        <w:t>Secondary Prevention</w:t>
      </w:r>
      <w:bookmarkEnd w:id="131"/>
      <w:bookmarkEnd w:id="132"/>
      <w:r w:rsidRPr="004E28BB">
        <w:t xml:space="preserve">: </w:t>
      </w:r>
      <w:r w:rsidR="00E807ED">
        <w:t>I</w:t>
      </w:r>
      <w:r w:rsidRPr="004E28BB">
        <w:t xml:space="preserve">ncludes efforts to decrease duration of illness, severity of disease, and sequelae through early diagnosis and prompt intervention. </w:t>
      </w:r>
      <w:r w:rsidRPr="004E28BB">
        <w:br/>
      </w:r>
      <w:r w:rsidRPr="004E28BB">
        <w:br/>
        <w:t>M</w:t>
      </w:r>
      <w:r w:rsidR="00F5511A">
        <w:t>TBI</w:t>
      </w:r>
      <w:r w:rsidRPr="004E28BB">
        <w:t xml:space="preserve"> is one of the most common neurologic disorders. Health care providers may play a key role in improving outcomes following MTBI. Early diagnosis of individuals with mild and moderate/severe </w:t>
      </w:r>
      <w:r w:rsidR="007C5BDF">
        <w:t>TBI</w:t>
      </w:r>
      <w:r w:rsidRPr="004E28BB">
        <w:t xml:space="preserve"> is critical in helping to avoid secondary symptoms and problems in living. Individuals with a previous history of TBI, co-morbid, psychiatric disorders, cognitive disorders, and substance abuse are also at greater risk for poor outcome and represent an opportunity to reduce the effects of </w:t>
      </w:r>
      <w:r w:rsidR="0056633D">
        <w:t>TBI</w:t>
      </w:r>
      <w:r w:rsidRPr="004E28BB">
        <w:t>. Such individuals should receive appropriate referrals for the co-morbid conditions</w:t>
      </w:r>
      <w:r w:rsidR="007C5BDF">
        <w:t>,</w:t>
      </w:r>
      <w:r w:rsidRPr="004E28BB">
        <w:t xml:space="preserve"> and treatment of these co</w:t>
      </w:r>
      <w:r w:rsidR="007C5BDF">
        <w:t>-</w:t>
      </w:r>
      <w:r w:rsidRPr="004E28BB">
        <w:t xml:space="preserve">morbid conditions should be integrated into the individual’s rehabilitation program. For </w:t>
      </w:r>
      <w:r w:rsidR="007C5BDF">
        <w:t>MTBI</w:t>
      </w:r>
      <w:r w:rsidRPr="004E28BB">
        <w:t>, providing education about symptoms, their management</w:t>
      </w:r>
      <w:r w:rsidR="007C5BDF">
        <w:t>,</w:t>
      </w:r>
      <w:r w:rsidRPr="004E28BB">
        <w:t xml:space="preserve"> and their probable positive outcome is a</w:t>
      </w:r>
      <w:r w:rsidR="00F5511A">
        <w:t xml:space="preserve">n essential </w:t>
      </w:r>
      <w:r w:rsidRPr="004E28BB">
        <w:t>component of treatment. Using the available diagnostic information as the basis for providing education and providing written instructions on the discharge sheet regarding timing for return to regular activities, and high-risk activities, may help to improve outcomes and prevent further injury. Written materials and internet references that provide appropriate education for individuals with TBI and family</w:t>
      </w:r>
      <w:r w:rsidR="00387A03">
        <w:t xml:space="preserve"> and</w:t>
      </w:r>
      <w:r w:rsidRPr="004E28BB">
        <w:t>/</w:t>
      </w:r>
      <w:r w:rsidR="00387A03">
        <w:t xml:space="preserve">or </w:t>
      </w:r>
      <w:r w:rsidRPr="004E28BB">
        <w:t xml:space="preserve">support system about </w:t>
      </w:r>
      <w:r w:rsidR="0056633D">
        <w:t>TBI</w:t>
      </w:r>
      <w:r w:rsidRPr="004E28BB">
        <w:t xml:space="preserve"> care and prevention are available in English and Spanish from the Centers for Disease Control and Prevention.</w:t>
      </w:r>
      <w:r w:rsidRPr="004E28BB">
        <w:br/>
      </w:r>
      <w:r w:rsidRPr="004E28BB">
        <w:br/>
        <w:t xml:space="preserve">Workers who have sustained a recent </w:t>
      </w:r>
      <w:r w:rsidR="0056633D">
        <w:t>TBI</w:t>
      </w:r>
      <w:r w:rsidRPr="004E28BB">
        <w:t xml:space="preserve"> should be especially cautious about returning to work activities that may lead to a second </w:t>
      </w:r>
      <w:r w:rsidR="0056633D">
        <w:t>TBI</w:t>
      </w:r>
      <w:r w:rsidRPr="004E28BB">
        <w:t xml:space="preserve"> </w:t>
      </w:r>
      <w:r w:rsidR="002218E8" w:rsidRPr="004E28BB">
        <w:t>since</w:t>
      </w:r>
      <w:r w:rsidRPr="004E28BB">
        <w:t xml:space="preserve"> second injuries occurring prior to a full recovery from initial </w:t>
      </w:r>
      <w:r w:rsidR="0056633D">
        <w:t>MTBI</w:t>
      </w:r>
      <w:r w:rsidRPr="004E28BB">
        <w:t>s have more serious consequences. Providers should practice secondary prevention by setting appropriate restrictions for these workers and workers who are suffering from impairment, such as dizziness, that could lead to falls in some work environments (</w:t>
      </w:r>
      <w:r w:rsidR="00756447">
        <w:t>r</w:t>
      </w:r>
      <w:r w:rsidRPr="004E28BB">
        <w:t xml:space="preserve">efer to </w:t>
      </w:r>
      <w:r w:rsidR="00811C8B">
        <w:t>S</w:t>
      </w:r>
      <w:r w:rsidRPr="004E28BB">
        <w:t xml:space="preserve">ection </w:t>
      </w:r>
      <w:hyperlink w:anchor="TBIK2ReturnToWork" w:history="1">
        <w:r w:rsidR="00D15EF8" w:rsidRPr="004E28BB">
          <w:rPr>
            <w:rStyle w:val="Hyperlink"/>
          </w:rPr>
          <w:t>K</w:t>
        </w:r>
        <w:r w:rsidRPr="004E28BB">
          <w:rPr>
            <w:rStyle w:val="Hyperlink"/>
          </w:rPr>
          <w:t>.2 Return to Work</w:t>
        </w:r>
      </w:hyperlink>
      <w:r w:rsidRPr="004E28BB">
        <w:t>) and by providing information to the individual and family</w:t>
      </w:r>
      <w:r w:rsidR="00387A03">
        <w:t xml:space="preserve"> and</w:t>
      </w:r>
      <w:r w:rsidRPr="004E28BB">
        <w:t>/</w:t>
      </w:r>
      <w:r w:rsidR="00387A03">
        <w:t xml:space="preserve">or </w:t>
      </w:r>
      <w:r w:rsidRPr="004E28BB">
        <w:t xml:space="preserve">support system about subsequent </w:t>
      </w:r>
      <w:r w:rsidR="0056633D">
        <w:t>TBI</w:t>
      </w:r>
      <w:r w:rsidRPr="004E28BB">
        <w:t xml:space="preserve">s and the need for follow-up before return to activities </w:t>
      </w:r>
      <w:r w:rsidR="002218E8" w:rsidRPr="004E28BB">
        <w:t>which carry</w:t>
      </w:r>
      <w:r w:rsidRPr="004E28BB">
        <w:t xml:space="preserve"> a risk for repeat </w:t>
      </w:r>
      <w:r w:rsidR="0056633D">
        <w:t>TBI</w:t>
      </w:r>
      <w:r w:rsidR="002218E8" w:rsidRPr="004E28BB">
        <w:t xml:space="preserve">. </w:t>
      </w:r>
    </w:p>
    <w:p w:rsidR="00FE7026" w:rsidRPr="004E28BB" w:rsidRDefault="00FE7026" w:rsidP="00D41D04">
      <w:pPr>
        <w:pStyle w:val="ListNumber3"/>
      </w:pPr>
      <w:bookmarkStart w:id="133" w:name="_Toc319922459"/>
      <w:bookmarkStart w:id="134" w:name="_Toc394643228"/>
      <w:r w:rsidRPr="004E28BB">
        <w:rPr>
          <w:rStyle w:val="Guide3-abcdChar"/>
        </w:rPr>
        <w:lastRenderedPageBreak/>
        <w:t>Tertiary Prevention</w:t>
      </w:r>
      <w:bookmarkEnd w:id="133"/>
      <w:bookmarkEnd w:id="134"/>
      <w:r w:rsidRPr="004E28BB">
        <w:t xml:space="preserve">: </w:t>
      </w:r>
      <w:r w:rsidR="00E807ED">
        <w:t>T</w:t>
      </w:r>
      <w:r w:rsidRPr="004E28BB">
        <w:t xml:space="preserve">he effort to decrease the degree of disability and promote rehabilitation and restoration of function in individuals with chronic and irreversible diseases and to prevent disease and disability. Life-long management and follow-up services may be required for select </w:t>
      </w:r>
      <w:r w:rsidR="002218E8" w:rsidRPr="004E28BB">
        <w:t xml:space="preserve">moderate/severe TBI </w:t>
      </w:r>
      <w:r w:rsidRPr="004E28BB">
        <w:t>individuals with persistent medical, cognitive, psychological, and functional skill deficits.</w:t>
      </w:r>
    </w:p>
    <w:p w:rsidR="00FE7026" w:rsidRPr="004E28BB" w:rsidRDefault="00FE7026" w:rsidP="00D41D04">
      <w:pPr>
        <w:ind w:left="1440"/>
        <w:sectPr w:rsidR="00FE7026" w:rsidRPr="004E28BB">
          <w:pgSz w:w="12240" w:h="15840"/>
          <w:pgMar w:top="1440" w:right="1800" w:bottom="1440" w:left="1800" w:header="720" w:footer="720" w:gutter="0"/>
          <w:cols w:space="720"/>
          <w:docGrid w:linePitch="360"/>
        </w:sectPr>
      </w:pPr>
      <w:r w:rsidRPr="004E28BB">
        <w:t xml:space="preserve">The majority of this guideline addresses tertiary prevention of disability for workers with </w:t>
      </w:r>
      <w:r w:rsidR="00F5511A">
        <w:t>TBI</w:t>
      </w:r>
      <w:r w:rsidRPr="004E28BB">
        <w:t>.</w:t>
      </w:r>
    </w:p>
    <w:p w:rsidR="00FE7026" w:rsidRPr="004E28BB" w:rsidRDefault="00FE7026" w:rsidP="00D41D04">
      <w:pPr>
        <w:pStyle w:val="Guide1-ABC"/>
      </w:pPr>
      <w:bookmarkStart w:id="135" w:name="_Toc319922460"/>
      <w:bookmarkStart w:id="136" w:name="_Toc394643229"/>
      <w:r w:rsidRPr="004E28BB">
        <w:lastRenderedPageBreak/>
        <w:t>INITIAL DIAGNOSTIC PROCEDURES</w:t>
      </w:r>
      <w:bookmarkEnd w:id="135"/>
      <w:bookmarkEnd w:id="136"/>
      <w:r w:rsidRPr="004E28BB">
        <w:t xml:space="preserve"> </w:t>
      </w:r>
    </w:p>
    <w:p w:rsidR="00FE7026" w:rsidRPr="004E28BB" w:rsidRDefault="00FE7026" w:rsidP="00D41D04">
      <w:pPr>
        <w:ind w:left="720"/>
      </w:pPr>
      <w:r w:rsidRPr="004E28BB">
        <w:t xml:space="preserve">The purpose of these procedures is to establish the type and severity of TBI as a diagnosis, and to establish initial treatment goals. If the individual with TBI regains consciousness and is fully oriented in the field or emergency department, and has normal neurological findings on examination and neuroradiological studies when appropriate, he/she may be discharged home with close supervision for the initial twenty-four hours. If the individual does not regain consciousness, is disoriented or has focal neurological findings, persistent altered mental status, or persistent cognitive impairment, </w:t>
      </w:r>
      <w:r w:rsidR="00DF0519">
        <w:t xml:space="preserve">then </w:t>
      </w:r>
      <w:r w:rsidRPr="004E28BB">
        <w:t xml:space="preserve">further neurological evaluation, treatment, management and follow-up are indicated. This may include acute hospitalization or outpatient interdisciplinary team treatment, depending on the severity of the TBI. </w:t>
      </w:r>
    </w:p>
    <w:p w:rsidR="00FE7026" w:rsidRPr="004E28BB" w:rsidRDefault="00FE7026" w:rsidP="009C3DC2">
      <w:pPr>
        <w:pStyle w:val="ListNumber2"/>
        <w:numPr>
          <w:ilvl w:val="1"/>
          <w:numId w:val="14"/>
        </w:numPr>
      </w:pPr>
      <w:bookmarkStart w:id="137" w:name="_Toc319922461"/>
      <w:bookmarkStart w:id="138" w:name="_Toc394643230"/>
      <w:r w:rsidRPr="004E28BB">
        <w:rPr>
          <w:rStyle w:val="Guide2-123Char"/>
        </w:rPr>
        <w:t>HISTORY OF INJURY</w:t>
      </w:r>
      <w:bookmarkEnd w:id="137"/>
      <w:bookmarkEnd w:id="138"/>
      <w:r w:rsidR="00E807ED" w:rsidRPr="004E28BB">
        <w:t>:</w:t>
      </w:r>
      <w:r w:rsidRPr="004E28BB">
        <w:t xml:space="preserve"> In order to establish the TBI diagnosis and treatment plans/goals, it is a generally accepted and widely used practice for a qualified practitioner to obtain a thorough history of the injury. Recommended data obtained in the history-taking </w:t>
      </w:r>
      <w:r w:rsidR="00DF0519">
        <w:t xml:space="preserve">generally </w:t>
      </w:r>
      <w:r w:rsidRPr="004E28BB">
        <w:t xml:space="preserve">should include: </w:t>
      </w:r>
    </w:p>
    <w:p w:rsidR="00FE7026" w:rsidRPr="004E28BB" w:rsidRDefault="00FE7026" w:rsidP="00D41D04">
      <w:pPr>
        <w:pStyle w:val="ListNumber3"/>
      </w:pPr>
      <w:bookmarkStart w:id="139" w:name="_Toc319922462"/>
      <w:bookmarkStart w:id="140" w:name="_Toc394643231"/>
      <w:r w:rsidRPr="004E28BB">
        <w:rPr>
          <w:rStyle w:val="Guide3-abcdChar"/>
        </w:rPr>
        <w:t>Identification Data</w:t>
      </w:r>
      <w:bookmarkEnd w:id="139"/>
      <w:bookmarkEnd w:id="140"/>
      <w:r w:rsidRPr="004E28BB">
        <w:t xml:space="preserve">: </w:t>
      </w:r>
      <w:r w:rsidR="00DF0519">
        <w:t>S</w:t>
      </w:r>
      <w:r w:rsidRPr="004E28BB">
        <w:t>hould include name, address, age, gender, and marital/relationship status.</w:t>
      </w:r>
    </w:p>
    <w:p w:rsidR="00FE7026" w:rsidRPr="004E28BB" w:rsidRDefault="00FE7026" w:rsidP="00D41D04">
      <w:pPr>
        <w:pStyle w:val="ListNumber3"/>
      </w:pPr>
      <w:bookmarkStart w:id="141" w:name="_Toc319922463"/>
      <w:bookmarkStart w:id="142" w:name="_Toc394643232"/>
      <w:r w:rsidRPr="004E28BB">
        <w:rPr>
          <w:rStyle w:val="Guide3-abcdChar"/>
        </w:rPr>
        <w:t>Precipitating Event</w:t>
      </w:r>
      <w:bookmarkEnd w:id="141"/>
      <w:bookmarkEnd w:id="142"/>
      <w:r w:rsidRPr="004E28BB">
        <w:t xml:space="preserve">: Information regarding the </w:t>
      </w:r>
      <w:r w:rsidR="00E96BC2" w:rsidRPr="004E28BB">
        <w:t xml:space="preserve">detailed </w:t>
      </w:r>
      <w:r w:rsidRPr="004E28BB">
        <w:t xml:space="preserve">circumstances of the </w:t>
      </w:r>
      <w:r w:rsidR="0056633D">
        <w:t>TBI</w:t>
      </w:r>
      <w:r w:rsidRPr="004E28BB">
        <w:t xml:space="preserve"> should include where and when the injury occurred, how the injury occurred, what the individual was doing at the time of the injury, and what happened. If the injury occurred as a result of a motor vehicle crash, information should be obtained as to</w:t>
      </w:r>
      <w:r w:rsidR="00DF0519">
        <w:t>:</w:t>
      </w:r>
      <w:r w:rsidRPr="004E28BB">
        <w:t xml:space="preserve"> the speed of the vehicle</w:t>
      </w:r>
      <w:r w:rsidR="00DF0519">
        <w:t>;</w:t>
      </w:r>
      <w:r w:rsidRPr="004E28BB">
        <w:t xml:space="preserve"> </w:t>
      </w:r>
      <w:r w:rsidR="00481C3E" w:rsidRPr="004E28BB">
        <w:t>position or location of the injured worker</w:t>
      </w:r>
      <w:r w:rsidR="00DF0519">
        <w:t>;</w:t>
      </w:r>
      <w:r w:rsidR="00481C3E" w:rsidRPr="004E28BB">
        <w:t xml:space="preserve"> </w:t>
      </w:r>
      <w:r w:rsidRPr="004E28BB">
        <w:t>use of restraints or helmet</w:t>
      </w:r>
      <w:r w:rsidR="00DF0519">
        <w:t>;</w:t>
      </w:r>
      <w:r w:rsidRPr="004E28BB">
        <w:t xml:space="preserve"> degree of damage to the vehicle</w:t>
      </w:r>
      <w:r w:rsidR="00DF0519">
        <w:t>;</w:t>
      </w:r>
      <w:r w:rsidR="00481C3E" w:rsidRPr="004E28BB">
        <w:t xml:space="preserve"> all other involved vehicles</w:t>
      </w:r>
      <w:r w:rsidR="00DF0519">
        <w:t>,</w:t>
      </w:r>
      <w:r w:rsidR="00481C3E" w:rsidRPr="004E28BB">
        <w:t xml:space="preserve"> if known; involvement of EMS system</w:t>
      </w:r>
      <w:r w:rsidR="00DF0519">
        <w:t>,</w:t>
      </w:r>
      <w:r w:rsidR="00481C3E" w:rsidRPr="004E28BB">
        <w:t xml:space="preserve"> </w:t>
      </w:r>
      <w:r w:rsidR="00DF0519">
        <w:t>if any;</w:t>
      </w:r>
      <w:r w:rsidR="00481C3E" w:rsidRPr="004E28BB">
        <w:t xml:space="preserve"> and acute or sub-acute accident</w:t>
      </w:r>
      <w:r w:rsidR="00DF0519">
        <w:t>-</w:t>
      </w:r>
      <w:r w:rsidR="00481C3E" w:rsidRPr="004E28BB">
        <w:t>related physical complaints or injuries, including other people involved</w:t>
      </w:r>
      <w:r w:rsidR="00DF0519">
        <w:t>,</w:t>
      </w:r>
      <w:r w:rsidR="00481C3E" w:rsidRPr="004E28BB">
        <w:t xml:space="preserve"> if known. The crash outcome regarding non-TBI complaints/injuries may enhance an understanding of the forces involved in the accident and will minimize the possibility of unrecognized physical injury.</w:t>
      </w:r>
      <w:r w:rsidRPr="004E28BB">
        <w:t xml:space="preserve"> The accident report and any police records should be obtained and reviewed if available. If the injury occurred as a result of a fall, information should be obtained regarding the type of fall, distance of the fall, type of surface, etc. The goal is to provide a review of the biomechanical forces involved in the event. Reports from first responders should be obtained. If possible, collaborative information (e.g. witnesses, paramedic report, etc.) should be obtained to seek details of the event and the injured person’s behavioral and cognitive responses immediately following the injury. The presence of alcohol </w:t>
      </w:r>
      <w:r w:rsidR="00DF0519">
        <w:t>and/</w:t>
      </w:r>
      <w:r w:rsidRPr="004E28BB">
        <w:t xml:space="preserve">or drug use at or prior to the time of the injury should be noted. All of this history should be used when establishing the presence of a </w:t>
      </w:r>
      <w:r w:rsidR="00DF0519">
        <w:t>TBI</w:t>
      </w:r>
      <w:r w:rsidRPr="004E28BB">
        <w:t xml:space="preserve"> caused by a work-related event.</w:t>
      </w:r>
    </w:p>
    <w:p w:rsidR="00FE7026" w:rsidRPr="004E28BB" w:rsidRDefault="00FE7026" w:rsidP="00D41D04">
      <w:pPr>
        <w:pStyle w:val="ListNumber3"/>
      </w:pPr>
      <w:bookmarkStart w:id="143" w:name="_Toc319922464"/>
      <w:bookmarkStart w:id="144" w:name="_Toc394643233"/>
      <w:r w:rsidRPr="004E28BB">
        <w:rPr>
          <w:rStyle w:val="Guide3-abcdChar"/>
        </w:rPr>
        <w:t>Neurological History</w:t>
      </w:r>
      <w:bookmarkEnd w:id="143"/>
      <w:bookmarkEnd w:id="144"/>
      <w:r w:rsidRPr="004E28BB">
        <w:t xml:space="preserve">: </w:t>
      </w:r>
      <w:r w:rsidR="00DF0519">
        <w:t>S</w:t>
      </w:r>
      <w:r w:rsidRPr="004E28BB">
        <w:t xml:space="preserve">hould include </w:t>
      </w:r>
      <w:r w:rsidR="00DF0519">
        <w:t xml:space="preserve">a </w:t>
      </w:r>
      <w:r w:rsidRPr="004E28BB">
        <w:t>review of chief complaints, presenting problems</w:t>
      </w:r>
      <w:r w:rsidR="00DF0519">
        <w:t>,</w:t>
      </w:r>
      <w:r w:rsidRPr="004E28BB">
        <w:t xml:space="preserve"> and symptoms. Generally accepted data should include information about duration of alteration of mental status, including consciousness, degree and length of retrograde and</w:t>
      </w:r>
      <w:r w:rsidR="00202675">
        <w:t xml:space="preserve"> </w:t>
      </w:r>
      <w:r w:rsidR="00F64E42">
        <w:t>PTA</w:t>
      </w:r>
      <w:r w:rsidRPr="004E28BB">
        <w:t>, as well as cognitive, behavioral, and physical impairments, with collateral sources of information when possible. Information should be collected regarding various time intervals for the following:</w:t>
      </w:r>
    </w:p>
    <w:p w:rsidR="00FE7026" w:rsidRPr="004E28BB" w:rsidRDefault="00FE7026" w:rsidP="00D41D04">
      <w:pPr>
        <w:pStyle w:val="ListNumber4"/>
      </w:pPr>
      <w:r w:rsidRPr="004E28BB">
        <w:rPr>
          <w:rStyle w:val="Guide4-i"/>
        </w:rPr>
        <w:t>Current Neurological Status</w:t>
      </w:r>
      <w:r w:rsidRPr="004E28BB">
        <w:t xml:space="preserve">: </w:t>
      </w:r>
      <w:r w:rsidR="00DF0519">
        <w:t xml:space="preserve">A </w:t>
      </w:r>
      <w:r w:rsidRPr="004E28BB">
        <w:t xml:space="preserve">report of </w:t>
      </w:r>
      <w:r w:rsidR="00D13473">
        <w:t xml:space="preserve">the individual’s </w:t>
      </w:r>
      <w:r w:rsidRPr="004E28BB">
        <w:t xml:space="preserve">current </w:t>
      </w:r>
      <w:r w:rsidR="00DF0519">
        <w:t xml:space="preserve">the individual’s </w:t>
      </w:r>
      <w:r w:rsidRPr="004E28BB">
        <w:t>neurological condition, symptoms, complaints, functional problems, etc.</w:t>
      </w:r>
    </w:p>
    <w:p w:rsidR="00FE7026" w:rsidRPr="004E28BB" w:rsidRDefault="00FE7026" w:rsidP="00D41D04">
      <w:pPr>
        <w:pStyle w:val="ListNumber4"/>
      </w:pPr>
      <w:r w:rsidRPr="004E28BB">
        <w:rPr>
          <w:rStyle w:val="Guide4-i"/>
        </w:rPr>
        <w:lastRenderedPageBreak/>
        <w:t>Initial Neurological Status</w:t>
      </w:r>
      <w:r w:rsidRPr="004E28BB">
        <w:t xml:space="preserve">: </w:t>
      </w:r>
      <w:r w:rsidR="00DF0519">
        <w:t xml:space="preserve">A </w:t>
      </w:r>
      <w:r w:rsidRPr="004E28BB">
        <w:t xml:space="preserve">report of </w:t>
      </w:r>
      <w:r w:rsidR="00DF0519">
        <w:t xml:space="preserve">the individual’s </w:t>
      </w:r>
      <w:r w:rsidRPr="004E28BB">
        <w:t>neurological condition at the time of the injury, symptoms, complaints, functional problems, etc. The GCS</w:t>
      </w:r>
      <w:r w:rsidR="00D16BB6">
        <w:t>,</w:t>
      </w:r>
      <w:r w:rsidRPr="004E28BB">
        <w:t xml:space="preserve"> when performed in the field and the emergency department</w:t>
      </w:r>
      <w:r w:rsidR="00D16BB6">
        <w:t>,</w:t>
      </w:r>
      <w:r w:rsidRPr="004E28BB">
        <w:t xml:space="preserve"> may aid in grading the severity of </w:t>
      </w:r>
      <w:r w:rsidR="00F5511A">
        <w:t>TBI</w:t>
      </w:r>
      <w:r w:rsidRPr="004E28BB">
        <w:t xml:space="preserve">. Individuals with </w:t>
      </w:r>
      <w:r w:rsidR="00D6440E">
        <w:t>MTBIs</w:t>
      </w:r>
      <w:r w:rsidRPr="004E28BB">
        <w:t xml:space="preserve"> may have a normal score on the GCS. Serial GCS scores may be helpful when intoxication may be a factor. It may be helpful to ask the patient to describe in detail the first event they remember after the injury in order to assess post</w:t>
      </w:r>
      <w:r w:rsidR="001D127F">
        <w:t>-</w:t>
      </w:r>
      <w:r w:rsidRPr="004E28BB">
        <w:t>traumatic amnesia</w:t>
      </w:r>
      <w:r w:rsidR="009B0153">
        <w:t xml:space="preserve"> or loss of time sequence</w:t>
      </w:r>
      <w:r w:rsidRPr="004E28BB">
        <w:rPr>
          <w:rStyle w:val="GuideCitesCharChar"/>
        </w:rPr>
        <w:t xml:space="preserve"> </w:t>
      </w:r>
      <w:r w:rsidRPr="00F51CDC">
        <w:rPr>
          <w:rStyle w:val="GuideCitesCharChar"/>
          <w:highlight w:val="yellow"/>
        </w:rPr>
        <w:t>(</w:t>
      </w:r>
      <w:hyperlink w:anchor="Ruff2009" w:history="1">
        <w:r w:rsidRPr="00852CC9">
          <w:rPr>
            <w:rStyle w:val="Hyperlink"/>
            <w:rFonts w:cs="Arial"/>
            <w:highlight w:val="yellow"/>
          </w:rPr>
          <w:t>Ruff, 2009</w:t>
        </w:r>
      </w:hyperlink>
      <w:r w:rsidRPr="00F51CDC">
        <w:rPr>
          <w:rStyle w:val="GuideCitesCharChar"/>
          <w:highlight w:val="yellow"/>
        </w:rPr>
        <w:t>)</w:t>
      </w:r>
      <w:r w:rsidRPr="004E28BB">
        <w:t xml:space="preserve">. When evaluating alteration in mental state at the time of the injury, it is also important to consider the individual’s emotional reaction to the distressing event. </w:t>
      </w:r>
      <w:r w:rsidR="00D13473">
        <w:t>For instance, whether the feeling of “being dazed” could be a manifestation of emotional numbing should be considered</w:t>
      </w:r>
      <w:r w:rsidRPr="004E28BB">
        <w:t xml:space="preserve">. It is possible to have dazing due to </w:t>
      </w:r>
      <w:r w:rsidR="00F5511A">
        <w:t>TBI</w:t>
      </w:r>
      <w:r w:rsidRPr="004E28BB">
        <w:t xml:space="preserve"> and emotional reactions to the event (for example, numbing and/or detachment). The diagnosis of acute stress disorder should be considered in evaluating individuals with possible </w:t>
      </w:r>
      <w:r w:rsidR="00DF0519">
        <w:t>M</w:t>
      </w:r>
      <w:r w:rsidR="00F5511A">
        <w:t>TBI</w:t>
      </w:r>
      <w:r w:rsidRPr="004E28BB">
        <w:t>.</w:t>
      </w:r>
    </w:p>
    <w:p w:rsidR="00FE7026" w:rsidRPr="004E28BB" w:rsidRDefault="00FE7026" w:rsidP="00D41D04">
      <w:pPr>
        <w:pStyle w:val="ListNumber4"/>
      </w:pPr>
      <w:r w:rsidRPr="004E28BB">
        <w:rPr>
          <w:rStyle w:val="Guide4-i"/>
        </w:rPr>
        <w:t>Evolution of Neurological Status</w:t>
      </w:r>
      <w:r w:rsidRPr="004E28BB">
        <w:t xml:space="preserve">: </w:t>
      </w:r>
      <w:r w:rsidR="00DF0519">
        <w:t>A r</w:t>
      </w:r>
      <w:r w:rsidRPr="004E28BB">
        <w:t xml:space="preserve">eport of change in </w:t>
      </w:r>
      <w:r w:rsidR="00DF0519">
        <w:t xml:space="preserve">the individual’s </w:t>
      </w:r>
      <w:r w:rsidRPr="004E28BB">
        <w:t>neurological condition between the time of the injury and the present, including symptoms, complaints, and functional problems. The individual’s report of when he/she was able to return to independent activity is relevant to understanding the course of the injury. A family</w:t>
      </w:r>
      <w:r w:rsidR="00DF0519">
        <w:t xml:space="preserve"> and/or support system</w:t>
      </w:r>
      <w:r w:rsidRPr="004E28BB">
        <w:t xml:space="preserve"> member’s history of the patients ability to perform their usual duties is often helpful. Other measures of functional activity that are standardized and can be repeated during treatment may also be helpful. </w:t>
      </w:r>
    </w:p>
    <w:p w:rsidR="00FE7026" w:rsidRPr="004E28BB" w:rsidRDefault="00FE7026" w:rsidP="00D41D04">
      <w:pPr>
        <w:pStyle w:val="ListNumber3"/>
      </w:pPr>
      <w:bookmarkStart w:id="145" w:name="_Toc319922465"/>
      <w:bookmarkStart w:id="146" w:name="_Toc394643234"/>
      <w:r w:rsidRPr="004E28BB">
        <w:rPr>
          <w:rStyle w:val="Guide3-abcdChar"/>
        </w:rPr>
        <w:t>Review of Medical Records</w:t>
      </w:r>
      <w:bookmarkEnd w:id="145"/>
      <w:bookmarkEnd w:id="146"/>
      <w:r w:rsidRPr="004E28BB">
        <w:t>: In addition to the individual’s self-report, practitioners should attempt to obtain and review any external sources of data, including police reports, ambulance reports, emergency department records, eyewitness reports, etc. The practitioner should utilize this information to establish or verify the probable degree of trauma involved in the incident and the consistency between these reports and current symptoms.</w:t>
      </w:r>
    </w:p>
    <w:p w:rsidR="00FE7026" w:rsidRPr="004E28BB" w:rsidRDefault="00FE7026" w:rsidP="00D41D04">
      <w:pPr>
        <w:pStyle w:val="ListNumber3"/>
      </w:pPr>
      <w:bookmarkStart w:id="147" w:name="_Toc319922466"/>
      <w:bookmarkStart w:id="148" w:name="_Toc394643235"/>
      <w:r w:rsidRPr="004E28BB">
        <w:rPr>
          <w:rStyle w:val="Guide3-abcdChar"/>
        </w:rPr>
        <w:t>Medical/Health History</w:t>
      </w:r>
      <w:bookmarkEnd w:id="147"/>
      <w:bookmarkEnd w:id="148"/>
      <w:r w:rsidRPr="004E28BB">
        <w:t>: Taking a history is a generally accepted practice and should include a history of past and current illnesses, injuries, previous brain injuries or other disabilities, seizures/epilepsy, stroke, cerebrovascular disease, developmental/intellectual disabilities, neurodegenerative disorders, any previous intracranial pathology (such as infections, tumors, congenital malformations), pain, previous surgeries of any kind, mental health and medication history, sleep disorders, educational history</w:t>
      </w:r>
      <w:r w:rsidR="00DF0519">
        <w:t>,</w:t>
      </w:r>
      <w:r w:rsidRPr="004E28BB">
        <w:t xml:space="preserve"> and other medical/health data. A report from </w:t>
      </w:r>
      <w:r w:rsidR="00387A03">
        <w:t>family and/or support system</w:t>
      </w:r>
      <w:r w:rsidRPr="004E28BB">
        <w:t xml:space="preserve"> members or other persons knowledgeable about the individual with TBI relevant to pre-injury as compared to post-injury function should be obtained.</w:t>
      </w:r>
    </w:p>
    <w:p w:rsidR="00E92422" w:rsidRPr="00CE30BE" w:rsidRDefault="00E92422" w:rsidP="00D41D04">
      <w:pPr>
        <w:pStyle w:val="ListNumber3"/>
      </w:pPr>
      <w:bookmarkStart w:id="149" w:name="_Toc319922467"/>
      <w:bookmarkStart w:id="150" w:name="_Toc394643236"/>
      <w:r w:rsidRPr="002E62A9">
        <w:rPr>
          <w:rStyle w:val="Guide3-abcdChar"/>
        </w:rPr>
        <w:t>Activities of Daily Living</w:t>
      </w:r>
      <w:r w:rsidR="008E045A" w:rsidRPr="002E62A9">
        <w:rPr>
          <w:rStyle w:val="Guide3-abcdChar"/>
        </w:rPr>
        <w:t xml:space="preserve"> (ADLs)</w:t>
      </w:r>
      <w:r>
        <w:rPr>
          <w:rStyle w:val="Guide3-abcdChar"/>
          <w:b w:val="0"/>
          <w:u w:val="none"/>
        </w:rPr>
        <w:t>:</w:t>
      </w:r>
      <w:bookmarkEnd w:id="150"/>
      <w:r>
        <w:rPr>
          <w:rStyle w:val="Guide3-abcdChar"/>
          <w:b w:val="0"/>
          <w:u w:val="none"/>
        </w:rPr>
        <w:t xml:space="preserve"> </w:t>
      </w:r>
      <w:r w:rsidRPr="00CE30BE">
        <w:t>A thorough history should be taken of daily activities.</w:t>
      </w:r>
      <w:r w:rsidR="001D127F" w:rsidRPr="00CE30BE">
        <w:t xml:space="preserve"> </w:t>
      </w:r>
      <w:r w:rsidRPr="00CE30BE">
        <w:t xml:space="preserve">Basic ADLs include: self-care and personal hygiene, communication, ambulation, attaining all normal living postures, travel, non-specialized hand activities, sexual function, sleep, and social and recreational activities. Instrumental Activities of Daily Living (IADLs) are complex self-care activities that may be </w:t>
      </w:r>
      <w:smartTag w:uri="urn:schemas-microsoft-com:office:smarttags" w:element="State">
        <w:smartTag w:uri="urn:schemas-microsoft-com:office:smarttags" w:element="place">
          <w:r w:rsidRPr="00CE30BE">
            <w:t>del</w:t>
          </w:r>
        </w:smartTag>
      </w:smartTag>
      <w:r w:rsidRPr="00CE30BE">
        <w:t xml:space="preserve">egated to others (e.g., financial management, medications, meal preparation). This assessment should </w:t>
      </w:r>
      <w:smartTag w:uri="urn:schemas-microsoft-com:office:smarttags" w:element="State">
        <w:smartTag w:uri="urn:schemas-microsoft-com:office:smarttags" w:element="place">
          <w:r w:rsidRPr="00CE30BE">
            <w:t>del</w:t>
          </w:r>
        </w:smartTag>
      </w:smartTag>
      <w:r w:rsidRPr="00CE30BE">
        <w:t xml:space="preserve">ineate the changes in </w:t>
      </w:r>
      <w:r w:rsidR="001D127F" w:rsidRPr="00CE30BE">
        <w:t xml:space="preserve">the individual’s </w:t>
      </w:r>
      <w:r w:rsidRPr="00CE30BE">
        <w:t xml:space="preserve">ability to perform ADLs prior to and after the injury and any assistance needed from family members or others. </w:t>
      </w:r>
    </w:p>
    <w:p w:rsidR="00FE7026" w:rsidRPr="004E28BB" w:rsidRDefault="00FE7026" w:rsidP="00D41D04">
      <w:pPr>
        <w:pStyle w:val="ListNumber3"/>
      </w:pPr>
      <w:bookmarkStart w:id="151" w:name="TBID1gFamily"/>
      <w:bookmarkStart w:id="152" w:name="_Toc394643237"/>
      <w:bookmarkEnd w:id="151"/>
      <w:r w:rsidRPr="004E28BB">
        <w:rPr>
          <w:rStyle w:val="Guide3-abcdChar"/>
        </w:rPr>
        <w:lastRenderedPageBreak/>
        <w:t>Family History</w:t>
      </w:r>
      <w:bookmarkEnd w:id="149"/>
      <w:bookmarkEnd w:id="152"/>
      <w:r w:rsidRPr="004E28BB">
        <w:t xml:space="preserve">: </w:t>
      </w:r>
      <w:r w:rsidR="00DF0519">
        <w:t>S</w:t>
      </w:r>
      <w:r w:rsidRPr="004E28BB">
        <w:t>hould include neurological, psychiatric, and medical history of illness or disability within the family that is relevant to the individual’s condition.</w:t>
      </w:r>
    </w:p>
    <w:p w:rsidR="00FE7026" w:rsidRPr="004E28BB" w:rsidRDefault="00FE7026" w:rsidP="00D41D04">
      <w:pPr>
        <w:pStyle w:val="ListNumber3"/>
      </w:pPr>
      <w:bookmarkStart w:id="153" w:name="TBID1hSocial"/>
      <w:bookmarkStart w:id="154" w:name="_Toc319922468"/>
      <w:bookmarkStart w:id="155" w:name="_Toc394643238"/>
      <w:bookmarkEnd w:id="153"/>
      <w:r w:rsidRPr="004E28BB">
        <w:rPr>
          <w:rStyle w:val="Guide3-abcdChar"/>
        </w:rPr>
        <w:t>Social History</w:t>
      </w:r>
      <w:bookmarkEnd w:id="154"/>
      <w:bookmarkEnd w:id="155"/>
      <w:r w:rsidRPr="004E28BB">
        <w:t>:</w:t>
      </w:r>
    </w:p>
    <w:p w:rsidR="00FE7026" w:rsidRPr="004E28BB" w:rsidRDefault="00DC7739" w:rsidP="00D41D04">
      <w:pPr>
        <w:pStyle w:val="ListNumber4"/>
      </w:pPr>
      <w:r>
        <w:rPr>
          <w:rStyle w:val="Guide4-i"/>
        </w:rPr>
        <w:t>Living S</w:t>
      </w:r>
      <w:r w:rsidR="00FE7026" w:rsidRPr="004E28BB">
        <w:rPr>
          <w:rStyle w:val="Guide4-i"/>
        </w:rPr>
        <w:t>ituation</w:t>
      </w:r>
      <w:r w:rsidR="00FE7026" w:rsidRPr="004E28BB">
        <w:t xml:space="preserve">: </w:t>
      </w:r>
      <w:r w:rsidR="00E807ED">
        <w:t>S</w:t>
      </w:r>
      <w:r w:rsidR="00FE7026" w:rsidRPr="004E28BB">
        <w:t xml:space="preserve">hould include marital history, </w:t>
      </w:r>
      <w:r w:rsidR="00387A03">
        <w:t>family and/or support system</w:t>
      </w:r>
      <w:r w:rsidR="00FE7026" w:rsidRPr="004E28BB">
        <w:t xml:space="preserve"> members, household makeup, significant others, etc.</w:t>
      </w:r>
    </w:p>
    <w:p w:rsidR="00FE7026" w:rsidRPr="004E28BB" w:rsidRDefault="00FE7026" w:rsidP="00D41D04">
      <w:pPr>
        <w:pStyle w:val="ListNumber4"/>
      </w:pPr>
      <w:r w:rsidRPr="004E28BB">
        <w:rPr>
          <w:rStyle w:val="Guide4-i"/>
        </w:rPr>
        <w:t>Occupational History</w:t>
      </w:r>
      <w:r w:rsidRPr="004E28BB">
        <w:t xml:space="preserve">: </w:t>
      </w:r>
      <w:r w:rsidR="00E807ED">
        <w:t>S</w:t>
      </w:r>
      <w:r w:rsidRPr="004E28BB">
        <w:t xml:space="preserve">hould include </w:t>
      </w:r>
      <w:r w:rsidR="00DF0519">
        <w:t xml:space="preserve">the </w:t>
      </w:r>
      <w:r w:rsidRPr="004E28BB">
        <w:t xml:space="preserve">name of </w:t>
      </w:r>
      <w:r w:rsidR="00DF0519">
        <w:t xml:space="preserve">the individual’s </w:t>
      </w:r>
      <w:r w:rsidRPr="004E28BB">
        <w:t>current company, job title, primary job duties, special licenses or certifications, length of employment, prior places and dates of employment, previous work-related injuries and their outcomes</w:t>
      </w:r>
    </w:p>
    <w:p w:rsidR="00FE7026" w:rsidRPr="004E28BB" w:rsidRDefault="00FE7026" w:rsidP="00D41D04">
      <w:pPr>
        <w:pStyle w:val="ListNumber4"/>
      </w:pPr>
      <w:r w:rsidRPr="004E28BB">
        <w:rPr>
          <w:rStyle w:val="Guide4-i"/>
        </w:rPr>
        <w:t>Developmental History</w:t>
      </w:r>
      <w:r w:rsidR="00E807ED" w:rsidRPr="004E28BB">
        <w:t>:</w:t>
      </w:r>
      <w:r w:rsidRPr="004E28BB">
        <w:t xml:space="preserve"> </w:t>
      </w:r>
      <w:r w:rsidR="00DF0519">
        <w:t>Should include</w:t>
      </w:r>
      <w:r w:rsidR="00DF0519" w:rsidRPr="004E28BB">
        <w:t xml:space="preserve"> </w:t>
      </w:r>
      <w:r w:rsidRPr="004E28BB">
        <w:t xml:space="preserve">educational history, highest level of education obtained, learning disabilities or disorders, any developmental delay, abuse, or neglect, etc. </w:t>
      </w:r>
    </w:p>
    <w:p w:rsidR="00FE7026" w:rsidRPr="004E28BB" w:rsidRDefault="00FE7026" w:rsidP="00D41D04">
      <w:pPr>
        <w:pStyle w:val="ListNumber4"/>
      </w:pPr>
      <w:r w:rsidRPr="004E28BB">
        <w:rPr>
          <w:rStyle w:val="Guide4-i"/>
        </w:rPr>
        <w:t>Avocations</w:t>
      </w:r>
      <w:r w:rsidRPr="004E28BB">
        <w:t xml:space="preserve">: </w:t>
      </w:r>
      <w:r w:rsidR="00DF0519">
        <w:t>S</w:t>
      </w:r>
      <w:r w:rsidRPr="004E28BB">
        <w:t xml:space="preserve">hould include common non-occupational activities, </w:t>
      </w:r>
      <w:r w:rsidR="00DF0519">
        <w:t xml:space="preserve">including </w:t>
      </w:r>
      <w:r w:rsidRPr="004E28BB">
        <w:t>leisure activities</w:t>
      </w:r>
      <w:r w:rsidR="00DF0519">
        <w:t xml:space="preserve"> such as</w:t>
      </w:r>
      <w:r w:rsidRPr="004E28BB">
        <w:t xml:space="preserve"> sports, hobbies, and personal interests</w:t>
      </w:r>
      <w:r w:rsidR="00DF0519">
        <w:t>.</w:t>
      </w:r>
    </w:p>
    <w:p w:rsidR="00FE7026" w:rsidRPr="004E28BB" w:rsidRDefault="00FE7026" w:rsidP="00D41D04">
      <w:pPr>
        <w:pStyle w:val="ListNumber4"/>
      </w:pPr>
      <w:r w:rsidRPr="004E28BB">
        <w:rPr>
          <w:rStyle w:val="Guide4-i"/>
        </w:rPr>
        <w:t>Substance Use History</w:t>
      </w:r>
      <w:r w:rsidRPr="004E28BB">
        <w:t xml:space="preserve">: </w:t>
      </w:r>
      <w:r w:rsidR="00DF0519">
        <w:t>S</w:t>
      </w:r>
      <w:r w:rsidRPr="004E28BB">
        <w:t xml:space="preserve">hould be obtained (particularly if there is data to suggest substance abuse was involved in the injury) </w:t>
      </w:r>
      <w:r w:rsidR="001B6189">
        <w:t>along with</w:t>
      </w:r>
      <w:r w:rsidR="00E807ED">
        <w:t xml:space="preserve"> </w:t>
      </w:r>
      <w:r w:rsidRPr="004E28BB">
        <w:t xml:space="preserve">information related to the amount and duration of alcohol, drug, and marijuana use, licit and illicit, including prescription drug use and/or abuse </w:t>
      </w:r>
    </w:p>
    <w:p w:rsidR="00FE7026" w:rsidRPr="004E28BB" w:rsidRDefault="00FE7026" w:rsidP="00D41D04">
      <w:pPr>
        <w:pStyle w:val="ListNumber4"/>
      </w:pPr>
      <w:r w:rsidRPr="004E28BB">
        <w:rPr>
          <w:rStyle w:val="Guide4-i"/>
        </w:rPr>
        <w:t>Legal History</w:t>
      </w:r>
      <w:r w:rsidR="00E807ED" w:rsidRPr="004E28BB">
        <w:t>:</w:t>
      </w:r>
      <w:r w:rsidRPr="004E28BB">
        <w:t xml:space="preserve"> DUIs, violence, speeding/reckless driving violations</w:t>
      </w:r>
    </w:p>
    <w:p w:rsidR="00FE7026" w:rsidRPr="004E28BB" w:rsidRDefault="00FE7026" w:rsidP="00D41D04">
      <w:pPr>
        <w:pStyle w:val="ListNumber3"/>
      </w:pPr>
      <w:bookmarkStart w:id="156" w:name="TBID1iReviewl"/>
      <w:bookmarkStart w:id="157" w:name="_Toc319922469"/>
      <w:bookmarkStart w:id="158" w:name="_Toc394643239"/>
      <w:bookmarkEnd w:id="156"/>
      <w:r w:rsidRPr="004E28BB">
        <w:rPr>
          <w:rStyle w:val="Guide3-abcdChar"/>
        </w:rPr>
        <w:t>Review of Systems</w:t>
      </w:r>
      <w:bookmarkEnd w:id="157"/>
      <w:bookmarkEnd w:id="158"/>
      <w:r w:rsidRPr="004E28BB">
        <w:t xml:space="preserve">: </w:t>
      </w:r>
      <w:r w:rsidR="001B6189">
        <w:t>A</w:t>
      </w:r>
      <w:r w:rsidRPr="004E28BB">
        <w:t xml:space="preserve"> generally accepted practice and should include a complete review of body systems and functions. </w:t>
      </w:r>
    </w:p>
    <w:p w:rsidR="00130DA7" w:rsidRPr="004E28BB" w:rsidRDefault="00130DA7" w:rsidP="00D41D04">
      <w:pPr>
        <w:pStyle w:val="ListNumber3"/>
      </w:pPr>
      <w:bookmarkStart w:id="159" w:name="TBID1jPain"/>
      <w:bookmarkStart w:id="160" w:name="_Toc394643240"/>
      <w:bookmarkEnd w:id="159"/>
      <w:r w:rsidRPr="004E28BB">
        <w:rPr>
          <w:rStyle w:val="Guide3-abcdChar"/>
        </w:rPr>
        <w:t>Pain Diagnosis</w:t>
      </w:r>
      <w:bookmarkEnd w:id="160"/>
      <w:r w:rsidRPr="004E28BB">
        <w:t xml:space="preserve">: </w:t>
      </w:r>
      <w:r w:rsidR="001B6189">
        <w:t>R</w:t>
      </w:r>
      <w:r w:rsidRPr="004E28BB">
        <w:t>ecommended</w:t>
      </w:r>
      <w:r w:rsidR="001B6189">
        <w:t>,</w:t>
      </w:r>
      <w:r w:rsidRPr="004E28BB">
        <w:t xml:space="preserve"> especially during the first visit to document all body parts involved.</w:t>
      </w:r>
    </w:p>
    <w:p w:rsidR="00FE7026" w:rsidRPr="004E28BB" w:rsidRDefault="00FE7026" w:rsidP="00387A03">
      <w:pPr>
        <w:pStyle w:val="ListNumber4"/>
        <w:numPr>
          <w:ilvl w:val="2"/>
          <w:numId w:val="9"/>
        </w:numPr>
        <w:tabs>
          <w:tab w:val="left" w:pos="8190"/>
        </w:tabs>
      </w:pPr>
      <w:bookmarkStart w:id="161" w:name="TBID1kPsych"/>
      <w:bookmarkStart w:id="162" w:name="_Toc319922470"/>
      <w:bookmarkStart w:id="163" w:name="_Toc394643241"/>
      <w:bookmarkEnd w:id="161"/>
      <w:r w:rsidRPr="004E28BB">
        <w:rPr>
          <w:rStyle w:val="Guide3-abcdChar"/>
        </w:rPr>
        <w:t xml:space="preserve">Psychiatric </w:t>
      </w:r>
      <w:r w:rsidR="00E807ED">
        <w:rPr>
          <w:rStyle w:val="Guide3-abcdChar"/>
        </w:rPr>
        <w:t>H</w:t>
      </w:r>
      <w:r w:rsidRPr="004E28BB">
        <w:rPr>
          <w:rStyle w:val="Guide3-abcdChar"/>
        </w:rPr>
        <w:t>istory</w:t>
      </w:r>
      <w:bookmarkEnd w:id="163"/>
      <w:r w:rsidR="00E807ED" w:rsidRPr="004E28BB">
        <w:t>:</w:t>
      </w:r>
      <w:r w:rsidRPr="001B6189">
        <w:t xml:space="preserve"> </w:t>
      </w:r>
      <w:r w:rsidR="001B6189">
        <w:rPr>
          <w:rStyle w:val="ListNumber3Char1"/>
        </w:rPr>
        <w:t>S</w:t>
      </w:r>
      <w:r w:rsidRPr="004E28BB">
        <w:rPr>
          <w:rStyle w:val="ListNumber3Char1"/>
        </w:rPr>
        <w:t xml:space="preserve">hould be assessed at the initial visit and at follow-up visits. Depression and anxiety are common conditions following TBI, and symptoms may be subtle or unapparent unless directly assessed. Individuals may not always present with complaints of sadness or anxiety, but instead may endorse other symptoms that are commonly seen in clinical depression or anxiety, particularly disturbances of sleep and energy. Many individuals also tend to focus on somatic complaints that do not always correlate with objective findings. Therefore, it is crucial to question the individual and their </w:t>
      </w:r>
      <w:r w:rsidR="00387A03">
        <w:rPr>
          <w:rStyle w:val="ListNumber3Char1"/>
        </w:rPr>
        <w:t>family and/or support system</w:t>
      </w:r>
      <w:r w:rsidRPr="004E28BB">
        <w:rPr>
          <w:rStyle w:val="ListNumber3Char1"/>
        </w:rPr>
        <w:t xml:space="preserve"> about significant changes in appetite, sleep disturbances, decreased interest in pleasurable activities, loss of energy, diminished ability to think or concentrate, irritability, and suicidal ideation</w:t>
      </w:r>
      <w:r w:rsidR="001B6189">
        <w:rPr>
          <w:rStyle w:val="ListNumber3Char1"/>
        </w:rPr>
        <w:t>,</w:t>
      </w:r>
      <w:r w:rsidRPr="004E28BB">
        <w:rPr>
          <w:rStyle w:val="ListNumber3Char1"/>
        </w:rPr>
        <w:t xml:space="preserve"> as well as feeling</w:t>
      </w:r>
      <w:r w:rsidR="001B6189">
        <w:rPr>
          <w:rStyle w:val="ListNumber3Char1"/>
        </w:rPr>
        <w:t>s of</w:t>
      </w:r>
      <w:r w:rsidRPr="004E28BB">
        <w:rPr>
          <w:rStyle w:val="ListNumber3Char1"/>
        </w:rPr>
        <w:t xml:space="preserve"> empt</w:t>
      </w:r>
      <w:r w:rsidR="001B6189">
        <w:rPr>
          <w:rStyle w:val="ListNumber3Char1"/>
        </w:rPr>
        <w:t>iness</w:t>
      </w:r>
      <w:r w:rsidRPr="004E28BB">
        <w:rPr>
          <w:rStyle w:val="ListNumber3Char1"/>
        </w:rPr>
        <w:t>, worthless</w:t>
      </w:r>
      <w:r w:rsidR="001B6189">
        <w:rPr>
          <w:rStyle w:val="ListNumber3Char1"/>
        </w:rPr>
        <w:t>ness</w:t>
      </w:r>
      <w:r w:rsidRPr="004E28BB">
        <w:rPr>
          <w:rStyle w:val="ListNumber3Char1"/>
        </w:rPr>
        <w:t>, and excessive guilt</w:t>
      </w:r>
      <w:r w:rsidRPr="004E28BB">
        <w:t xml:space="preserve">. </w:t>
      </w:r>
    </w:p>
    <w:p w:rsidR="00FE7026" w:rsidRPr="004E28BB" w:rsidRDefault="00FE7026" w:rsidP="00D41D04">
      <w:pPr>
        <w:pStyle w:val="ListNumber2"/>
      </w:pPr>
      <w:bookmarkStart w:id="164" w:name="_Toc394643242"/>
      <w:r w:rsidRPr="004E28BB">
        <w:rPr>
          <w:rStyle w:val="Guide2-123Char"/>
        </w:rPr>
        <w:t>PHYSICAL EXAMINATION</w:t>
      </w:r>
      <w:bookmarkEnd w:id="162"/>
      <w:bookmarkEnd w:id="164"/>
      <w:r w:rsidR="00936853" w:rsidRPr="004E28BB">
        <w:t>:</w:t>
      </w:r>
      <w:r w:rsidRPr="004E28BB">
        <w:t xml:space="preserve"> </w:t>
      </w:r>
      <w:r w:rsidR="001B6189">
        <w:t>A</w:t>
      </w:r>
      <w:r w:rsidRPr="004E28BB">
        <w:t xml:space="preserve"> well-accepted practice and should be performed by a qualified practitioner.</w:t>
      </w:r>
      <w:r w:rsidR="00130DA7" w:rsidRPr="004E28BB">
        <w:t xml:space="preserve"> A thorough trauma exam should be done </w:t>
      </w:r>
      <w:r w:rsidR="001B6189">
        <w:t>during</w:t>
      </w:r>
      <w:r w:rsidR="00130DA7" w:rsidRPr="004E28BB">
        <w:t xml:space="preserve"> the initial exam and the first follow</w:t>
      </w:r>
      <w:r w:rsidR="001B6189">
        <w:t>-</w:t>
      </w:r>
      <w:r w:rsidR="00130DA7" w:rsidRPr="004E28BB">
        <w:t>up visit to assure all complaints are addressed.</w:t>
      </w:r>
    </w:p>
    <w:p w:rsidR="00FE7026" w:rsidRPr="004E28BB" w:rsidRDefault="00FE7026" w:rsidP="00D41D04">
      <w:pPr>
        <w:pStyle w:val="ListNumber2"/>
      </w:pPr>
      <w:bookmarkStart w:id="165" w:name="_Toc319922471"/>
      <w:bookmarkStart w:id="166" w:name="_Toc394643243"/>
      <w:r w:rsidRPr="004E28BB">
        <w:rPr>
          <w:rStyle w:val="Guide2-123Char"/>
        </w:rPr>
        <w:t>NEUROLOGICAL EXAMINATION</w:t>
      </w:r>
      <w:bookmarkEnd w:id="165"/>
      <w:bookmarkEnd w:id="166"/>
      <w:r w:rsidR="00936853" w:rsidRPr="004E28BB">
        <w:t>:</w:t>
      </w:r>
      <w:r w:rsidRPr="004E28BB">
        <w:t xml:space="preserve"> </w:t>
      </w:r>
      <w:r w:rsidR="00936853">
        <w:t>S</w:t>
      </w:r>
      <w:r w:rsidRPr="004E28BB">
        <w:t>hould be performed by a qualified practitioner, and should include a mental status examination. A comprehensive neurological examination includes</w:t>
      </w:r>
      <w:r w:rsidR="001B6189">
        <w:t>,</w:t>
      </w:r>
      <w:r w:rsidRPr="004E28BB">
        <w:t xml:space="preserve"> but is not limited to</w:t>
      </w:r>
      <w:r w:rsidR="001B6189">
        <w:t>,</w:t>
      </w:r>
      <w:r w:rsidRPr="004E28BB">
        <w:t xml:space="preserve"> mental status, cranial nerves, motor status, sensory status, </w:t>
      </w:r>
      <w:r w:rsidRPr="004E28BB">
        <w:lastRenderedPageBreak/>
        <w:t>balance and coordination, gait and station.</w:t>
      </w:r>
      <w:r w:rsidR="00D72934" w:rsidRPr="004E28BB">
        <w:t xml:space="preserve"> </w:t>
      </w:r>
      <w:r w:rsidRPr="004E28BB">
        <w:t xml:space="preserve">The mental status examination involves both formal and </w:t>
      </w:r>
      <w:r w:rsidR="001B6189">
        <w:t>in</w:t>
      </w:r>
      <w:r w:rsidRPr="004E28BB">
        <w:t>formal observations. It includes observations about the individual’s presentation, social/behavioral decorum, personal hygiene, ability to provide a history, and ability to follow directions. A formal (structured) cognitive examination should be performed to the extent indicated by the situation. It includes an assessment of the individual’s alertness, orientation, attention, concentration, memory, affect, mood, thought process and content, language, ability to perform simple calculations, and higher order assessments of reasoning, judgment, and insight</w:t>
      </w:r>
      <w:r w:rsidR="0023002A" w:rsidRPr="004E28BB">
        <w:rPr>
          <w:rStyle w:val="GuideCitesCharChar"/>
        </w:rPr>
        <w:t xml:space="preserve"> </w:t>
      </w:r>
      <w:r w:rsidRPr="00F51CDC">
        <w:rPr>
          <w:rStyle w:val="GuideCitesCharChar"/>
          <w:highlight w:val="yellow"/>
        </w:rPr>
        <w:t>(</w:t>
      </w:r>
      <w:hyperlink w:anchor="Guskiewicz1996" w:history="1">
        <w:r w:rsidRPr="00852CC9">
          <w:rPr>
            <w:rStyle w:val="Hyperlink"/>
            <w:rFonts w:cs="Arial"/>
            <w:highlight w:val="yellow"/>
          </w:rPr>
          <w:t>Guskiewicz, 1996</w:t>
        </w:r>
      </w:hyperlink>
      <w:r w:rsidRPr="00F51CDC">
        <w:rPr>
          <w:rStyle w:val="GuideCitesCharChar"/>
          <w:highlight w:val="yellow"/>
        </w:rPr>
        <w:t xml:space="preserve">, </w:t>
      </w:r>
      <w:hyperlink w:anchor="Guskiewicz2011" w:history="1">
        <w:r w:rsidRPr="00852CC9">
          <w:rPr>
            <w:rStyle w:val="Hyperlink"/>
            <w:rFonts w:cs="Arial"/>
            <w:highlight w:val="yellow"/>
          </w:rPr>
          <w:t>2011</w:t>
        </w:r>
      </w:hyperlink>
      <w:r w:rsidRPr="00F51CDC">
        <w:rPr>
          <w:rStyle w:val="GuideCitesCharChar"/>
          <w:highlight w:val="yellow"/>
        </w:rPr>
        <w:t>)</w:t>
      </w:r>
      <w:r w:rsidR="00B30BDE" w:rsidRPr="004E28BB">
        <w:t xml:space="preserve">. </w:t>
      </w:r>
      <w:r w:rsidR="00130DA7" w:rsidRPr="004E28BB">
        <w:t>Using a standard approach for all visits assists se</w:t>
      </w:r>
      <w:r w:rsidR="00D13473">
        <w:t>ri</w:t>
      </w:r>
      <w:r w:rsidR="00130DA7" w:rsidRPr="004E28BB">
        <w:t xml:space="preserve">al functional </w:t>
      </w:r>
      <w:r w:rsidR="00B30BDE" w:rsidRPr="004E28BB">
        <w:t>assessment</w:t>
      </w:r>
      <w:r w:rsidR="00130DA7" w:rsidRPr="004E28BB">
        <w:t>.</w:t>
      </w:r>
    </w:p>
    <w:p w:rsidR="00FE7026" w:rsidRPr="004E28BB" w:rsidRDefault="00FE7026" w:rsidP="00D41D04">
      <w:pPr>
        <w:pStyle w:val="ListNumber2"/>
      </w:pPr>
      <w:bookmarkStart w:id="167" w:name="_Toc319922472"/>
      <w:bookmarkStart w:id="168" w:name="_Toc394643244"/>
      <w:r w:rsidRPr="004E28BB">
        <w:rPr>
          <w:rStyle w:val="Guide2-123Char"/>
        </w:rPr>
        <w:t>INITIAL NEUROPSYCHOLOGICAL ASSESSMENT</w:t>
      </w:r>
      <w:bookmarkEnd w:id="167"/>
      <w:bookmarkEnd w:id="168"/>
      <w:r w:rsidR="00936853" w:rsidRPr="004E28BB">
        <w:t>:</w:t>
      </w:r>
      <w:r w:rsidRPr="004E28BB">
        <w:t xml:space="preserve"> </w:t>
      </w:r>
      <w:r w:rsidR="00936853">
        <w:t>T</w:t>
      </w:r>
      <w:r w:rsidRPr="004E28BB">
        <w:t xml:space="preserve">he evaluation of cognitive processes and behavior, using psychological and neuropsychological testing to assess central nervous system function and to diagnose specific behavioral or cognitive deficits or disorders. </w:t>
      </w:r>
      <w:r w:rsidR="00344ADC">
        <w:t>Neuropsychological assessments</w:t>
      </w:r>
      <w:r w:rsidRPr="004E28BB">
        <w:t xml:space="preserve"> </w:t>
      </w:r>
      <w:r w:rsidR="00344ADC">
        <w:t xml:space="preserve">are </w:t>
      </w:r>
      <w:r w:rsidRPr="004E28BB">
        <w:t xml:space="preserve">generally accepted and widely used as a valuable component of the diagnosis and management of individuals with </w:t>
      </w:r>
      <w:r w:rsidR="0056633D">
        <w:t>TBI</w:t>
      </w:r>
      <w:r w:rsidRPr="004E28BB">
        <w:t xml:space="preserve">. </w:t>
      </w:r>
      <w:r w:rsidR="00344ADC">
        <w:t>They</w:t>
      </w:r>
      <w:r w:rsidRPr="004E28BB">
        <w:t xml:space="preserve"> include sensitive tests that are used to detect cognitive deficits, severity of impairment, and improvement over time. Neuropsychological assessment assists in the differential diagnosis of neurobehavioral disorders, and the cumulative effect of multiple </w:t>
      </w:r>
      <w:r w:rsidR="0056633D">
        <w:t>TBI</w:t>
      </w:r>
      <w:r w:rsidRPr="004E28BB">
        <w:t>s.</w:t>
      </w:r>
      <w:r w:rsidRPr="004E28BB">
        <w:br/>
      </w:r>
      <w:r w:rsidRPr="004E28BB">
        <w:br/>
        <w:t>Neuropsychological assessment</w:t>
      </w:r>
      <w:r w:rsidR="00344ADC">
        <w:t>s</w:t>
      </w:r>
      <w:r w:rsidRPr="004E28BB">
        <w:t xml:space="preserve"> may be utilized to formulate how the individual's underlying </w:t>
      </w:r>
      <w:r w:rsidR="0056633D">
        <w:t>TBI</w:t>
      </w:r>
      <w:r w:rsidRPr="004E28BB">
        <w:t xml:space="preserve"> impacts behavior and the ability to function effectively in daily life. Neuropsychological assessment</w:t>
      </w:r>
      <w:r w:rsidR="00344ADC">
        <w:t>s</w:t>
      </w:r>
      <w:r w:rsidRPr="004E28BB">
        <w:t xml:space="preserve"> are also used as a basis for formulating rehabilitation strategies, and may provide information related to prognosis and outcome. </w:t>
      </w:r>
      <w:r w:rsidRPr="004E28BB">
        <w:br/>
      </w:r>
      <w:r w:rsidRPr="004E28BB">
        <w:br/>
        <w:t>Neuropsychological assessment</w:t>
      </w:r>
      <w:r w:rsidR="00344ADC">
        <w:t>s</w:t>
      </w:r>
      <w:r w:rsidRPr="004E28BB">
        <w:t xml:space="preserve"> utilize standardized testing procedures. Test reliability and validity are important considerations. Examiners should be aware that abnormal cognitive function could occur in the setting of chronic pain, psychological disorders, fatigue, medication use, malingering, developmental/intellectual disabilities, acute or chronic substance abuse, and co</w:t>
      </w:r>
      <w:r w:rsidR="00B12D8D">
        <w:t>-</w:t>
      </w:r>
      <w:r w:rsidRPr="004E28BB">
        <w:t>morbid or pre-existing cognitive or neurologic disorders.</w:t>
      </w:r>
      <w:r w:rsidR="00E96BC2" w:rsidRPr="004E28BB">
        <w:t xml:space="preserve"> In cases where co-morbid diagnoses are suspected, formal psychological evaluation should accompany the neuropsychological battery in order to assist in characterization and differentiation of diagnoses.</w:t>
      </w:r>
      <w:r w:rsidRPr="004E28BB">
        <w:t xml:space="preserve"> Multiple sources of data (self-report information, medical history, psychosocial history, family report, etc.) are integrated with test performance factors to draw inferences about brain-behavior relationships. The individual’s cultural background, race, age, and developmental and educational history including primary language should be considered. When practical, educational records including history of learning disability should be obtained and reviewed.</w:t>
      </w:r>
      <w:r w:rsidRPr="004E28BB">
        <w:br/>
      </w:r>
      <w:r w:rsidRPr="004E28BB">
        <w:br/>
        <w:t>The specific neuropsychologic</w:t>
      </w:r>
      <w:r w:rsidR="00344ADC">
        <w:t>al</w:t>
      </w:r>
      <w:r w:rsidRPr="004E28BB">
        <w:t xml:space="preserve"> tests used may vary according to the neurologic intactness of the individual and the purpose of the evaluation. Tests usually assess the following cognitive domains: level of orientation, attention, language, memory, praxis, executive function, speed of processing, visual-spatial</w:t>
      </w:r>
      <w:r w:rsidR="00D13473">
        <w:t xml:space="preserve"> ability</w:t>
      </w:r>
      <w:r w:rsidRPr="004E28BB">
        <w:t xml:space="preserve">, recognition, personality, and function. All reports should include a clinical interview </w:t>
      </w:r>
      <w:r w:rsidR="00344ADC">
        <w:t>that</w:t>
      </w:r>
      <w:r w:rsidR="00344ADC" w:rsidRPr="004E28BB">
        <w:t xml:space="preserve"> </w:t>
      </w:r>
      <w:r w:rsidRPr="004E28BB">
        <w:t>notes the patient and family medical/psychiatric/substance abuse history, development</w:t>
      </w:r>
      <w:r w:rsidR="00344ADC">
        <w:t>al</w:t>
      </w:r>
      <w:r w:rsidRPr="004E28BB">
        <w:t xml:space="preserve"> milestones, educational history, psychosocial issues</w:t>
      </w:r>
      <w:r w:rsidR="00344ADC">
        <w:t>,</w:t>
      </w:r>
      <w:r w:rsidRPr="004E28BB">
        <w:t xml:space="preserve"> and current medical conditions and treatment. Interpretation of these tests should always discuss the impact of information from the clinical interview that might </w:t>
      </w:r>
      <w:r w:rsidR="00344ADC">
        <w:t>a</w:t>
      </w:r>
      <w:r w:rsidRPr="004E28BB">
        <w:t>ffect test results, such as medications causing confusion or drowsiness, fatigue from lack of sleep, anxiety, depression and similar issues.</w:t>
      </w:r>
    </w:p>
    <w:p w:rsidR="00FE7026" w:rsidRPr="004E28BB" w:rsidRDefault="00FE7026" w:rsidP="00D41D04">
      <w:pPr>
        <w:pStyle w:val="ListNumber3"/>
      </w:pPr>
      <w:bookmarkStart w:id="169" w:name="_Toc319922473"/>
      <w:bookmarkStart w:id="170" w:name="_Toc394643245"/>
      <w:r w:rsidRPr="004E28BB">
        <w:rPr>
          <w:rStyle w:val="Guide3-abcdChar"/>
        </w:rPr>
        <w:t>Initial Neuropsychological Assessment –</w:t>
      </w:r>
      <w:r w:rsidR="00936853">
        <w:rPr>
          <w:rStyle w:val="Guide3-abcdChar"/>
        </w:rPr>
        <w:t xml:space="preserve"> </w:t>
      </w:r>
      <w:r w:rsidRPr="004E28BB">
        <w:rPr>
          <w:rStyle w:val="Guide3-abcdChar"/>
        </w:rPr>
        <w:t>MTBI</w:t>
      </w:r>
      <w:bookmarkEnd w:id="169"/>
      <w:bookmarkEnd w:id="170"/>
      <w:r w:rsidRPr="004E28BB">
        <w:t>: The referral for neuropsychological assessment during the first month post-MTBI is advantageous for those patients meeting the indications below, in that it documents the attentional, memory, emotional status, and other cognitive deficits as well as cognitive strengths and preserved cognitive capabilities. This provides a baseline for following the injury and permits the adequate documentation of the severity of the injury and improvements over time.</w:t>
      </w:r>
      <w:r w:rsidRPr="004E28BB">
        <w:br/>
      </w:r>
      <w:r w:rsidRPr="004E28BB">
        <w:lastRenderedPageBreak/>
        <w:br/>
        <w:t>Neuropsychological consultation is indicated in the acute setting for:</w:t>
      </w:r>
    </w:p>
    <w:p w:rsidR="00FE7026" w:rsidRPr="004E28BB" w:rsidRDefault="00FE7026" w:rsidP="00D41D04">
      <w:pPr>
        <w:ind w:left="2880" w:hanging="360"/>
      </w:pPr>
      <w:r w:rsidRPr="004E28BB">
        <w:t>●</w:t>
      </w:r>
      <w:r w:rsidRPr="004E28BB">
        <w:tab/>
        <w:t xml:space="preserve">Determining emergence from </w:t>
      </w:r>
      <w:r w:rsidR="00FA2FC4">
        <w:t>PTA</w:t>
      </w:r>
      <w:r w:rsidR="00936853">
        <w:t>.</w:t>
      </w:r>
    </w:p>
    <w:p w:rsidR="00FE7026" w:rsidRPr="004E28BB" w:rsidRDefault="00FE7026" w:rsidP="00D41D04">
      <w:pPr>
        <w:ind w:left="2880" w:hanging="360"/>
      </w:pPr>
      <w:r w:rsidRPr="004E28BB">
        <w:t>●</w:t>
      </w:r>
      <w:r w:rsidRPr="004E28BB">
        <w:tab/>
        <w:t>Documenting a post-injury baseline and the time course of improvements in attentional functioning, memory</w:t>
      </w:r>
      <w:r w:rsidR="00344ADC">
        <w:t>,</w:t>
      </w:r>
      <w:r w:rsidRPr="004E28BB">
        <w:t xml:space="preserve"> and executive functions in order to contribute to treatment planning</w:t>
      </w:r>
      <w:r w:rsidR="00936853">
        <w:t>.</w:t>
      </w:r>
    </w:p>
    <w:p w:rsidR="00FE7026" w:rsidRPr="004E28BB" w:rsidRDefault="00FE7026" w:rsidP="00D41D04">
      <w:pPr>
        <w:ind w:left="2880" w:hanging="360"/>
      </w:pPr>
      <w:r w:rsidRPr="004E28BB">
        <w:t>●</w:t>
      </w:r>
      <w:r w:rsidRPr="004E28BB">
        <w:tab/>
        <w:t xml:space="preserve">Providing relevant information regarding the individual’s current functioning in domains </w:t>
      </w:r>
      <w:r w:rsidR="00344ADC">
        <w:t xml:space="preserve">such as </w:t>
      </w:r>
      <w:r w:rsidRPr="004E28BB">
        <w:t xml:space="preserve">speed of information processing, memory, and executive functions. </w:t>
      </w:r>
      <w:r w:rsidR="00D13473">
        <w:t>A</w:t>
      </w:r>
      <w:r w:rsidRPr="004E28BB">
        <w:t xml:space="preserve"> test battery that permits serial testing focus</w:t>
      </w:r>
      <w:r w:rsidR="00344ADC">
        <w:t>ed</w:t>
      </w:r>
      <w:r w:rsidRPr="004E28BB">
        <w:t xml:space="preserve"> on attention/concentration skills, memory, speed of processing, executive functions, and emotional/personality status may be indicated</w:t>
      </w:r>
      <w:r w:rsidR="00936853">
        <w:t>.</w:t>
      </w:r>
    </w:p>
    <w:p w:rsidR="00FE7026" w:rsidRPr="004E28BB" w:rsidRDefault="00FE7026" w:rsidP="00D41D04">
      <w:pPr>
        <w:ind w:left="2160"/>
      </w:pPr>
      <w:r w:rsidRPr="004E28BB">
        <w:t>Individuals with MTBI should be considered for testing, in the following circumstances:</w:t>
      </w:r>
    </w:p>
    <w:p w:rsidR="00FE7026" w:rsidRPr="004E28BB" w:rsidRDefault="00FE7026" w:rsidP="00D41D04">
      <w:pPr>
        <w:ind w:left="2880" w:hanging="360"/>
      </w:pPr>
      <w:r w:rsidRPr="004E28BB">
        <w:t>●</w:t>
      </w:r>
      <w:r w:rsidRPr="004E28BB">
        <w:tab/>
      </w:r>
      <w:smartTag w:uri="urn:schemas-microsoft-com:office:smarttags" w:element="place">
        <w:smartTag w:uri="urn:schemas-microsoft-com:office:smarttags" w:element="City">
          <w:r w:rsidRPr="004E28BB">
            <w:t>Glasgow</w:t>
          </w:r>
        </w:smartTag>
      </w:smartTag>
      <w:r w:rsidRPr="004E28BB">
        <w:t xml:space="preserve"> </w:t>
      </w:r>
      <w:r w:rsidR="00567D45">
        <w:t>C</w:t>
      </w:r>
      <w:r w:rsidRPr="004E28BB">
        <w:t xml:space="preserve">oma </w:t>
      </w:r>
      <w:r w:rsidR="00567D45">
        <w:t>S</w:t>
      </w:r>
      <w:r w:rsidRPr="004E28BB">
        <w:t xml:space="preserve">cale less than 15 at </w:t>
      </w:r>
      <w:r w:rsidR="001B3B4C">
        <w:t>two</w:t>
      </w:r>
      <w:r w:rsidRPr="004E28BB">
        <w:t xml:space="preserve"> hours post</w:t>
      </w:r>
      <w:r w:rsidR="007843ED">
        <w:t>-</w:t>
      </w:r>
      <w:r w:rsidRPr="004E28BB">
        <w:t>injury</w:t>
      </w:r>
      <w:r w:rsidRPr="00184F43">
        <w:rPr>
          <w:rStyle w:val="GuideCitesCharChar"/>
        </w:rPr>
        <w:t xml:space="preserve"> </w:t>
      </w:r>
      <w:r w:rsidRPr="00F51CDC">
        <w:rPr>
          <w:rStyle w:val="GuideCitesCharChar"/>
          <w:highlight w:val="yellow"/>
        </w:rPr>
        <w:t>(</w:t>
      </w:r>
      <w:hyperlink w:anchor="NICE2007a" w:history="1">
        <w:r w:rsidRPr="00234FF0">
          <w:rPr>
            <w:rStyle w:val="Hyperlink"/>
            <w:rFonts w:cs="Arial"/>
            <w:highlight w:val="yellow"/>
          </w:rPr>
          <w:t>National Institute for Health and Clinical Excellence [NICE], 2007a</w:t>
        </w:r>
      </w:hyperlink>
      <w:r w:rsidRPr="00F51CDC">
        <w:rPr>
          <w:rStyle w:val="GuideCitesCharChar"/>
          <w:highlight w:val="yellow"/>
        </w:rPr>
        <w:t>,</w:t>
      </w:r>
      <w:hyperlink w:anchor="NICE2007b" w:history="1">
        <w:r w:rsidRPr="00234FF0">
          <w:rPr>
            <w:rStyle w:val="Hyperlink"/>
            <w:rFonts w:cs="Arial"/>
            <w:highlight w:val="yellow"/>
          </w:rPr>
          <w:t>b</w:t>
        </w:r>
      </w:hyperlink>
      <w:r w:rsidRPr="00F51CDC">
        <w:rPr>
          <w:rStyle w:val="GuideCitesCharChar"/>
          <w:highlight w:val="yellow"/>
        </w:rPr>
        <w:t>,</w:t>
      </w:r>
      <w:hyperlink w:anchor="NICE2007c" w:history="1">
        <w:r w:rsidRPr="00234FF0">
          <w:rPr>
            <w:rStyle w:val="Hyperlink"/>
            <w:rFonts w:cs="Arial"/>
            <w:highlight w:val="yellow"/>
          </w:rPr>
          <w:t>c</w:t>
        </w:r>
      </w:hyperlink>
      <w:r w:rsidRPr="00F51CDC">
        <w:rPr>
          <w:rStyle w:val="GuideCitesCharChar"/>
          <w:highlight w:val="yellow"/>
        </w:rPr>
        <w:t>)</w:t>
      </w:r>
      <w:r w:rsidR="00936853" w:rsidRPr="00184F43">
        <w:t>.</w:t>
      </w:r>
    </w:p>
    <w:p w:rsidR="00FE7026" w:rsidRPr="004E28BB" w:rsidRDefault="00FE7026" w:rsidP="00D41D04">
      <w:pPr>
        <w:ind w:left="2880" w:hanging="360"/>
      </w:pPr>
      <w:r w:rsidRPr="004E28BB">
        <w:t>●</w:t>
      </w:r>
      <w:r w:rsidRPr="004E28BB">
        <w:tab/>
        <w:t>Retrograde amnesia for events more than 30 minutes before injury</w:t>
      </w:r>
      <w:r w:rsidR="00936853">
        <w:t>.</w:t>
      </w:r>
    </w:p>
    <w:p w:rsidR="00FE7026" w:rsidRPr="004E28BB" w:rsidRDefault="00FE7026" w:rsidP="00D41D04">
      <w:pPr>
        <w:ind w:left="2880" w:hanging="360"/>
        <w:rPr>
          <w:i/>
        </w:rPr>
      </w:pPr>
      <w:r w:rsidRPr="004E28BB">
        <w:t>●</w:t>
      </w:r>
      <w:r w:rsidRPr="004E28BB">
        <w:tab/>
        <w:t xml:space="preserve">Injuries at the upper end of the mild continuum [duration of coma greater than </w:t>
      </w:r>
      <w:r w:rsidR="001B3B4C">
        <w:t>ten</w:t>
      </w:r>
      <w:r w:rsidRPr="004E28BB">
        <w:t xml:space="preserve"> minutes, duration of </w:t>
      </w:r>
      <w:r w:rsidR="00567D45">
        <w:t>p</w:t>
      </w:r>
      <w:r w:rsidRPr="004E28BB">
        <w:t>ost-</w:t>
      </w:r>
      <w:r w:rsidR="00567D45">
        <w:t>t</w:t>
      </w:r>
      <w:r w:rsidRPr="004E28BB">
        <w:t xml:space="preserve">raumatic </w:t>
      </w:r>
      <w:r w:rsidR="00567D45">
        <w:t>a</w:t>
      </w:r>
      <w:r w:rsidRPr="004E28BB">
        <w:t>mnesia (PTA) greater than four to six hours</w:t>
      </w:r>
      <w:r w:rsidR="00184F43">
        <w:t>]</w:t>
      </w:r>
      <w:r w:rsidR="00936853">
        <w:t>.</w:t>
      </w:r>
      <w:r w:rsidRPr="004E28BB">
        <w:t xml:space="preserve"> </w:t>
      </w:r>
    </w:p>
    <w:p w:rsidR="00FE7026" w:rsidRPr="004E28BB" w:rsidRDefault="00FE7026" w:rsidP="00D41D04">
      <w:pPr>
        <w:ind w:left="2880" w:hanging="360"/>
      </w:pPr>
      <w:r w:rsidRPr="004E28BB">
        <w:t>●</w:t>
      </w:r>
      <w:r w:rsidRPr="004E28BB">
        <w:tab/>
        <w:t>Other risk factors, such as very demanding or stressful vocations, or being employed in the current job for a short period of time</w:t>
      </w:r>
      <w:r w:rsidR="00936853">
        <w:t>.</w:t>
      </w:r>
    </w:p>
    <w:p w:rsidR="00FE7026" w:rsidRPr="004E28BB" w:rsidRDefault="00FE7026" w:rsidP="00D41D04">
      <w:pPr>
        <w:ind w:left="2880" w:hanging="360"/>
        <w:rPr>
          <w:i/>
        </w:rPr>
      </w:pPr>
      <w:r w:rsidRPr="004E28BB">
        <w:t>●</w:t>
      </w:r>
      <w:r w:rsidRPr="004E28BB">
        <w:tab/>
        <w:t>Age above 40 years</w:t>
      </w:r>
      <w:r w:rsidR="00936853">
        <w:t>.</w:t>
      </w:r>
      <w:r w:rsidRPr="004E28BB">
        <w:t xml:space="preserve"> </w:t>
      </w:r>
    </w:p>
    <w:p w:rsidR="00FE7026" w:rsidRPr="004E28BB" w:rsidRDefault="00FE7026" w:rsidP="00D41D04">
      <w:pPr>
        <w:ind w:left="2880" w:hanging="360"/>
      </w:pPr>
      <w:r w:rsidRPr="004E28BB">
        <w:t>●</w:t>
      </w:r>
      <w:r w:rsidRPr="004E28BB">
        <w:tab/>
        <w:t>Injury complicated by the presence of intracranial lesions, current or previous</w:t>
      </w:r>
      <w:r w:rsidR="00936853">
        <w:t>.</w:t>
      </w:r>
    </w:p>
    <w:p w:rsidR="00FE7026" w:rsidRPr="004E28BB" w:rsidRDefault="00FE7026" w:rsidP="00D41D04">
      <w:pPr>
        <w:ind w:left="2880" w:hanging="360"/>
      </w:pPr>
      <w:r w:rsidRPr="004E28BB">
        <w:t>●</w:t>
      </w:r>
      <w:r w:rsidRPr="004E28BB">
        <w:tab/>
        <w:t>History of prior brain injury, cognitive impairment</w:t>
      </w:r>
      <w:r w:rsidR="00567D45">
        <w:t>,</w:t>
      </w:r>
      <w:r w:rsidRPr="004E28BB">
        <w:t xml:space="preserve"> or developmental delay</w:t>
      </w:r>
      <w:r w:rsidR="00936853">
        <w:t>.</w:t>
      </w:r>
    </w:p>
    <w:p w:rsidR="00FE7026" w:rsidRPr="004E28BB" w:rsidRDefault="00FE7026" w:rsidP="00D41D04">
      <w:pPr>
        <w:ind w:left="2880" w:hanging="360"/>
      </w:pPr>
      <w:r w:rsidRPr="004E28BB">
        <w:t>●</w:t>
      </w:r>
      <w:r w:rsidRPr="004E28BB">
        <w:tab/>
        <w:t>Associated orthopedic, soft tissue, or organ injuries</w:t>
      </w:r>
      <w:r w:rsidR="00936853">
        <w:t>.</w:t>
      </w:r>
    </w:p>
    <w:p w:rsidR="00FE7026" w:rsidRPr="004E28BB" w:rsidRDefault="00FE7026" w:rsidP="00D41D04">
      <w:pPr>
        <w:ind w:left="2880" w:hanging="360"/>
      </w:pPr>
      <w:r w:rsidRPr="004E28BB">
        <w:t>●</w:t>
      </w:r>
      <w:r w:rsidRPr="004E28BB">
        <w:tab/>
        <w:t xml:space="preserve">The patient is not recovering from MTBI </w:t>
      </w:r>
      <w:r w:rsidR="00567D45">
        <w:t>with</w:t>
      </w:r>
      <w:r w:rsidRPr="004E28BB">
        <w:t>in the expected time frame</w:t>
      </w:r>
      <w:r w:rsidR="00936853">
        <w:t>.</w:t>
      </w:r>
    </w:p>
    <w:p w:rsidR="00FE7026" w:rsidRPr="004E28BB" w:rsidRDefault="00FE7026" w:rsidP="00D41D04">
      <w:pPr>
        <w:ind w:left="2160"/>
      </w:pPr>
      <w:r w:rsidRPr="004E28BB">
        <w:t xml:space="preserve">During the first three months after sustaining a </w:t>
      </w:r>
      <w:r w:rsidR="00FA0A79" w:rsidRPr="004E28BB">
        <w:t>MTBI</w:t>
      </w:r>
      <w:r w:rsidRPr="004E28BB">
        <w:t xml:space="preserve">, assessment with a full neuropsychological test battery may be relevant when issues include return to highly demanding and/or safety-sensitive positions or when there are complex questions related to differential diagnosis (brain injury versus other diagnosis). There should be a clear rationale for undertaking testing on any occasion, and the influence of practice effects should be considered in serial testing. </w:t>
      </w:r>
    </w:p>
    <w:p w:rsidR="00FE7026" w:rsidRPr="004E28BB" w:rsidRDefault="00FE7026" w:rsidP="00D41D04">
      <w:pPr>
        <w:pStyle w:val="ListNumber3"/>
      </w:pPr>
      <w:bookmarkStart w:id="171" w:name="_Toc319922474"/>
      <w:bookmarkStart w:id="172" w:name="_Toc394643246"/>
      <w:r w:rsidRPr="004E28BB">
        <w:rPr>
          <w:rStyle w:val="Guide3-abcdChar"/>
        </w:rPr>
        <w:t>Initial Neuropsychological Assessment – Moderate/</w:t>
      </w:r>
      <w:r w:rsidR="00F5511A">
        <w:rPr>
          <w:rStyle w:val="Guide3-abcdChar"/>
        </w:rPr>
        <w:t>S</w:t>
      </w:r>
      <w:r w:rsidRPr="004E28BB">
        <w:rPr>
          <w:rStyle w:val="Guide3-abcdChar"/>
        </w:rPr>
        <w:t>evere Traumatic Brain Injury</w:t>
      </w:r>
      <w:bookmarkEnd w:id="171"/>
      <w:bookmarkEnd w:id="172"/>
      <w:r w:rsidRPr="004E28BB">
        <w:t>:</w:t>
      </w:r>
    </w:p>
    <w:p w:rsidR="00FE7026" w:rsidRPr="004E28BB" w:rsidRDefault="00FE7026" w:rsidP="00D41D04">
      <w:pPr>
        <w:pStyle w:val="ListNumber4"/>
      </w:pPr>
      <w:r w:rsidRPr="004E28BB">
        <w:t xml:space="preserve">In the acute setting, neuropsychological consultation and assessment in moderate/severe </w:t>
      </w:r>
      <w:r w:rsidR="00567D45">
        <w:t>TBI</w:t>
      </w:r>
      <w:r w:rsidRPr="004E28BB">
        <w:t xml:space="preserve"> is indicated for:</w:t>
      </w:r>
    </w:p>
    <w:p w:rsidR="00FE7026" w:rsidRPr="004E28BB" w:rsidRDefault="00FE7026" w:rsidP="00D41D04">
      <w:pPr>
        <w:pStyle w:val="ListNumber5"/>
      </w:pPr>
      <w:r w:rsidRPr="004E28BB">
        <w:lastRenderedPageBreak/>
        <w:t xml:space="preserve">Determining emergence from </w:t>
      </w:r>
      <w:r w:rsidR="00FA2FC4">
        <w:t>PTA</w:t>
      </w:r>
      <w:r w:rsidR="00936853">
        <w:t>.</w:t>
      </w:r>
    </w:p>
    <w:p w:rsidR="00FE7026" w:rsidRPr="004E28BB" w:rsidRDefault="00FE7026" w:rsidP="00D41D04">
      <w:pPr>
        <w:pStyle w:val="ListNumber5"/>
      </w:pPr>
      <w:r w:rsidRPr="004E28BB">
        <w:t>Documenting the early course of improvements in attentional functioning, memory, visual-perceptual abilities, and language and executive functions. This information may be utilized in:</w:t>
      </w:r>
    </w:p>
    <w:p w:rsidR="00FE7026" w:rsidRPr="004E28BB" w:rsidRDefault="00FE7026" w:rsidP="00D41D04">
      <w:pPr>
        <w:ind w:left="4320" w:hanging="360"/>
      </w:pPr>
      <w:r w:rsidRPr="004E28BB">
        <w:t>●</w:t>
      </w:r>
      <w:r w:rsidRPr="004E28BB">
        <w:tab/>
        <w:t>Treatment planning and team consultation</w:t>
      </w:r>
      <w:r w:rsidR="00936853">
        <w:t>.</w:t>
      </w:r>
    </w:p>
    <w:p w:rsidR="00FE7026" w:rsidRPr="004E28BB" w:rsidRDefault="00FE7026" w:rsidP="00D41D04">
      <w:pPr>
        <w:ind w:left="4320" w:hanging="360"/>
      </w:pPr>
      <w:r w:rsidRPr="004E28BB">
        <w:t>●</w:t>
      </w:r>
      <w:r w:rsidRPr="004E28BB">
        <w:tab/>
        <w:t>Family</w:t>
      </w:r>
      <w:r w:rsidR="00567D45">
        <w:t xml:space="preserve"> and/or support system</w:t>
      </w:r>
      <w:r w:rsidRPr="004E28BB">
        <w:t xml:space="preserve"> education/support and use of community services</w:t>
      </w:r>
      <w:r w:rsidR="00936853">
        <w:t>.</w:t>
      </w:r>
    </w:p>
    <w:p w:rsidR="00FE7026" w:rsidRPr="004E28BB" w:rsidRDefault="00FE7026" w:rsidP="00D41D04">
      <w:pPr>
        <w:ind w:left="4320" w:hanging="360"/>
      </w:pPr>
      <w:r w:rsidRPr="004E28BB">
        <w:t>●</w:t>
      </w:r>
      <w:r w:rsidRPr="004E28BB">
        <w:tab/>
        <w:t>Education and/or psychotherapy</w:t>
      </w:r>
      <w:r w:rsidR="00936853">
        <w:t>.</w:t>
      </w:r>
    </w:p>
    <w:p w:rsidR="00FB1224" w:rsidRPr="004E28BB" w:rsidRDefault="00FB1224" w:rsidP="00FB1224">
      <w:pPr>
        <w:pStyle w:val="ListNumber5"/>
      </w:pPr>
      <w:r w:rsidRPr="004E28BB">
        <w:t>Education and counseling patients with pre-existing psychological issues or other history predi</w:t>
      </w:r>
      <w:r w:rsidR="005B1425" w:rsidRPr="004E28BB">
        <w:t>sp</w:t>
      </w:r>
      <w:r w:rsidRPr="004E28BB">
        <w:t xml:space="preserve">osing to </w:t>
      </w:r>
      <w:smartTag w:uri="urn:schemas-microsoft-com:office:smarttags" w:element="State">
        <w:smartTag w:uri="urn:schemas-microsoft-com:office:smarttags" w:element="place">
          <w:r w:rsidRPr="004E28BB">
            <w:t>del</w:t>
          </w:r>
        </w:smartTag>
      </w:smartTag>
      <w:r w:rsidRPr="004E28BB">
        <w:t>ayed recovery.</w:t>
      </w:r>
    </w:p>
    <w:p w:rsidR="00FE7026" w:rsidRPr="004E28BB" w:rsidRDefault="00FE7026" w:rsidP="00D41D04">
      <w:pPr>
        <w:pStyle w:val="ListNumber4"/>
      </w:pPr>
      <w:r w:rsidRPr="004E28BB">
        <w:t>During the sub</w:t>
      </w:r>
      <w:r w:rsidR="00567D45">
        <w:t>-</w:t>
      </w:r>
      <w:r w:rsidRPr="004E28BB">
        <w:t>acute phase</w:t>
      </w:r>
      <w:r w:rsidR="00D13473">
        <w:t>,</w:t>
      </w:r>
      <w:r w:rsidRPr="004E28BB">
        <w:t xml:space="preserve"> when cognitive/physical stamina is reduced</w:t>
      </w:r>
      <w:r w:rsidR="00D13473">
        <w:t>,</w:t>
      </w:r>
      <w:r w:rsidRPr="004E28BB">
        <w:t xml:space="preserve"> availability for testing may be limited due to medical priorities and other rehabilitation commitments.</w:t>
      </w:r>
      <w:r w:rsidRPr="004E28BB">
        <w:br/>
      </w:r>
      <w:r w:rsidRPr="004E28BB">
        <w:br/>
        <w:t>Selective neuropsychological testing may be indicated to:</w:t>
      </w:r>
    </w:p>
    <w:p w:rsidR="00FE7026" w:rsidRPr="004E28BB" w:rsidRDefault="00FE7026" w:rsidP="00D41D04">
      <w:pPr>
        <w:ind w:left="3600" w:hanging="360"/>
      </w:pPr>
      <w:r w:rsidRPr="004E28BB">
        <w:t>●</w:t>
      </w:r>
      <w:r w:rsidRPr="004E28BB">
        <w:tab/>
        <w:t>Identify cognitive strengths and weaknesses</w:t>
      </w:r>
      <w:r w:rsidR="00936853">
        <w:t>.</w:t>
      </w:r>
    </w:p>
    <w:p w:rsidR="00FE7026" w:rsidRPr="004E28BB" w:rsidRDefault="00FE7026" w:rsidP="00D41D04">
      <w:pPr>
        <w:ind w:left="3600" w:hanging="360"/>
      </w:pPr>
      <w:r w:rsidRPr="004E28BB">
        <w:t>●</w:t>
      </w:r>
      <w:r w:rsidRPr="004E28BB">
        <w:tab/>
        <w:t>Design treatment plans such as psychotherapy</w:t>
      </w:r>
      <w:r w:rsidR="00936853">
        <w:t>.</w:t>
      </w:r>
    </w:p>
    <w:p w:rsidR="00FE7026" w:rsidRPr="004E28BB" w:rsidRDefault="00FE7026" w:rsidP="00D41D04">
      <w:pPr>
        <w:ind w:left="3600" w:hanging="360"/>
      </w:pPr>
      <w:r w:rsidRPr="004E28BB">
        <w:t>●</w:t>
      </w:r>
      <w:r w:rsidRPr="004E28BB">
        <w:tab/>
        <w:t xml:space="preserve">Educate </w:t>
      </w:r>
      <w:r w:rsidR="00567D45">
        <w:t xml:space="preserve">the </w:t>
      </w:r>
      <w:r w:rsidRPr="004E28BB">
        <w:t xml:space="preserve">individual and </w:t>
      </w:r>
      <w:r w:rsidR="00387A03">
        <w:t>family and/or support system</w:t>
      </w:r>
      <w:r w:rsidRPr="004E28BB">
        <w:t xml:space="preserve"> about TBI</w:t>
      </w:r>
      <w:r w:rsidR="00936853">
        <w:t>.</w:t>
      </w:r>
    </w:p>
    <w:p w:rsidR="00FE7026" w:rsidRPr="004E28BB" w:rsidRDefault="00FE7026" w:rsidP="00D41D04">
      <w:pPr>
        <w:ind w:left="3600" w:hanging="360"/>
      </w:pPr>
      <w:r w:rsidRPr="004E28BB">
        <w:t>●</w:t>
      </w:r>
      <w:r w:rsidRPr="004E28BB">
        <w:tab/>
        <w:t>Assess or recommend behavioral management interventions</w:t>
      </w:r>
      <w:r w:rsidR="00936853">
        <w:t>.</w:t>
      </w:r>
    </w:p>
    <w:p w:rsidR="00FE7026" w:rsidRPr="004E28BB" w:rsidRDefault="00FE7026" w:rsidP="00D41D04">
      <w:pPr>
        <w:ind w:left="2880"/>
      </w:pPr>
      <w:r w:rsidRPr="004E28BB">
        <w:t xml:space="preserve">During this time period, test selection will be dependent on the individual’s neurobehavioral status and other aspects of </w:t>
      </w:r>
      <w:r w:rsidR="00567D45">
        <w:t>his/her</w:t>
      </w:r>
      <w:r w:rsidRPr="004E28BB">
        <w:t xml:space="preserve"> medical condition.</w:t>
      </w:r>
      <w:r w:rsidRPr="004E28BB">
        <w:br/>
      </w:r>
      <w:r w:rsidRPr="004E28BB">
        <w:br/>
        <w:t>Neuropsychological testing is often undertaken to identify treatment goals and to monitor progress over time. During this phase</w:t>
      </w:r>
      <w:r w:rsidR="00567D45">
        <w:t>,</w:t>
      </w:r>
      <w:r w:rsidRPr="004E28BB">
        <w:t xml:space="preserve"> descriptive psycho-educational testing is commonly performed in rehabilitation by </w:t>
      </w:r>
      <w:r w:rsidR="00567D45">
        <w:t>s</w:t>
      </w:r>
      <w:r w:rsidRPr="004E28BB">
        <w:t>peech-</w:t>
      </w:r>
      <w:r w:rsidR="00567D45">
        <w:t>l</w:t>
      </w:r>
      <w:r w:rsidRPr="004E28BB">
        <w:t xml:space="preserve">anguage </w:t>
      </w:r>
      <w:r w:rsidR="00567D45">
        <w:t>p</w:t>
      </w:r>
      <w:r w:rsidRPr="004E28BB">
        <w:t xml:space="preserve">athologists and </w:t>
      </w:r>
      <w:r w:rsidR="00567D45">
        <w:t>o</w:t>
      </w:r>
      <w:r w:rsidRPr="004E28BB">
        <w:t xml:space="preserve">ccupational </w:t>
      </w:r>
      <w:r w:rsidR="00567D45">
        <w:t>t</w:t>
      </w:r>
      <w:r w:rsidRPr="004E28BB">
        <w:t xml:space="preserve">herapists. </w:t>
      </w:r>
      <w:r w:rsidRPr="004E28BB">
        <w:br/>
      </w:r>
      <w:r w:rsidRPr="004E28BB">
        <w:br/>
        <w:t xml:space="preserve">Administration of a full neuropsychological test battery is not indicated in moderate/severe cases until the individual with TBI has clearly emerged from </w:t>
      </w:r>
      <w:r w:rsidR="00FA2FC4">
        <w:t>PTA</w:t>
      </w:r>
      <w:r w:rsidRPr="004E28BB">
        <w:t>. In most cases, administration of a full battery of neuropsychological tests should not be undertaken until attentional functioning has improved to the point where such extensive testing may be meaningfully und</w:t>
      </w:r>
      <w:r w:rsidR="00E96BC2" w:rsidRPr="004E28BB">
        <w:t>ertaken and will contribute</w:t>
      </w:r>
      <w:r w:rsidRPr="004E28BB">
        <w:t xml:space="preserve"> to long-term treatment planning and rehabilitation.</w:t>
      </w:r>
    </w:p>
    <w:p w:rsidR="00FE7026" w:rsidRDefault="00FE7026" w:rsidP="00D41D04">
      <w:pPr>
        <w:pStyle w:val="ListNumber3"/>
      </w:pPr>
      <w:bookmarkStart w:id="173" w:name="_Toc319922475"/>
      <w:bookmarkStart w:id="174" w:name="_Toc394643247"/>
      <w:r w:rsidRPr="004E28BB">
        <w:rPr>
          <w:rStyle w:val="Guide3-abcdChar"/>
        </w:rPr>
        <w:t>Post-Acute Testing</w:t>
      </w:r>
      <w:bookmarkEnd w:id="173"/>
      <w:bookmarkEnd w:id="174"/>
      <w:r w:rsidRPr="004E28BB">
        <w:t>: Once the individual’s behavior has improved in attentional disturbance, fatigue, pain from other injuries, and neurobehavioral disinhibition to the point where valid test data may be obtained, testing with a full neuropsychological test battery may be helpful.</w:t>
      </w:r>
    </w:p>
    <w:p w:rsidR="002E62A9" w:rsidRPr="004E28BB" w:rsidRDefault="002E62A9" w:rsidP="002E62A9">
      <w:pPr>
        <w:pStyle w:val="ListNumber3"/>
        <w:numPr>
          <w:ilvl w:val="0"/>
          <w:numId w:val="0"/>
        </w:numPr>
        <w:ind w:left="2160"/>
      </w:pPr>
    </w:p>
    <w:p w:rsidR="00FE7026" w:rsidRPr="004E28BB" w:rsidRDefault="00FE7026" w:rsidP="00D41D04">
      <w:pPr>
        <w:pStyle w:val="ListNumber2"/>
      </w:pPr>
      <w:bookmarkStart w:id="175" w:name="_Toc319922476"/>
      <w:bookmarkStart w:id="176" w:name="_Toc394643248"/>
      <w:r w:rsidRPr="004E28BB">
        <w:rPr>
          <w:rStyle w:val="Guide2-123Char"/>
        </w:rPr>
        <w:lastRenderedPageBreak/>
        <w:t>Initial IMAGING PROCEDURES</w:t>
      </w:r>
      <w:bookmarkEnd w:id="175"/>
      <w:bookmarkEnd w:id="176"/>
      <w:r w:rsidR="00936853" w:rsidRPr="004E28BB">
        <w:t>:</w:t>
      </w:r>
    </w:p>
    <w:p w:rsidR="00FE7026" w:rsidRPr="004E28BB" w:rsidRDefault="00FE7026" w:rsidP="00D41D04">
      <w:pPr>
        <w:pStyle w:val="ListNumber3"/>
      </w:pPr>
      <w:bookmarkStart w:id="177" w:name="TBID5aSkullXrays"/>
      <w:bookmarkStart w:id="178" w:name="_Toc319922477"/>
      <w:bookmarkStart w:id="179" w:name="_Toc394643249"/>
      <w:bookmarkEnd w:id="177"/>
      <w:r w:rsidRPr="004E28BB">
        <w:rPr>
          <w:rStyle w:val="Guide3-abcdChar"/>
        </w:rPr>
        <w:t>Skull X-Rays</w:t>
      </w:r>
      <w:bookmarkEnd w:id="178"/>
      <w:bookmarkEnd w:id="179"/>
      <w:r w:rsidRPr="004E28BB">
        <w:t xml:space="preserve">: </w:t>
      </w:r>
      <w:r w:rsidR="005B734B">
        <w:t>A</w:t>
      </w:r>
      <w:r w:rsidRPr="004E28BB">
        <w:t xml:space="preserve"> well-established diagnostic tools used to detect a fracture of the cranial vault. CT scanning is preferred if fractures are suspected because</w:t>
      </w:r>
      <w:r w:rsidR="00DD531A" w:rsidRPr="004E28BB">
        <w:t xml:space="preserve"> </w:t>
      </w:r>
      <w:r w:rsidR="0041067D" w:rsidRPr="004E28BB">
        <w:t xml:space="preserve">of </w:t>
      </w:r>
      <w:r w:rsidR="005B734B">
        <w:t>its</w:t>
      </w:r>
      <w:r w:rsidR="0041067D" w:rsidRPr="004E28BB">
        <w:t xml:space="preserve"> much higher sensitivity and accuracy compared to skull radiographs and </w:t>
      </w:r>
      <w:r w:rsidR="005B734B">
        <w:t>CT scanning’s</w:t>
      </w:r>
      <w:r w:rsidR="0041067D" w:rsidRPr="004E28BB">
        <w:t xml:space="preserve"> ability to identify </w:t>
      </w:r>
      <w:r w:rsidRPr="004E28BB">
        <w:t>clinically significant fracture</w:t>
      </w:r>
      <w:r w:rsidR="0041067D" w:rsidRPr="004E28BB">
        <w:t>s</w:t>
      </w:r>
      <w:r w:rsidRPr="004E28BB">
        <w:t xml:space="preserve"> as well as potentially co-existent contusion</w:t>
      </w:r>
      <w:r w:rsidR="0041067D" w:rsidRPr="004E28BB">
        <w:t>s</w:t>
      </w:r>
      <w:r w:rsidRPr="004E28BB">
        <w:t xml:space="preserve"> or hemorrhage</w:t>
      </w:r>
      <w:r w:rsidR="0041067D" w:rsidRPr="004E28BB">
        <w:t>s</w:t>
      </w:r>
      <w:r w:rsidRPr="004E28BB">
        <w:t xml:space="preserve">. Skull x-rays are generally accepted </w:t>
      </w:r>
      <w:r w:rsidR="0041067D" w:rsidRPr="004E28BB">
        <w:t xml:space="preserve">only </w:t>
      </w:r>
      <w:r w:rsidRPr="004E28BB">
        <w:t>if CT scans are not available</w:t>
      </w:r>
      <w:r w:rsidR="0041067D" w:rsidRPr="004E28BB">
        <w:t xml:space="preserve"> or in cases </w:t>
      </w:r>
      <w:r w:rsidR="005B734B">
        <w:t>where there is only a</w:t>
      </w:r>
      <w:r w:rsidR="0041067D" w:rsidRPr="004E28BB">
        <w:t xml:space="preserve"> low suspicion of intracranial injury</w:t>
      </w:r>
      <w:r w:rsidRPr="004E28BB">
        <w:t xml:space="preserve">. </w:t>
      </w:r>
    </w:p>
    <w:p w:rsidR="00FE7026" w:rsidRPr="004E28BB" w:rsidRDefault="00FE7026" w:rsidP="00D41D04">
      <w:pPr>
        <w:pStyle w:val="ListNumber3"/>
      </w:pPr>
      <w:bookmarkStart w:id="180" w:name="TBID5bComputedAxialTomography"/>
      <w:bookmarkStart w:id="181" w:name="_Toc319922478"/>
      <w:bookmarkStart w:id="182" w:name="_Toc394643250"/>
      <w:bookmarkEnd w:id="180"/>
      <w:r w:rsidRPr="004E28BB">
        <w:rPr>
          <w:rStyle w:val="Guide3-abcdChar"/>
        </w:rPr>
        <w:t>Computed Axial Tomography (CT)</w:t>
      </w:r>
      <w:bookmarkEnd w:id="181"/>
      <w:bookmarkEnd w:id="182"/>
      <w:r w:rsidRPr="004E28BB">
        <w:t xml:space="preserve">: </w:t>
      </w:r>
      <w:r w:rsidR="005B734B">
        <w:t>A</w:t>
      </w:r>
      <w:r w:rsidRPr="004E28BB">
        <w:t xml:space="preserve"> well-established brai</w:t>
      </w:r>
      <w:r w:rsidR="00411BA5" w:rsidRPr="004E28BB">
        <w:t>n imaging x-ray study comprised</w:t>
      </w:r>
      <w:r w:rsidRPr="004E28BB">
        <w:t xml:space="preserve"> of a mathematical reconstruction of the tissue densities of the brain, skull, and surrounding tissues. CT scans require the use of computer-based scanning equipment. For acute brain trauma, iodine contrast enhancement is not necessary. CT scans are noninvasive and will reveal the presence of blood, skull fracture, and/or structural changes in the brain.</w:t>
      </w:r>
      <w:r w:rsidR="00DD531A" w:rsidRPr="004E28BB">
        <w:t xml:space="preserve"> They do</w:t>
      </w:r>
      <w:r w:rsidR="005B734B">
        <w:t>,</w:t>
      </w:r>
      <w:r w:rsidR="00DD531A" w:rsidRPr="004E28BB">
        <w:t xml:space="preserve"> however, expose the patient to higher doses of ionizing radiation than skull radiographs.</w:t>
      </w:r>
      <w:r w:rsidRPr="004E28BB">
        <w:t xml:space="preserve"> CT scans provide</w:t>
      </w:r>
      <w:r w:rsidR="00DD531A" w:rsidRPr="004E28BB">
        <w:t xml:space="preserve"> somewhat limited information compared to MRI</w:t>
      </w:r>
      <w:r w:rsidRPr="004E28BB">
        <w:t xml:space="preserve"> about intrinsic cerebral damage </w:t>
      </w:r>
      <w:r w:rsidR="00DD531A" w:rsidRPr="004E28BB">
        <w:t xml:space="preserve">involving deep brain structures, although many types of intrinsic damages can be seen on </w:t>
      </w:r>
      <w:smartTag w:uri="urn:schemas-microsoft-com:office:smarttags" w:element="City">
        <w:r w:rsidR="00DD531A" w:rsidRPr="004E28BB">
          <w:t>CT</w:t>
        </w:r>
      </w:smartTag>
      <w:r w:rsidR="00DD531A" w:rsidRPr="004E28BB">
        <w:t xml:space="preserve"> scans.</w:t>
      </w:r>
      <w:r w:rsidRPr="004E28BB">
        <w:br/>
      </w:r>
      <w:r w:rsidRPr="004E28BB">
        <w:br/>
      </w:r>
      <w:smartTag w:uri="urn:schemas-microsoft-com:office:smarttags" w:element="State">
        <w:r w:rsidRPr="004E28BB">
          <w:t>CT</w:t>
        </w:r>
      </w:smartTag>
      <w:r w:rsidRPr="004E28BB">
        <w:t xml:space="preserve"> scans are widely accepted for acute diagnostic purposes and for planning acute treatment. They are the screening image of choice in acute brain injury and are used to assess the need for neurosurgical intervention. CT scans are recommended for abnormal mental status [</w:t>
      </w:r>
      <w:r w:rsidR="00D16BB6">
        <w:t>GCS</w:t>
      </w:r>
      <w:r w:rsidRPr="004E28BB">
        <w:t xml:space="preserve"> less than 13 on admission]</w:t>
      </w:r>
      <w:r w:rsidRPr="004E28BB">
        <w:rPr>
          <w:rStyle w:val="GuideCitesCharChar"/>
        </w:rPr>
        <w:t xml:space="preserve"> </w:t>
      </w:r>
      <w:r w:rsidRPr="00635F23">
        <w:rPr>
          <w:rStyle w:val="GuideCitesCharChar"/>
          <w:highlight w:val="yellow"/>
        </w:rPr>
        <w:t>(</w:t>
      </w:r>
      <w:hyperlink w:anchor="ACEP2008" w:history="1">
        <w:r w:rsidRPr="009B142B">
          <w:rPr>
            <w:rStyle w:val="Hyperlink"/>
            <w:rFonts w:cs="Arial"/>
            <w:highlight w:val="yellow"/>
          </w:rPr>
          <w:t>A</w:t>
        </w:r>
        <w:r w:rsidR="003A46A6" w:rsidRPr="009B142B">
          <w:rPr>
            <w:rStyle w:val="Hyperlink"/>
            <w:rFonts w:cs="Arial"/>
            <w:highlight w:val="yellow"/>
          </w:rPr>
          <w:t xml:space="preserve">merican </w:t>
        </w:r>
        <w:r w:rsidRPr="009B142B">
          <w:rPr>
            <w:rStyle w:val="Hyperlink"/>
            <w:rFonts w:cs="Arial"/>
            <w:highlight w:val="yellow"/>
          </w:rPr>
          <w:t>C</w:t>
        </w:r>
        <w:r w:rsidR="003A46A6" w:rsidRPr="009B142B">
          <w:rPr>
            <w:rStyle w:val="Hyperlink"/>
            <w:rFonts w:cs="Arial"/>
            <w:highlight w:val="yellow"/>
          </w:rPr>
          <w:t xml:space="preserve">ollege of </w:t>
        </w:r>
        <w:r w:rsidRPr="009B142B">
          <w:rPr>
            <w:rStyle w:val="Hyperlink"/>
            <w:rFonts w:cs="Arial"/>
            <w:highlight w:val="yellow"/>
          </w:rPr>
          <w:t>E</w:t>
        </w:r>
        <w:r w:rsidR="003A46A6" w:rsidRPr="009B142B">
          <w:rPr>
            <w:rStyle w:val="Hyperlink"/>
            <w:rFonts w:cs="Arial"/>
            <w:highlight w:val="yellow"/>
          </w:rPr>
          <w:t xml:space="preserve">mergency </w:t>
        </w:r>
        <w:r w:rsidRPr="009B142B">
          <w:rPr>
            <w:rStyle w:val="Hyperlink"/>
            <w:rFonts w:cs="Arial"/>
            <w:highlight w:val="yellow"/>
          </w:rPr>
          <w:t>P</w:t>
        </w:r>
        <w:r w:rsidR="003A46A6" w:rsidRPr="009B142B">
          <w:rPr>
            <w:rStyle w:val="Hyperlink"/>
            <w:rFonts w:cs="Arial"/>
            <w:highlight w:val="yellow"/>
          </w:rPr>
          <w:t>hysicians [ACEP]</w:t>
        </w:r>
        <w:r w:rsidRPr="009B142B">
          <w:rPr>
            <w:rStyle w:val="Hyperlink"/>
            <w:rFonts w:cs="Arial"/>
            <w:highlight w:val="yellow"/>
          </w:rPr>
          <w:t>, C</w:t>
        </w:r>
        <w:r w:rsidR="003A46A6" w:rsidRPr="009B142B">
          <w:rPr>
            <w:rStyle w:val="Hyperlink"/>
            <w:rFonts w:cs="Arial"/>
            <w:highlight w:val="yellow"/>
          </w:rPr>
          <w:t xml:space="preserve">enters for </w:t>
        </w:r>
        <w:r w:rsidRPr="009B142B">
          <w:rPr>
            <w:rStyle w:val="Hyperlink"/>
            <w:rFonts w:cs="Arial"/>
            <w:highlight w:val="yellow"/>
          </w:rPr>
          <w:t>D</w:t>
        </w:r>
        <w:r w:rsidR="003A46A6" w:rsidRPr="009B142B">
          <w:rPr>
            <w:rStyle w:val="Hyperlink"/>
            <w:rFonts w:cs="Arial"/>
            <w:highlight w:val="yellow"/>
          </w:rPr>
          <w:t xml:space="preserve">isease </w:t>
        </w:r>
        <w:r w:rsidRPr="009B142B">
          <w:rPr>
            <w:rStyle w:val="Hyperlink"/>
            <w:rFonts w:cs="Arial"/>
            <w:highlight w:val="yellow"/>
          </w:rPr>
          <w:t>C</w:t>
        </w:r>
        <w:r w:rsidR="003A46A6" w:rsidRPr="009B142B">
          <w:rPr>
            <w:rStyle w:val="Hyperlink"/>
            <w:rFonts w:cs="Arial"/>
            <w:highlight w:val="yellow"/>
          </w:rPr>
          <w:t>ontrol and Prevention [CDC]</w:t>
        </w:r>
        <w:r w:rsidRPr="009B142B">
          <w:rPr>
            <w:rStyle w:val="Hyperlink"/>
            <w:rFonts w:cs="Arial"/>
            <w:highlight w:val="yellow"/>
          </w:rPr>
          <w:t>, Jagoda et al., 2008</w:t>
        </w:r>
      </w:hyperlink>
      <w:r w:rsidRPr="00635F23">
        <w:rPr>
          <w:rStyle w:val="GuideCitesCharChar"/>
          <w:highlight w:val="yellow"/>
        </w:rPr>
        <w:t xml:space="preserve">; </w:t>
      </w:r>
      <w:hyperlink w:anchor="NICE2007a" w:history="1">
        <w:r w:rsidRPr="009B142B">
          <w:rPr>
            <w:rStyle w:val="Hyperlink"/>
            <w:rFonts w:cs="Arial"/>
            <w:highlight w:val="yellow"/>
          </w:rPr>
          <w:t>NICE 2007</w:t>
        </w:r>
        <w:r w:rsidR="008608D6" w:rsidRPr="009B142B">
          <w:rPr>
            <w:rStyle w:val="Hyperlink"/>
            <w:rFonts w:cs="Arial"/>
            <w:highlight w:val="yellow"/>
          </w:rPr>
          <w:t>a</w:t>
        </w:r>
      </w:hyperlink>
      <w:r w:rsidRPr="00635F23">
        <w:rPr>
          <w:rStyle w:val="GuideCitesCharChar"/>
          <w:highlight w:val="yellow"/>
        </w:rPr>
        <w:t>)</w:t>
      </w:r>
      <w:r w:rsidR="003A46A6" w:rsidRPr="00184F43">
        <w:rPr>
          <w:rStyle w:val="GuideCitesCharChar"/>
        </w:rPr>
        <w:t>,</w:t>
      </w:r>
      <w:r w:rsidRPr="004E28BB">
        <w:t xml:space="preserve"> focal neurologic deficits, or acute seizure</w:t>
      </w:r>
      <w:r w:rsidR="005B734B">
        <w:t>,</w:t>
      </w:r>
      <w:r w:rsidRPr="004E28BB">
        <w:t xml:space="preserve"> and </w:t>
      </w:r>
      <w:r w:rsidR="005B734B">
        <w:t xml:space="preserve">they </w:t>
      </w:r>
      <w:r w:rsidRPr="004E28BB">
        <w:t>should also be considered in the following situations:</w:t>
      </w:r>
    </w:p>
    <w:p w:rsidR="00FE7026" w:rsidRPr="004E28BB" w:rsidRDefault="00FE7026" w:rsidP="00D41D04">
      <w:pPr>
        <w:ind w:left="2880" w:hanging="360"/>
      </w:pPr>
      <w:r w:rsidRPr="004E28BB">
        <w:t>●</w:t>
      </w:r>
      <w:r w:rsidRPr="004E28BB">
        <w:tab/>
        <w:t>Severe and persistent headache</w:t>
      </w:r>
      <w:r w:rsidRPr="004E28BB">
        <w:tab/>
      </w:r>
      <w:r w:rsidR="00936853">
        <w:t>.</w:t>
      </w:r>
    </w:p>
    <w:p w:rsidR="00FE7026" w:rsidRPr="004E28BB" w:rsidRDefault="00FE7026" w:rsidP="00D41D04">
      <w:pPr>
        <w:ind w:left="2880" w:hanging="360"/>
      </w:pPr>
      <w:r w:rsidRPr="004E28BB">
        <w:t>●</w:t>
      </w:r>
      <w:r w:rsidRPr="004E28BB">
        <w:tab/>
        <w:t>More than one episode of vomiting</w:t>
      </w:r>
      <w:r w:rsidR="00936853">
        <w:t>.</w:t>
      </w:r>
    </w:p>
    <w:p w:rsidR="00FE7026" w:rsidRPr="004E28BB" w:rsidRDefault="00FE7026" w:rsidP="00D41D04">
      <w:pPr>
        <w:ind w:left="2880" w:hanging="360"/>
      </w:pPr>
      <w:r w:rsidRPr="004E28BB">
        <w:t>●</w:t>
      </w:r>
      <w:r w:rsidRPr="004E28BB">
        <w:tab/>
        <w:t>Coagulopathy</w:t>
      </w:r>
      <w:r w:rsidR="00936853">
        <w:t>.</w:t>
      </w:r>
    </w:p>
    <w:p w:rsidR="00FE7026" w:rsidRPr="004E28BB" w:rsidRDefault="00FE7026" w:rsidP="00D41D04">
      <w:pPr>
        <w:ind w:left="2880" w:hanging="360"/>
      </w:pPr>
      <w:r w:rsidRPr="004E28BB">
        <w:t>●</w:t>
      </w:r>
      <w:r w:rsidRPr="004E28BB">
        <w:tab/>
        <w:t>Dangerous mechanism of injury</w:t>
      </w:r>
      <w:r w:rsidR="003A46A6">
        <w:t xml:space="preserve"> </w:t>
      </w:r>
      <w:r w:rsidR="005B734B">
        <w:t>(</w:t>
      </w:r>
      <w:r w:rsidRPr="004E28BB">
        <w:t>e.g.</w:t>
      </w:r>
      <w:r w:rsidR="005B734B">
        <w:t>,</w:t>
      </w:r>
      <w:r w:rsidRPr="004E28BB">
        <w:t xml:space="preserve"> fall from </w:t>
      </w:r>
      <w:r w:rsidR="005B734B">
        <w:t>a height of</w:t>
      </w:r>
      <w:r w:rsidR="005B734B" w:rsidRPr="004E28BB">
        <w:t xml:space="preserve"> </w:t>
      </w:r>
      <w:r w:rsidR="001B3B4C">
        <w:t>one</w:t>
      </w:r>
      <w:r w:rsidRPr="004E28BB">
        <w:t xml:space="preserve"> meter </w:t>
      </w:r>
      <w:r w:rsidR="00131A3A">
        <w:t xml:space="preserve">or </w:t>
      </w:r>
      <w:r w:rsidR="001B3B4C">
        <w:t>five</w:t>
      </w:r>
      <w:r w:rsidRPr="004E28BB">
        <w:t xml:space="preserve"> steps, ejection from vehicle, pedestrian hit by car</w:t>
      </w:r>
      <w:r w:rsidR="005B734B">
        <w:t>)</w:t>
      </w:r>
      <w:r w:rsidR="00936853">
        <w:t>.</w:t>
      </w:r>
    </w:p>
    <w:p w:rsidR="00FE7026" w:rsidRPr="004E28BB" w:rsidRDefault="00FE7026" w:rsidP="00D41D04">
      <w:pPr>
        <w:ind w:left="2880" w:hanging="360"/>
      </w:pPr>
      <w:r w:rsidRPr="004E28BB">
        <w:t>●</w:t>
      </w:r>
      <w:r w:rsidRPr="004E28BB">
        <w:tab/>
        <w:t>Signs of basilar skull fracture, or open or depressed fractures</w:t>
      </w:r>
      <w:r w:rsidR="00936853">
        <w:t>.</w:t>
      </w:r>
    </w:p>
    <w:p w:rsidR="00FE7026" w:rsidRPr="004E28BB" w:rsidRDefault="00FE7026" w:rsidP="00D41D04">
      <w:pPr>
        <w:ind w:left="2880" w:hanging="360"/>
      </w:pPr>
      <w:r w:rsidRPr="004E28BB">
        <w:t>●</w:t>
      </w:r>
      <w:r w:rsidRPr="004E28BB">
        <w:tab/>
        <w:t>Physical evidence of trauma above the clavicles and /or multiple trauma and/or basilar skull fracture</w:t>
      </w:r>
      <w:r w:rsidR="00936853">
        <w:t>.</w:t>
      </w:r>
      <w:r w:rsidRPr="004E28BB">
        <w:t xml:space="preserve"> </w:t>
      </w:r>
    </w:p>
    <w:p w:rsidR="00FE7026" w:rsidRPr="004E28BB" w:rsidRDefault="00FE7026" w:rsidP="00D41D04">
      <w:pPr>
        <w:ind w:left="2880" w:hanging="360"/>
      </w:pPr>
      <w:r w:rsidRPr="004E28BB">
        <w:t>●</w:t>
      </w:r>
      <w:r w:rsidRPr="004E28BB">
        <w:tab/>
        <w:t>Acute traumatic seizure</w:t>
      </w:r>
      <w:r w:rsidR="00936853">
        <w:t>.</w:t>
      </w:r>
    </w:p>
    <w:p w:rsidR="00FE7026" w:rsidRPr="004E28BB" w:rsidRDefault="00FE7026" w:rsidP="00D41D04">
      <w:pPr>
        <w:ind w:left="1800" w:firstLine="720"/>
      </w:pPr>
      <w:r w:rsidRPr="004E28BB">
        <w:t>●</w:t>
      </w:r>
      <w:r w:rsidRPr="004E28BB">
        <w:tab/>
        <w:t>Age greater than 60</w:t>
      </w:r>
      <w:r w:rsidR="00936853">
        <w:t>.</w:t>
      </w:r>
    </w:p>
    <w:p w:rsidR="00FE7026" w:rsidRPr="004E28BB" w:rsidRDefault="00E96BC2" w:rsidP="00D41D04">
      <w:pPr>
        <w:ind w:left="2880" w:hanging="360"/>
      </w:pPr>
      <w:r w:rsidRPr="004E28BB">
        <w:t>●</w:t>
      </w:r>
      <w:r w:rsidRPr="004E28BB">
        <w:tab/>
        <w:t>Deficits in short-</w:t>
      </w:r>
      <w:r w:rsidR="00FE7026" w:rsidRPr="004E28BB">
        <w:t>term memory</w:t>
      </w:r>
      <w:r w:rsidR="00936853">
        <w:t>.</w:t>
      </w:r>
    </w:p>
    <w:p w:rsidR="00FE7026" w:rsidRPr="004E28BB" w:rsidRDefault="00FE7026" w:rsidP="00D41D04">
      <w:pPr>
        <w:ind w:left="2880" w:hanging="360"/>
      </w:pPr>
      <w:r w:rsidRPr="004E28BB">
        <w:t>●</w:t>
      </w:r>
      <w:r w:rsidRPr="004E28BB">
        <w:tab/>
        <w:t>Drug or alcohol intoxication</w:t>
      </w:r>
      <w:r w:rsidR="00936853">
        <w:t>.</w:t>
      </w:r>
    </w:p>
    <w:p w:rsidR="00FE7026" w:rsidRPr="004E28BB" w:rsidRDefault="00FE7026" w:rsidP="00D41D04">
      <w:pPr>
        <w:ind w:left="2880" w:hanging="360"/>
      </w:pPr>
      <w:r w:rsidRPr="004E28BB">
        <w:t>●</w:t>
      </w:r>
      <w:r w:rsidRPr="004E28BB">
        <w:tab/>
        <w:t>Any recent history of TBI, including MTBI</w:t>
      </w:r>
      <w:r w:rsidR="00936853">
        <w:t>.</w:t>
      </w:r>
    </w:p>
    <w:p w:rsidR="00FE7026" w:rsidRPr="004E28BB" w:rsidRDefault="00FE7026" w:rsidP="00D41D04">
      <w:pPr>
        <w:ind w:left="2880" w:hanging="360"/>
      </w:pPr>
      <w:r w:rsidRPr="004E28BB">
        <w:t>●</w:t>
      </w:r>
      <w:r w:rsidRPr="004E28BB">
        <w:tab/>
        <w:t>Use of anticoagulant medication</w:t>
      </w:r>
      <w:r w:rsidR="00936853">
        <w:t>.</w:t>
      </w:r>
    </w:p>
    <w:p w:rsidR="00FE7026" w:rsidRPr="004E28BB" w:rsidRDefault="00FE7026" w:rsidP="00D41D04">
      <w:pPr>
        <w:pStyle w:val="ListNumber3"/>
      </w:pPr>
      <w:bookmarkStart w:id="183" w:name="TBID5cMRI"/>
      <w:bookmarkStart w:id="184" w:name="_Toc319922479"/>
      <w:bookmarkStart w:id="185" w:name="_Toc394643251"/>
      <w:bookmarkEnd w:id="183"/>
      <w:r w:rsidRPr="004E28BB">
        <w:rPr>
          <w:rStyle w:val="Guide3-abcdChar"/>
        </w:rPr>
        <w:lastRenderedPageBreak/>
        <w:t>Magnetic Resonance Imaging (MRI)</w:t>
      </w:r>
      <w:bookmarkEnd w:id="184"/>
      <w:bookmarkEnd w:id="185"/>
      <w:r w:rsidRPr="004E28BB">
        <w:t xml:space="preserve">: </w:t>
      </w:r>
      <w:r w:rsidR="005B734B">
        <w:t>A</w:t>
      </w:r>
      <w:r w:rsidRPr="004E28BB">
        <w:t xml:space="preserve"> well-established brain imaging study for patients with moderate/severe TBI, in which the individual is positioned in a magnetic field and a radio-frequency pulse is applied. Hydrogen proton energy emission is translated into visualized structures. Normal tissues give off one signal, while abnormal structures give off a different signal. Due to </w:t>
      </w:r>
      <w:r w:rsidR="005B734B">
        <w:t>their</w:t>
      </w:r>
      <w:r w:rsidRPr="004E28BB">
        <w:t xml:space="preserve"> high contrast resolution, MRI scans are superior to CT scans for the detection of some intracranial pathology (e.g. axonal injury, subtle cortical contusions, small extra-axial fluid collections, etc.), except for bone injuries such as fractures. CT is superior to MRI in detecting acute intracranial bleeds and remains the preferred initial imaging study in the first 24 hours following head injury.</w:t>
      </w:r>
      <w:r w:rsidR="002025FD" w:rsidRPr="004E28BB">
        <w:t xml:space="preserve"> </w:t>
      </w:r>
      <w:r w:rsidRPr="004E28BB">
        <w:t xml:space="preserve">MRI may reveal an increased amount of pathology </w:t>
      </w:r>
      <w:r w:rsidR="00393730">
        <w:t>when</w:t>
      </w:r>
      <w:r w:rsidRPr="004E28BB">
        <w:t xml:space="preserve"> compared with CT. Specific MRI sequences and techniques are very sensitive for detecting acute traumatic cerebral injury; they may include, but are not limited to, diffusion</w:t>
      </w:r>
      <w:r w:rsidR="00DD531A" w:rsidRPr="004E28BB">
        <w:t xml:space="preserve"> weighted imaging (DWI)</w:t>
      </w:r>
      <w:r w:rsidRPr="004E28BB">
        <w:t xml:space="preserve">, susceptibility weighted imaging, gradient echo weighted imaging, and </w:t>
      </w:r>
      <w:r w:rsidR="00131A3A">
        <w:t>f</w:t>
      </w:r>
      <w:r w:rsidRPr="004E28BB">
        <w:t xml:space="preserve">luid </w:t>
      </w:r>
      <w:r w:rsidR="00131A3A">
        <w:t>a</w:t>
      </w:r>
      <w:r w:rsidRPr="004E28BB">
        <w:t xml:space="preserve">ttenuated </w:t>
      </w:r>
      <w:r w:rsidR="00131A3A">
        <w:t>i</w:t>
      </w:r>
      <w:r w:rsidRPr="004E28BB">
        <w:t xml:space="preserve">nversion </w:t>
      </w:r>
      <w:r w:rsidR="00131A3A">
        <w:t>r</w:t>
      </w:r>
      <w:r w:rsidRPr="004E28BB">
        <w:t xml:space="preserve">ecovery (FLAIR). Some of these techniques are not available on an emergency basis. MRI scans are useful to assess transient or permanent changes, to determine the etiology of subsequent clinical problems, and to plan treatment. MRI is more sensitive than CT for detecting traumatic cerebral injury. MRI should not be used to diagnose </w:t>
      </w:r>
      <w:r w:rsidR="00FA0A79" w:rsidRPr="004E28BB">
        <w:t>MTBI</w:t>
      </w:r>
      <w:r w:rsidRPr="004E28BB">
        <w:t>. Initially, MRI scans are clinically useful in the following situations to:</w:t>
      </w:r>
    </w:p>
    <w:p w:rsidR="00FE7026" w:rsidRPr="004E28BB" w:rsidRDefault="00FE7026" w:rsidP="00D41D04">
      <w:pPr>
        <w:ind w:left="2880" w:hanging="360"/>
      </w:pPr>
      <w:r w:rsidRPr="004E28BB">
        <w:t>●</w:t>
      </w:r>
      <w:r w:rsidRPr="004E28BB">
        <w:tab/>
        <w:t>Determine neurological deficits in moderate/severe TBI not explained by CT</w:t>
      </w:r>
      <w:r w:rsidR="00936853">
        <w:t>.</w:t>
      </w:r>
    </w:p>
    <w:p w:rsidR="00FE7026" w:rsidRPr="004E28BB" w:rsidRDefault="00FE7026" w:rsidP="00D41D04">
      <w:pPr>
        <w:ind w:left="2880" w:hanging="360"/>
      </w:pPr>
      <w:r w:rsidRPr="004E28BB">
        <w:t>●</w:t>
      </w:r>
      <w:r w:rsidRPr="004E28BB">
        <w:tab/>
        <w:t>Evaluate prolonged interval</w:t>
      </w:r>
      <w:r w:rsidR="00393730">
        <w:t>s</w:t>
      </w:r>
      <w:r w:rsidRPr="004E28BB">
        <w:t xml:space="preserve"> of disturbed consciousness or other prolonged alteration in mental status</w:t>
      </w:r>
      <w:r w:rsidR="00936853">
        <w:t>.</w:t>
      </w:r>
      <w:r w:rsidRPr="004E28BB">
        <w:t xml:space="preserve"> </w:t>
      </w:r>
    </w:p>
    <w:p w:rsidR="00FE7026" w:rsidRPr="004E28BB" w:rsidRDefault="00FE7026" w:rsidP="00D41D04">
      <w:pPr>
        <w:ind w:left="2880" w:hanging="360"/>
      </w:pPr>
      <w:r w:rsidRPr="004E28BB">
        <w:t>●</w:t>
      </w:r>
      <w:r w:rsidRPr="004E28BB">
        <w:tab/>
        <w:t>Define evidence of acute changes super-imposed on previous trauma or disease</w:t>
      </w:r>
      <w:r w:rsidR="00936853">
        <w:t>.</w:t>
      </w:r>
    </w:p>
    <w:p w:rsidR="00FE7026" w:rsidRPr="004E28BB" w:rsidRDefault="00FE7026" w:rsidP="00D41D04">
      <w:pPr>
        <w:pStyle w:val="ListNumber2"/>
      </w:pPr>
      <w:bookmarkStart w:id="186" w:name="_Toc319922480"/>
      <w:bookmarkStart w:id="187" w:name="_Toc394643252"/>
      <w:r w:rsidRPr="004E28BB">
        <w:rPr>
          <w:rStyle w:val="Guide2-123Char"/>
        </w:rPr>
        <w:t>VASCULAR IMAGING TESTS</w:t>
      </w:r>
      <w:bookmarkEnd w:id="186"/>
      <w:bookmarkEnd w:id="187"/>
      <w:r w:rsidR="00936853" w:rsidRPr="004E28BB">
        <w:t>:</w:t>
      </w:r>
      <w:r w:rsidRPr="004E28BB">
        <w:t xml:space="preserve"> </w:t>
      </w:r>
      <w:r w:rsidR="00936853">
        <w:t>R</w:t>
      </w:r>
      <w:r w:rsidRPr="004E28BB">
        <w:t xml:space="preserve">eveal arterial or venous abnormalities in the chest, neck, head, or extremities (e.g., thrombosis, dissection, spasm, emboli, or tearing). These </w:t>
      </w:r>
      <w:r w:rsidR="00131A3A">
        <w:t>test</w:t>
      </w:r>
      <w:r w:rsidRPr="004E28BB">
        <w:t xml:space="preserve">s are generally used if more standard CT/MRI </w:t>
      </w:r>
      <w:r w:rsidR="00B52ED9">
        <w:t xml:space="preserve">scans </w:t>
      </w:r>
      <w:r w:rsidRPr="004E28BB">
        <w:t>fail to demonstrate suspected vascular abnormalities. They may be useful in moderate/severe TBI as an adjunct to aforementioned studies (</w:t>
      </w:r>
      <w:r w:rsidR="00756447">
        <w:t>r</w:t>
      </w:r>
      <w:r w:rsidRPr="004E28BB">
        <w:t xml:space="preserve">efer to Sections </w:t>
      </w:r>
      <w:hyperlink w:anchor="TBID5aSkullXrays" w:history="1">
        <w:r w:rsidRPr="004E28BB">
          <w:rPr>
            <w:rStyle w:val="Hyperlink"/>
          </w:rPr>
          <w:t>D.5.a. Skull X-Rays</w:t>
        </w:r>
      </w:hyperlink>
      <w:r w:rsidRPr="004E28BB">
        <w:t xml:space="preserve">, </w:t>
      </w:r>
      <w:hyperlink w:anchor="TBID5bComputedAxialTomography" w:history="1">
        <w:r w:rsidRPr="004E28BB">
          <w:rPr>
            <w:rStyle w:val="Hyperlink"/>
          </w:rPr>
          <w:t>b. Computed Axial Tomography (CT)</w:t>
        </w:r>
      </w:hyperlink>
      <w:r w:rsidRPr="004E28BB">
        <w:t xml:space="preserve"> and </w:t>
      </w:r>
      <w:hyperlink w:anchor="TBID5cMRI" w:history="1">
        <w:r w:rsidRPr="004E28BB">
          <w:rPr>
            <w:rStyle w:val="Hyperlink"/>
          </w:rPr>
          <w:t>c. Magnetic Resonance Imaging (MRI)</w:t>
        </w:r>
      </w:hyperlink>
      <w:r w:rsidRPr="004E28BB">
        <w:t xml:space="preserve">), but only rarely </w:t>
      </w:r>
      <w:r w:rsidR="00B52ED9">
        <w:t xml:space="preserve">are they useful </w:t>
      </w:r>
      <w:r w:rsidRPr="004E28BB">
        <w:t xml:space="preserve">in MTBI. </w:t>
      </w:r>
      <w:r w:rsidR="00DD531A" w:rsidRPr="004E28BB">
        <w:t xml:space="preserve">Often, patients with clinical signs of blunt trauma to the neck or with a significant mechanism of injury require imaging to detect injuries to the carotid or vertebral arteries that cannot be diagnosed on physical exam. </w:t>
      </w:r>
      <w:r w:rsidRPr="004E28BB">
        <w:t>Procedures that are generally accepted include:</w:t>
      </w:r>
    </w:p>
    <w:p w:rsidR="00DD531A" w:rsidRPr="004E28BB" w:rsidRDefault="00DD531A" w:rsidP="00DD531A">
      <w:pPr>
        <w:pStyle w:val="ListNumber3"/>
        <w:rPr>
          <w:rStyle w:val="Guide3-abcdChar"/>
          <w:b w:val="0"/>
          <w:u w:val="none"/>
        </w:rPr>
      </w:pPr>
      <w:bookmarkStart w:id="188" w:name="_Toc319922481"/>
      <w:bookmarkStart w:id="189" w:name="_Toc394643253"/>
      <w:r w:rsidRPr="004E28BB">
        <w:rPr>
          <w:rStyle w:val="Guide3-abcdChar"/>
        </w:rPr>
        <w:t xml:space="preserve">CT </w:t>
      </w:r>
      <w:r w:rsidR="00B52ED9">
        <w:rPr>
          <w:rStyle w:val="Guide3-abcdChar"/>
        </w:rPr>
        <w:t>A</w:t>
      </w:r>
      <w:r w:rsidRPr="004E28BB">
        <w:rPr>
          <w:rStyle w:val="Guide3-abcdChar"/>
        </w:rPr>
        <w:t>ngiography (CTA)</w:t>
      </w:r>
      <w:r w:rsidRPr="004E28BB">
        <w:rPr>
          <w:rStyle w:val="Guide3-abcdChar"/>
          <w:b w:val="0"/>
          <w:u w:val="none"/>
        </w:rPr>
        <w:t>:</w:t>
      </w:r>
      <w:bookmarkEnd w:id="189"/>
      <w:r w:rsidRPr="004E28BB">
        <w:t xml:space="preserve"> </w:t>
      </w:r>
      <w:r w:rsidR="006433BA">
        <w:t>At the time of this guideline</w:t>
      </w:r>
      <w:r w:rsidR="00221A7D">
        <w:t>, t</w:t>
      </w:r>
      <w:r w:rsidRPr="004E28BB">
        <w:t xml:space="preserve">his is the most common and accepted test for screening patients for injuries to the carotid or vertebral arteries in the setting of trauma. CTAs are noninvasive tests that are readily available in essentially all emergency rooms that treat patients with traumatic injuries. They can be obtained rapidly, often just subsequent to the screening CT head exam. They provide excellent 2D and 3D imaging of the vessels from the aortic arch to the skull vertex and also show the relationship of those vessels to surrounding bones and soft tissues. Some limitations include poor vessel opacification if the timing of the study is incorrect, artifact from dental hardware and the skull base, and patient motion. CTAs should generally only be performed on scanners with at least 16 detectors, with 64 </w:t>
      </w:r>
      <w:r w:rsidR="00B52ED9">
        <w:t xml:space="preserve">being the </w:t>
      </w:r>
      <w:r w:rsidRPr="004E28BB">
        <w:t>preferable</w:t>
      </w:r>
      <w:r w:rsidR="00B52ED9">
        <w:t xml:space="preserve"> number of detectors</w:t>
      </w:r>
      <w:r w:rsidRPr="004E28BB">
        <w:t>. CT venography (CTV) is also the most commonly utilized technique to evaluate the dural venous sinuses for injury in the setting of trauma</w:t>
      </w:r>
      <w:r w:rsidR="004C0148" w:rsidRPr="004E28BB">
        <w:t>.</w:t>
      </w:r>
    </w:p>
    <w:p w:rsidR="00FE7026" w:rsidRPr="004E28BB" w:rsidRDefault="00FE7026" w:rsidP="00D41D04">
      <w:pPr>
        <w:pStyle w:val="ListNumber3"/>
      </w:pPr>
      <w:bookmarkStart w:id="190" w:name="_Toc394643254"/>
      <w:r w:rsidRPr="004E28BB">
        <w:rPr>
          <w:rStyle w:val="Guide3-abcdChar"/>
        </w:rPr>
        <w:lastRenderedPageBreak/>
        <w:t>Arteriography</w:t>
      </w:r>
      <w:bookmarkEnd w:id="188"/>
      <w:bookmarkEnd w:id="190"/>
      <w:r w:rsidRPr="004E28BB">
        <w:t xml:space="preserve">: </w:t>
      </w:r>
      <w:r w:rsidR="00936853">
        <w:t>G</w:t>
      </w:r>
      <w:r w:rsidRPr="004E28BB">
        <w:t>enerally accepted when the above</w:t>
      </w:r>
      <w:r w:rsidR="00B52ED9">
        <w:t xml:space="preserve"> </w:t>
      </w:r>
      <w:r w:rsidRPr="004E28BB">
        <w:t>noted traumatic vascular abnormalities are suspected but unproven with the techniques discussed so far, or when further investigation of the vascular lesion is necessary. This is particularly true with arteriovenous fistulous change.</w:t>
      </w:r>
    </w:p>
    <w:p w:rsidR="00FE7026" w:rsidRPr="004E28BB" w:rsidRDefault="00FE7026" w:rsidP="00D41D04">
      <w:pPr>
        <w:pStyle w:val="ListNumber3"/>
      </w:pPr>
      <w:bookmarkStart w:id="191" w:name="_Toc319922482"/>
      <w:bookmarkStart w:id="192" w:name="_Toc394643255"/>
      <w:r w:rsidRPr="004E28BB">
        <w:rPr>
          <w:rStyle w:val="Guide3-abcdChar"/>
        </w:rPr>
        <w:t>Venography</w:t>
      </w:r>
      <w:bookmarkEnd w:id="191"/>
      <w:bookmarkEnd w:id="192"/>
      <w:r w:rsidRPr="004E28BB">
        <w:t xml:space="preserve">: </w:t>
      </w:r>
      <w:r w:rsidR="00936853">
        <w:t>G</w:t>
      </w:r>
      <w:r w:rsidRPr="004E28BB">
        <w:t xml:space="preserve">enerally accepted if increased venous flow and pressure are suspected and still undemonstrated. This is done by </w:t>
      </w:r>
      <w:r w:rsidR="00B52ED9">
        <w:t xml:space="preserve">either </w:t>
      </w:r>
      <w:r w:rsidRPr="004E28BB">
        <w:t>the jugular or orbital system.</w:t>
      </w:r>
    </w:p>
    <w:p w:rsidR="00FE7026" w:rsidRPr="004E28BB" w:rsidRDefault="00FE7026" w:rsidP="00D41D04">
      <w:pPr>
        <w:pStyle w:val="ListNumber3"/>
      </w:pPr>
      <w:bookmarkStart w:id="193" w:name="_Toc319922483"/>
      <w:bookmarkStart w:id="194" w:name="_Toc394643256"/>
      <w:r w:rsidRPr="004E28BB">
        <w:rPr>
          <w:rStyle w:val="Guide3-abcdChar"/>
        </w:rPr>
        <w:t>Noninvasive Vascular Assessment (NIVA)</w:t>
      </w:r>
      <w:bookmarkEnd w:id="193"/>
      <w:bookmarkEnd w:id="194"/>
      <w:r w:rsidRPr="004E28BB">
        <w:t xml:space="preserve">: </w:t>
      </w:r>
      <w:r w:rsidR="00936853">
        <w:t>T</w:t>
      </w:r>
      <w:r w:rsidRPr="004E28BB">
        <w:t>he least invasive and may demonstrate direction of blood flow and general patency of the carotid and vertebral arterial systems in the neck, but not in the head.</w:t>
      </w:r>
    </w:p>
    <w:p w:rsidR="00FE7026" w:rsidRPr="004E28BB" w:rsidRDefault="00FE7026" w:rsidP="00D41D04">
      <w:pPr>
        <w:pStyle w:val="ListNumber3"/>
      </w:pPr>
      <w:bookmarkStart w:id="195" w:name="_Toc319922484"/>
      <w:bookmarkStart w:id="196" w:name="_Toc394643257"/>
      <w:r w:rsidRPr="004E28BB">
        <w:rPr>
          <w:rStyle w:val="Guide3-abcdChar"/>
        </w:rPr>
        <w:t>Magnetic Resonance Angiography (Magnetic Resonance Arteriography (MRA)/Magnetic Resonance Venography (MVA))</w:t>
      </w:r>
      <w:bookmarkEnd w:id="195"/>
      <w:bookmarkEnd w:id="196"/>
      <w:r w:rsidRPr="004E28BB">
        <w:t xml:space="preserve">: </w:t>
      </w:r>
      <w:r w:rsidR="00936853">
        <w:t>I</w:t>
      </w:r>
      <w:r w:rsidRPr="004E28BB">
        <w:t xml:space="preserve">ndicated when vessel changes are suspected but not demonstrated by other simpler tests. Internal obstruction of an artery (e.g., thrombosis, spasm, dissection, </w:t>
      </w:r>
      <w:r w:rsidR="00131A3A">
        <w:t xml:space="preserve">neck injury, or </w:t>
      </w:r>
      <w:r w:rsidRPr="004E28BB">
        <w:t xml:space="preserve">emboli from concomitant </w:t>
      </w:r>
      <w:r w:rsidR="00131A3A">
        <w:t>injuries</w:t>
      </w:r>
      <w:r w:rsidRPr="004E28BB">
        <w:t xml:space="preserve">) may be demonstrated. Arterial compression due to external pressure (e.g., bony fracture or mass </w:t>
      </w:r>
      <w:r w:rsidR="00131A3A">
        <w:t>e</w:t>
      </w:r>
      <w:r w:rsidRPr="004E28BB">
        <w:t>ffect from a large intra-axial hemorrhage or cerebral edema) may be demonstrated. Dissection or arteriovenous fistula formation may be seen, but as with other vascular abnormalities</w:t>
      </w:r>
      <w:r w:rsidR="00FC6486">
        <w:t>,</w:t>
      </w:r>
      <w:r w:rsidRPr="004E28BB">
        <w:t xml:space="preserve"> may need conventional contrast arteriography/venography to confirm or refute the MRA or MRV findings. The source for intra</w:t>
      </w:r>
      <w:r w:rsidR="00FC6486">
        <w:t>-</w:t>
      </w:r>
      <w:r w:rsidRPr="004E28BB">
        <w:t xml:space="preserve"> or extra-axial bleeding may be seen. Intracerebral dural venous sinus thrombosis, as well as poor venous return may be demonstrated by MRA or MRV.</w:t>
      </w:r>
    </w:p>
    <w:p w:rsidR="00FE7026" w:rsidRPr="004E28BB" w:rsidRDefault="00FE7026" w:rsidP="00D41D04">
      <w:pPr>
        <w:pStyle w:val="ListNumber3"/>
      </w:pPr>
      <w:bookmarkStart w:id="197" w:name="_Toc319922485"/>
      <w:bookmarkStart w:id="198" w:name="_Toc394643258"/>
      <w:r w:rsidRPr="004E28BB">
        <w:rPr>
          <w:rStyle w:val="Guide3-abcdChar"/>
        </w:rPr>
        <w:t>Brain Acoustic Monitor</w:t>
      </w:r>
      <w:bookmarkEnd w:id="197"/>
      <w:bookmarkEnd w:id="198"/>
      <w:r w:rsidRPr="004E28BB">
        <w:t>: This device identifies turbulent blood flow in the brain. It is considered investigational for the purpose of detecting deficits requiring CT scanning in the emergency room. There is some evidence that it cannot reliably predict the development of post-concussive symptoms</w:t>
      </w:r>
      <w:r w:rsidR="00FC6486">
        <w:t>,</w:t>
      </w:r>
      <w:r w:rsidRPr="004E28BB">
        <w:t xml:space="preserve"> and therefore it is not recommended</w:t>
      </w:r>
      <w:r w:rsidR="00221A7D">
        <w:t xml:space="preserve"> at the time of this guideline</w:t>
      </w:r>
      <w:r w:rsidRPr="00184F43">
        <w:rPr>
          <w:rStyle w:val="GuideCitesCharChar"/>
        </w:rPr>
        <w:t xml:space="preserve"> </w:t>
      </w:r>
      <w:r w:rsidRPr="00635F23">
        <w:rPr>
          <w:rStyle w:val="GuideCitesCharChar"/>
          <w:highlight w:val="yellow"/>
        </w:rPr>
        <w:t>(</w:t>
      </w:r>
      <w:hyperlink w:anchor="Dutton2011" w:history="1">
        <w:r w:rsidRPr="000D5DCD">
          <w:rPr>
            <w:rStyle w:val="Hyperlink"/>
            <w:rFonts w:cs="Arial"/>
            <w:highlight w:val="yellow"/>
          </w:rPr>
          <w:t>Dutton, 2011</w:t>
        </w:r>
      </w:hyperlink>
      <w:r w:rsidRPr="00635F23">
        <w:rPr>
          <w:rStyle w:val="GuideCitesCharChar"/>
          <w:highlight w:val="yellow"/>
        </w:rPr>
        <w:t>)</w:t>
      </w:r>
      <w:r w:rsidR="00B30BDE" w:rsidRPr="00635F23">
        <w:rPr>
          <w:highlight w:val="yellow"/>
        </w:rPr>
        <w:t>.</w:t>
      </w:r>
    </w:p>
    <w:p w:rsidR="008C743C" w:rsidRPr="004E28BB" w:rsidRDefault="00FE7026" w:rsidP="00D41D04">
      <w:pPr>
        <w:pStyle w:val="ListNumber2"/>
      </w:pPr>
      <w:bookmarkStart w:id="199" w:name="_Toc319922486"/>
      <w:bookmarkStart w:id="200" w:name="_Toc394643259"/>
      <w:r w:rsidRPr="004E28BB">
        <w:rPr>
          <w:rStyle w:val="Guide2-123Char"/>
        </w:rPr>
        <w:t>LUMBAR PUNCTURE</w:t>
      </w:r>
      <w:bookmarkEnd w:id="199"/>
      <w:bookmarkEnd w:id="200"/>
      <w:r w:rsidR="00936853" w:rsidRPr="004E28BB">
        <w:t>:</w:t>
      </w:r>
      <w:r w:rsidRPr="004E28BB">
        <w:t xml:space="preserve"> </w:t>
      </w:r>
      <w:r w:rsidR="00131A3A">
        <w:t>A</w:t>
      </w:r>
      <w:r w:rsidRPr="004E28BB">
        <w:t xml:space="preserve"> well-established diagnostic procedure for examin</w:t>
      </w:r>
      <w:r w:rsidR="00FC6486">
        <w:t>ing</w:t>
      </w:r>
      <w:r w:rsidRPr="004E28BB">
        <w:t xml:space="preserve"> cerebrospinal fluid (CSF) in neurological disease and injury. The procedure should be performed by qualified and trained physicians under sterile conditions. Lumbar puncture is contraindicated in acute trauma to the spinal column, certain infections, increased intracranial pressure due to space occupying lesions, and in some coagulation disorders or defects. Additionally, it should be avoided if there are cutaneous infections in the region of the puncture site. In individuals with suspected or known increased intracranial pressure, lumbar puncture should be preceded by fundoscopic examination and by a CT scan or MRI.</w:t>
      </w:r>
    </w:p>
    <w:p w:rsidR="005412DF" w:rsidRPr="004E28BB" w:rsidRDefault="008C743C" w:rsidP="008C743C">
      <w:pPr>
        <w:pStyle w:val="Guide1-ABC"/>
      </w:pPr>
      <w:r w:rsidRPr="004E28BB">
        <w:br w:type="page"/>
      </w:r>
      <w:bookmarkStart w:id="201" w:name="_Toc319922487"/>
      <w:bookmarkStart w:id="202" w:name="_Toc394643260"/>
      <w:r w:rsidR="005412DF" w:rsidRPr="004E28BB">
        <w:lastRenderedPageBreak/>
        <w:t>FOLLOW-UP DIAGNOSTIC PROCEDURES</w:t>
      </w:r>
      <w:bookmarkEnd w:id="201"/>
      <w:bookmarkEnd w:id="202"/>
    </w:p>
    <w:p w:rsidR="005412DF" w:rsidRPr="004E28BB" w:rsidRDefault="005412DF" w:rsidP="009C3DC2">
      <w:pPr>
        <w:pStyle w:val="ListNumber2"/>
        <w:numPr>
          <w:ilvl w:val="1"/>
          <w:numId w:val="21"/>
        </w:numPr>
      </w:pPr>
      <w:bookmarkStart w:id="203" w:name="_Toc319922488"/>
      <w:bookmarkStart w:id="204" w:name="_Toc394643261"/>
      <w:r w:rsidRPr="004E28BB">
        <w:rPr>
          <w:rStyle w:val="Guide2-123Char"/>
        </w:rPr>
        <w:t>IMAGING</w:t>
      </w:r>
      <w:bookmarkEnd w:id="203"/>
      <w:bookmarkEnd w:id="204"/>
      <w:r w:rsidR="00936853" w:rsidRPr="004E28BB">
        <w:t>:</w:t>
      </w:r>
      <w:r w:rsidR="00936853">
        <w:t xml:space="preserve"> </w:t>
      </w:r>
      <w:r w:rsidR="00411BA5" w:rsidRPr="004E28BB">
        <w:t>Practitioners should be aware of the radiation doses associated with various procedures. Coloradoans have a background exposure to radiation</w:t>
      </w:r>
      <w:r w:rsidR="00FC6486">
        <w:t>,</w:t>
      </w:r>
      <w:r w:rsidR="00411BA5" w:rsidRPr="004E28BB">
        <w:t xml:space="preserve"> and unnecessary CT scan</w:t>
      </w:r>
      <w:r w:rsidR="00FC6486">
        <w:t>s</w:t>
      </w:r>
      <w:r w:rsidR="00411BA5" w:rsidRPr="004E28BB">
        <w:t xml:space="preserve"> or x-rays increase the lifetime risk of cancer death</w:t>
      </w:r>
      <w:r w:rsidR="00411BA5" w:rsidRPr="004E28BB">
        <w:rPr>
          <w:rStyle w:val="GuideCitesCharChar"/>
        </w:rPr>
        <w:t xml:space="preserve"> </w:t>
      </w:r>
      <w:r w:rsidR="00411BA5" w:rsidRPr="004C018D">
        <w:rPr>
          <w:rStyle w:val="GuideCitesCharChar"/>
          <w:highlight w:val="yellow"/>
        </w:rPr>
        <w:t>(</w:t>
      </w:r>
      <w:hyperlink w:anchor="Hendrick2011" w:history="1">
        <w:r w:rsidR="002E47D9" w:rsidRPr="000D5DCD">
          <w:rPr>
            <w:rStyle w:val="Hyperlink"/>
            <w:rFonts w:cs="Arial"/>
            <w:highlight w:val="yellow"/>
          </w:rPr>
          <w:t>Hendrick, 2011</w:t>
        </w:r>
      </w:hyperlink>
      <w:r w:rsidR="00411BA5" w:rsidRPr="004C018D">
        <w:rPr>
          <w:rStyle w:val="GuideCitesCharChar"/>
          <w:highlight w:val="yellow"/>
        </w:rPr>
        <w:t>)</w:t>
      </w:r>
      <w:r w:rsidR="00411BA5" w:rsidRPr="004E28BB">
        <w:t xml:space="preserve">. </w:t>
      </w:r>
    </w:p>
    <w:p w:rsidR="005412DF" w:rsidRPr="004E28BB" w:rsidRDefault="005412DF" w:rsidP="00D41D04">
      <w:pPr>
        <w:pStyle w:val="ListNumber3"/>
      </w:pPr>
      <w:bookmarkStart w:id="205" w:name="_Toc319922489"/>
      <w:bookmarkStart w:id="206" w:name="_Toc394643262"/>
      <w:r w:rsidRPr="004E28BB">
        <w:rPr>
          <w:rStyle w:val="Guide3-abcdChar"/>
        </w:rPr>
        <w:t>Structural Imaging</w:t>
      </w:r>
      <w:bookmarkEnd w:id="205"/>
      <w:bookmarkEnd w:id="206"/>
      <w:r w:rsidRPr="004E28BB">
        <w:t>:</w:t>
      </w:r>
    </w:p>
    <w:p w:rsidR="005412DF" w:rsidRPr="004E28BB" w:rsidRDefault="005412DF" w:rsidP="00D41D04">
      <w:pPr>
        <w:pStyle w:val="ListNumber4"/>
      </w:pPr>
      <w:r w:rsidRPr="004E28BB">
        <w:rPr>
          <w:rStyle w:val="Guide4-i"/>
        </w:rPr>
        <w:t>Computed Axial Tomography (CT)</w:t>
      </w:r>
      <w:r w:rsidRPr="004E28BB">
        <w:t xml:space="preserve">: </w:t>
      </w:r>
      <w:r w:rsidR="00936853">
        <w:t>M</w:t>
      </w:r>
      <w:r w:rsidRPr="004E28BB">
        <w:t xml:space="preserve">ay be used to follow identified pathology or </w:t>
      </w:r>
      <w:r w:rsidR="00FC6486">
        <w:t xml:space="preserve">to </w:t>
      </w:r>
      <w:r w:rsidRPr="004E28BB">
        <w:t>screen for late pathology. Subsequently, CT scans are generally accepted when there is suspected intracranial blood, extra-axial blood, hydrocephalus, altered mental state, or a change in clinical condition, including development of new neurological symptoms or post-traumatic seizure (within the first days following trauma). MRI scans are generally recommended as opposed to CT once the initial acute stage has passed.</w:t>
      </w:r>
    </w:p>
    <w:p w:rsidR="005412DF" w:rsidRPr="004E28BB" w:rsidRDefault="005412DF" w:rsidP="00D41D04">
      <w:pPr>
        <w:pStyle w:val="ListNumber4"/>
      </w:pPr>
      <w:r w:rsidRPr="004E28BB">
        <w:rPr>
          <w:rStyle w:val="Guide4-i"/>
        </w:rPr>
        <w:t>Magnetic Resonance Imaging (MRI)</w:t>
      </w:r>
      <w:r w:rsidRPr="004E28BB">
        <w:t xml:space="preserve">: </w:t>
      </w:r>
      <w:r w:rsidR="00936853">
        <w:t>T</w:t>
      </w:r>
      <w:r w:rsidRPr="004E28BB">
        <w:t>he image of choice to detect the late, sub</w:t>
      </w:r>
      <w:r w:rsidR="007843ED">
        <w:t>-</w:t>
      </w:r>
      <w:r w:rsidRPr="004E28BB">
        <w:t>acute</w:t>
      </w:r>
      <w:r w:rsidR="00FC6486">
        <w:t>,</w:t>
      </w:r>
      <w:r w:rsidRPr="004E28BB">
        <w:t xml:space="preserve"> and chronic structural changes in the brain which underlie abnormal functioning and is a well-accepted technique for follow-up imaging. Complications of TBI that may be explained by MRI include, but are not limited to</w:t>
      </w:r>
      <w:r w:rsidR="00FC6486">
        <w:t>,</w:t>
      </w:r>
      <w:r w:rsidRPr="004E28BB">
        <w:t xml:space="preserve"> post-traumatic epilepsy, post-traumatic movement disorder, post-traumatic cranial neuropathy, post-traumatic infection, or failure to recover within the expected time frame </w:t>
      </w:r>
      <w:r w:rsidR="00756447">
        <w:t>(r</w:t>
      </w:r>
      <w:r w:rsidRPr="004E28BB">
        <w:t>efer to</w:t>
      </w:r>
      <w:r w:rsidR="009B1420" w:rsidRPr="004E28BB">
        <w:t xml:space="preserve"> </w:t>
      </w:r>
      <w:r w:rsidR="00811C8B">
        <w:t>S</w:t>
      </w:r>
      <w:r w:rsidR="009B1420" w:rsidRPr="004E28BB">
        <w:t xml:space="preserve">ection </w:t>
      </w:r>
      <w:hyperlink w:anchor="TBIE2AdvancedMRITech" w:history="1">
        <w:r w:rsidRPr="004E28BB">
          <w:rPr>
            <w:rStyle w:val="Hyperlink"/>
            <w:rFonts w:cs="Arial"/>
          </w:rPr>
          <w:t>E.2. Advanced MRI Techniques</w:t>
        </w:r>
      </w:hyperlink>
      <w:r w:rsidRPr="004E28BB">
        <w:t xml:space="preserve"> for more advanced imaging</w:t>
      </w:r>
      <w:r w:rsidR="00756447">
        <w:t>)</w:t>
      </w:r>
      <w:r w:rsidRPr="004E28BB">
        <w:t>.</w:t>
      </w:r>
    </w:p>
    <w:p w:rsidR="005412DF" w:rsidRPr="004E28BB" w:rsidRDefault="005412DF" w:rsidP="00D41D04">
      <w:pPr>
        <w:pStyle w:val="ListNumber3"/>
      </w:pPr>
      <w:bookmarkStart w:id="207" w:name="_Toc319922490"/>
      <w:bookmarkStart w:id="208" w:name="_Toc394643263"/>
      <w:r w:rsidRPr="004E28BB">
        <w:rPr>
          <w:rStyle w:val="Guide3-abcdChar"/>
        </w:rPr>
        <w:t>Dynamic Imaging</w:t>
      </w:r>
      <w:bookmarkEnd w:id="207"/>
      <w:bookmarkEnd w:id="208"/>
      <w:r w:rsidRPr="004E28BB">
        <w:t>: In contrast to anatomical imaging procedures, the following procedures are designated to detect physiologic activity of the brain, including cerebral blood flow and cerebral metabolism.</w:t>
      </w:r>
    </w:p>
    <w:p w:rsidR="005412DF" w:rsidRPr="004E28BB" w:rsidRDefault="005412DF" w:rsidP="00D41D04">
      <w:pPr>
        <w:pStyle w:val="ListNumber4"/>
      </w:pPr>
      <w:r w:rsidRPr="004E28BB">
        <w:rPr>
          <w:rStyle w:val="Guide4-i"/>
        </w:rPr>
        <w:t>Single Photon Emission Computed Tomography (SPECT)</w:t>
      </w:r>
      <w:r w:rsidRPr="004E28BB">
        <w:t xml:space="preserve">: </w:t>
      </w:r>
      <w:r w:rsidR="00936853">
        <w:t>N</w:t>
      </w:r>
      <w:r w:rsidRPr="004E28BB">
        <w:t>ot generally accepted as a diagnostic test for TBI of any severity and is considered investigational for diagnostic purposes. It is a functional image of the brain created by a flow tracer or a receptor</w:t>
      </w:r>
      <w:r w:rsidR="00FC6486">
        <w:t>-</w:t>
      </w:r>
      <w:r w:rsidRPr="004E28BB">
        <w:t xml:space="preserve">binding substance tagged with a radionuclide and injected intravenously into the individual. </w:t>
      </w:r>
      <w:r w:rsidR="00FC6486">
        <w:t>The r</w:t>
      </w:r>
      <w:r w:rsidRPr="004E28BB">
        <w:t>adiotracer is assumed to accumulate in different areas of the brain proportionately to the rate of delivery of nutrients to that volume of brain tissue. Using a gamma camera and the techniques of CT, a 3-D image of the distribution of a radionuclide in the brain is obtained. SPECT may identify areas of decreased perfusion and provide a qualitative estimate of regional cerebral blood flow (CBF), which correlates with metabolism in many neurologic disorders. There is a variable correlation of SPECT with other measures</w:t>
      </w:r>
      <w:r w:rsidR="00390A56">
        <w:t>,</w:t>
      </w:r>
      <w:r w:rsidRPr="004E28BB">
        <w:t xml:space="preserve"> such as neuro</w:t>
      </w:r>
      <w:r w:rsidR="00D02F10" w:rsidRPr="004E28BB">
        <w:t>psychological test findings. It</w:t>
      </w:r>
      <w:r w:rsidRPr="004E28BB">
        <w:t xml:space="preserve">s interpretation </w:t>
      </w:r>
      <w:r w:rsidR="007A4797" w:rsidRPr="004E28BB">
        <w:t>should</w:t>
      </w:r>
      <w:r w:rsidRPr="004E28BB">
        <w:t xml:space="preserve"> take into account its </w:t>
      </w:r>
      <w:r w:rsidR="00D02F10" w:rsidRPr="004E28BB">
        <w:t>low</w:t>
      </w:r>
      <w:r w:rsidRPr="004E28BB">
        <w:t xml:space="preserve"> specificity</w:t>
      </w:r>
      <w:r w:rsidR="00D02F10" w:rsidRPr="004E28BB">
        <w:t>, making the predictive value of SPECT no better than CT</w:t>
      </w:r>
      <w:r w:rsidRPr="004E28BB">
        <w:rPr>
          <w:rStyle w:val="GuideCitesCharChar"/>
        </w:rPr>
        <w:t xml:space="preserve"> </w:t>
      </w:r>
      <w:r w:rsidRPr="004C018D">
        <w:rPr>
          <w:rStyle w:val="GuideCitesCharChar"/>
          <w:highlight w:val="yellow"/>
        </w:rPr>
        <w:t>(</w:t>
      </w:r>
      <w:hyperlink w:anchor="Gowda2006" w:history="1">
        <w:r w:rsidRPr="000D5DCD">
          <w:rPr>
            <w:rStyle w:val="Hyperlink"/>
            <w:rFonts w:cs="Arial"/>
            <w:highlight w:val="yellow"/>
          </w:rPr>
          <w:t>Gowda, 2006</w:t>
        </w:r>
      </w:hyperlink>
      <w:r w:rsidRPr="004C018D">
        <w:rPr>
          <w:rStyle w:val="GuideCitesCharChar"/>
          <w:highlight w:val="yellow"/>
        </w:rPr>
        <w:t>)</w:t>
      </w:r>
      <w:r w:rsidR="00B30BDE" w:rsidRPr="004E28BB">
        <w:t>.</w:t>
      </w:r>
    </w:p>
    <w:p w:rsidR="005412DF" w:rsidRPr="004E28BB" w:rsidRDefault="005412DF" w:rsidP="00D41D04">
      <w:pPr>
        <w:tabs>
          <w:tab w:val="left" w:pos="5220"/>
        </w:tabs>
        <w:ind w:left="2160"/>
      </w:pPr>
      <w:r w:rsidRPr="004E28BB">
        <w:t>Although it should not be used to diagnose MTBI, there is some evidence</w:t>
      </w:r>
      <w:r w:rsidRPr="004E28BB">
        <w:rPr>
          <w:rStyle w:val="GuideCitesCharChar"/>
        </w:rPr>
        <w:t xml:space="preserve"> </w:t>
      </w:r>
      <w:r w:rsidRPr="00F03148">
        <w:rPr>
          <w:rStyle w:val="GuideCitesCharChar"/>
          <w:highlight w:val="yellow"/>
        </w:rPr>
        <w:t>(</w:t>
      </w:r>
      <w:hyperlink w:anchor="Jacobs1996" w:history="1">
        <w:r w:rsidRPr="000D5DCD">
          <w:rPr>
            <w:rStyle w:val="Hyperlink"/>
            <w:rFonts w:cs="Arial"/>
            <w:highlight w:val="yellow"/>
          </w:rPr>
          <w:t>Jacobs, 1996</w:t>
        </w:r>
      </w:hyperlink>
      <w:r w:rsidRPr="004E28BB">
        <w:rPr>
          <w:rStyle w:val="GuideCitesCharChar"/>
        </w:rPr>
        <w:t>)</w:t>
      </w:r>
      <w:r w:rsidRPr="004E28BB">
        <w:t xml:space="preserve"> that SPECT may provide useful information in some cases in which the prognosis is in question, particularly if structural neuroimaging is normal. Given its high sensitivity</w:t>
      </w:r>
      <w:r w:rsidR="00390A56">
        <w:t>,</w:t>
      </w:r>
      <w:r w:rsidRPr="004E28BB">
        <w:t xml:space="preserve"> SPECT may be useful when expected recovery from MTBI is not occurring within several months from the time of injury. A normal SPECT scan in this setting indicates a likelihood of resolution of symptoms within twelve months. However, due to its lack of specificity, an abnormal SPECT scan does not mean that symptoms will persist. Symptoms </w:t>
      </w:r>
      <w:r w:rsidRPr="004E28BB">
        <w:lastRenderedPageBreak/>
        <w:t>may resolve even when areas of abnormal perfusion continue to be seen on the SPECT scan</w:t>
      </w:r>
      <w:r w:rsidRPr="004E28BB">
        <w:rPr>
          <w:rStyle w:val="GuideCitesCharChar"/>
        </w:rPr>
        <w:t xml:space="preserve"> </w:t>
      </w:r>
      <w:r w:rsidRPr="004C018D">
        <w:rPr>
          <w:rStyle w:val="GuideCitesCharChar"/>
          <w:highlight w:val="yellow"/>
        </w:rPr>
        <w:t>(</w:t>
      </w:r>
      <w:hyperlink w:anchor="Belanger2007" w:history="1">
        <w:r w:rsidRPr="000D5DCD">
          <w:rPr>
            <w:rStyle w:val="Hyperlink"/>
            <w:rFonts w:cs="Arial"/>
            <w:highlight w:val="yellow"/>
          </w:rPr>
          <w:t>Belanger, 2007</w:t>
        </w:r>
      </w:hyperlink>
      <w:r w:rsidRPr="004C018D">
        <w:rPr>
          <w:rStyle w:val="GuideCitesCharChar"/>
          <w:highlight w:val="yellow"/>
        </w:rPr>
        <w:t xml:space="preserve">; </w:t>
      </w:r>
      <w:hyperlink w:anchor="Kou2010" w:history="1">
        <w:r w:rsidRPr="000D5DCD">
          <w:rPr>
            <w:rStyle w:val="Hyperlink"/>
            <w:rFonts w:cs="Arial"/>
            <w:highlight w:val="yellow"/>
          </w:rPr>
          <w:t>Kou, 2010</w:t>
        </w:r>
      </w:hyperlink>
      <w:r w:rsidRPr="004C018D">
        <w:rPr>
          <w:rStyle w:val="GuideCitesCharChar"/>
          <w:highlight w:val="yellow"/>
        </w:rPr>
        <w:t>)</w:t>
      </w:r>
      <w:r w:rsidR="00B30BDE" w:rsidRPr="004C018D">
        <w:rPr>
          <w:highlight w:val="yellow"/>
        </w:rPr>
        <w:t>.</w:t>
      </w:r>
      <w:r w:rsidRPr="004E28BB">
        <w:br/>
      </w:r>
      <w:r w:rsidRPr="004E28BB">
        <w:br/>
        <w:t xml:space="preserve">For severe </w:t>
      </w:r>
      <w:r w:rsidR="0056633D">
        <w:t>TBI</w:t>
      </w:r>
      <w:r w:rsidRPr="004E28BB">
        <w:t>, SPECT may be useful for individuals with prolonged low levels of responsiveness (i.e.</w:t>
      </w:r>
      <w:r w:rsidR="00390A56">
        <w:t>,</w:t>
      </w:r>
      <w:r w:rsidRPr="004E28BB">
        <w:t xml:space="preserve"> persistent vegetative state) in cases of anoxia, or when additional data is needed.</w:t>
      </w:r>
      <w:r w:rsidRPr="004E28BB">
        <w:br/>
      </w:r>
      <w:r w:rsidRPr="004E28BB">
        <w:br/>
        <w:t>In all severities of TBI, it is recommended that medical necessity and clinical usefulness for this study be justified.</w:t>
      </w:r>
    </w:p>
    <w:p w:rsidR="005412DF" w:rsidRPr="004E28BB" w:rsidRDefault="005412DF" w:rsidP="00D41D04">
      <w:pPr>
        <w:pStyle w:val="ListNumber4"/>
        <w:rPr>
          <w:u w:val="single"/>
        </w:rPr>
      </w:pPr>
      <w:r w:rsidRPr="004E28BB">
        <w:rPr>
          <w:rStyle w:val="Guide4-i"/>
        </w:rPr>
        <w:t>Positron Emission Testing (PET)</w:t>
      </w:r>
      <w:r w:rsidRPr="004E28BB">
        <w:t xml:space="preserve">: </w:t>
      </w:r>
      <w:r w:rsidR="00390A56">
        <w:t>A</w:t>
      </w:r>
      <w:r w:rsidRPr="004E28BB">
        <w:t xml:space="preserve"> functional brain imaging procedure. A tracer molecule tagged with a positron-emitting radioisotope is injected into the body. Biodistribution of the tracer is imaged, producing information about local cerebral glucose utilization and cerebral perfusion. This procedure requires on-site access to a cyclotron. </w:t>
      </w:r>
      <w:r w:rsidRPr="004E28BB">
        <w:br/>
      </w:r>
      <w:r w:rsidRPr="004E28BB">
        <w:br/>
        <w:t xml:space="preserve">PET can reveal areas of decreased metabolism in the brain. In individuals with moderate/severe TBI, PET findings are closely correlated with the site and the extent of cerebral dysfunction derived from neurological and neurobehavioral examinations. Little information is available about its use and results in MTBI. In all severities of TBI, it is recommended that medical necessity and clinical usefulness for this diagnostic study be justified. It is not generally accepted as a diagnostic study and should not be used solely </w:t>
      </w:r>
      <w:r w:rsidR="00B30BDE" w:rsidRPr="004E28BB">
        <w:t>to diagnose the presence of TBI</w:t>
      </w:r>
      <w:r w:rsidRPr="004E28BB">
        <w:rPr>
          <w:rStyle w:val="GuideCitesCharChar"/>
        </w:rPr>
        <w:t xml:space="preserve"> </w:t>
      </w:r>
      <w:r w:rsidRPr="004C018D">
        <w:rPr>
          <w:rStyle w:val="GuideCitesCharChar"/>
          <w:highlight w:val="yellow"/>
        </w:rPr>
        <w:t>(</w:t>
      </w:r>
      <w:hyperlink w:anchor="Belanger2007" w:history="1">
        <w:r w:rsidRPr="000D5DCD">
          <w:rPr>
            <w:rStyle w:val="Hyperlink"/>
            <w:rFonts w:cs="Arial"/>
            <w:highlight w:val="yellow"/>
          </w:rPr>
          <w:t>Belanger, 2007</w:t>
        </w:r>
      </w:hyperlink>
      <w:r w:rsidRPr="004C018D">
        <w:rPr>
          <w:rStyle w:val="GuideCitesCharChar"/>
          <w:highlight w:val="yellow"/>
        </w:rPr>
        <w:t>)</w:t>
      </w:r>
      <w:r w:rsidR="00B30BDE" w:rsidRPr="004C018D">
        <w:rPr>
          <w:highlight w:val="yellow"/>
        </w:rPr>
        <w:t>.</w:t>
      </w:r>
    </w:p>
    <w:p w:rsidR="005412DF" w:rsidRPr="004E28BB" w:rsidRDefault="005412DF" w:rsidP="00D41D04">
      <w:pPr>
        <w:pStyle w:val="ListNumber2"/>
      </w:pPr>
      <w:bookmarkStart w:id="209" w:name="TBIE2AdvancedMRITech"/>
      <w:bookmarkStart w:id="210" w:name="_Toc319922491"/>
      <w:bookmarkStart w:id="211" w:name="_Toc394643264"/>
      <w:bookmarkEnd w:id="209"/>
      <w:r w:rsidRPr="004E28BB">
        <w:rPr>
          <w:rStyle w:val="Guide2-123Char"/>
        </w:rPr>
        <w:t>ADVANCED MRI TECHNIQUES</w:t>
      </w:r>
      <w:bookmarkEnd w:id="210"/>
      <w:bookmarkEnd w:id="211"/>
      <w:r w:rsidR="00936853" w:rsidRPr="004E28BB">
        <w:t>:</w:t>
      </w:r>
    </w:p>
    <w:p w:rsidR="005412DF" w:rsidRPr="004E28BB" w:rsidRDefault="005412DF" w:rsidP="00D41D04">
      <w:pPr>
        <w:pStyle w:val="ListNumber3"/>
        <w:rPr>
          <w:u w:val="single"/>
        </w:rPr>
      </w:pPr>
      <w:bookmarkStart w:id="212" w:name="_Toc319922492"/>
      <w:bookmarkStart w:id="213" w:name="_Toc394643265"/>
      <w:r w:rsidRPr="004E28BB">
        <w:rPr>
          <w:rStyle w:val="Guide3-abcdChar"/>
        </w:rPr>
        <w:t>Magnetic Resonance (MR) Spectroscopy</w:t>
      </w:r>
      <w:bookmarkEnd w:id="212"/>
      <w:bookmarkEnd w:id="213"/>
      <w:r w:rsidRPr="004E28BB">
        <w:t xml:space="preserve">: </w:t>
      </w:r>
      <w:r w:rsidR="00572593">
        <w:t>A</w:t>
      </w:r>
      <w:r w:rsidRPr="004E28BB">
        <w:t xml:space="preserve"> noninvasive test that applies a burst of radio</w:t>
      </w:r>
      <w:r w:rsidR="00572593">
        <w:t xml:space="preserve"> </w:t>
      </w:r>
      <w:r w:rsidRPr="004E28BB">
        <w:t>frequency energy to tissue inside an applied magnetic field. The resulting excitation and relaxation of nuclei generates a signal which carries information about the chemical environment of those nuclei. MR spectroscopy may detect changes in levels of n-acetyl-aspartate, an intermediate in neurotransmitter synthesis which is present in large amounts in normal functioning neurons but is decreased in damaged brain tissue. Its spectral signal may correlate with neuronal integrity and function and may show loss of function in tissue which appears normal on conventional CT or MRI studies. MR spectroscopy may increase the sensitivity of MR imaging for traumatic lesions. This sensitivity may allow for increased correlation to more specific neuro-cognitive deficits, guide treatment planning</w:t>
      </w:r>
      <w:r w:rsidR="00572593">
        <w:t>,</w:t>
      </w:r>
      <w:r w:rsidRPr="004E28BB">
        <w:t xml:space="preserve"> and be useful information in determining long-term outcome. MR spectroscopy remains predominantly a research tool at this time and should not be used solely </w:t>
      </w:r>
      <w:r w:rsidR="00B30BDE" w:rsidRPr="004E28BB">
        <w:t>to diagnose the presence of TBI</w:t>
      </w:r>
      <w:r w:rsidRPr="004E28BB">
        <w:rPr>
          <w:rStyle w:val="GuideCitesCharChar"/>
        </w:rPr>
        <w:t xml:space="preserve"> </w:t>
      </w:r>
      <w:r w:rsidRPr="004C018D">
        <w:rPr>
          <w:rStyle w:val="GuideCitesCharChar"/>
          <w:highlight w:val="yellow"/>
        </w:rPr>
        <w:t>(</w:t>
      </w:r>
      <w:hyperlink w:anchor="Belanger2007" w:history="1">
        <w:r w:rsidRPr="000D5DCD">
          <w:rPr>
            <w:rStyle w:val="Hyperlink"/>
            <w:rFonts w:cs="Arial"/>
            <w:highlight w:val="yellow"/>
          </w:rPr>
          <w:t>Belanger, 2007</w:t>
        </w:r>
      </w:hyperlink>
      <w:r w:rsidRPr="004C018D">
        <w:rPr>
          <w:rStyle w:val="GuideCitesCharChar"/>
          <w:highlight w:val="yellow"/>
        </w:rPr>
        <w:t>)</w:t>
      </w:r>
      <w:r w:rsidR="00B30BDE" w:rsidRPr="004C018D">
        <w:rPr>
          <w:highlight w:val="yellow"/>
        </w:rPr>
        <w:t>.</w:t>
      </w:r>
      <w:r w:rsidRPr="004E28BB">
        <w:t xml:space="preserve"> It may be considered with adequate documentation of its medical necessity in unusual cases</w:t>
      </w:r>
      <w:r w:rsidR="00572593">
        <w:t>.</w:t>
      </w:r>
      <w:r w:rsidRPr="004E28BB">
        <w:t xml:space="preserve"> such as </w:t>
      </w:r>
      <w:r w:rsidR="00572593">
        <w:t xml:space="preserve">in </w:t>
      </w:r>
      <w:r w:rsidRPr="004E28BB">
        <w:t xml:space="preserve">patients with </w:t>
      </w:r>
      <w:r w:rsidR="00572593">
        <w:t xml:space="preserve">a </w:t>
      </w:r>
      <w:r w:rsidRPr="004E28BB">
        <w:t>minimally conscious state, when the information will assist in clarifying the pathology to direct a therapeutic approach to the individual with TBI.</w:t>
      </w:r>
    </w:p>
    <w:p w:rsidR="005412DF" w:rsidRPr="004E28BB" w:rsidRDefault="005412DF" w:rsidP="00D41D04">
      <w:pPr>
        <w:pStyle w:val="ListNumber3"/>
        <w:rPr>
          <w:u w:val="single"/>
        </w:rPr>
      </w:pPr>
      <w:bookmarkStart w:id="214" w:name="_Toc319922493"/>
      <w:bookmarkStart w:id="215" w:name="_Toc394643266"/>
      <w:r w:rsidRPr="004E28BB">
        <w:rPr>
          <w:rStyle w:val="Guide3-abcdChar"/>
        </w:rPr>
        <w:t>Functional MRI (fMRI)</w:t>
      </w:r>
      <w:bookmarkEnd w:id="214"/>
      <w:bookmarkEnd w:id="215"/>
      <w:r w:rsidRPr="004E28BB">
        <w:t xml:space="preserve">: </w:t>
      </w:r>
      <w:r w:rsidR="00936853">
        <w:t>U</w:t>
      </w:r>
      <w:r w:rsidRPr="004E28BB">
        <w:t xml:space="preserve">ses MRI to detect physiologic responses of brain tissue to various tasks. Blood oxygenation level dependent (BOLD) contrast, the most popular fMRI technique, derives an image from differences in the magnetic properties and therefore differences in MR decay parameters, of oxygenated and deoxygenated hemoglobin. A typical fMRI study compares images under two or more behavioral conditions, which may involve motor, cognitive, or visual tasks. </w:t>
      </w:r>
      <w:r w:rsidR="00572593">
        <w:t xml:space="preserve">Functional </w:t>
      </w:r>
      <w:r w:rsidRPr="004E28BB">
        <w:t xml:space="preserve">MRI studies have shown functional reorganization as a general response to </w:t>
      </w:r>
      <w:r w:rsidR="0056633D">
        <w:t>TBI</w:t>
      </w:r>
      <w:r w:rsidRPr="004E28BB">
        <w:rPr>
          <w:rStyle w:val="GuideCitesCharChar"/>
        </w:rPr>
        <w:t xml:space="preserve"> </w:t>
      </w:r>
      <w:r w:rsidRPr="004C018D">
        <w:rPr>
          <w:rStyle w:val="GuideCitesCharChar"/>
          <w:highlight w:val="yellow"/>
        </w:rPr>
        <w:t>(</w:t>
      </w:r>
      <w:hyperlink w:anchor="Belanger2007" w:history="1">
        <w:r w:rsidRPr="000D5DCD">
          <w:rPr>
            <w:rStyle w:val="Hyperlink"/>
            <w:rFonts w:cs="Arial"/>
            <w:highlight w:val="yellow"/>
          </w:rPr>
          <w:t>Belanger, 2007</w:t>
        </w:r>
      </w:hyperlink>
      <w:r w:rsidRPr="004C018D">
        <w:rPr>
          <w:rStyle w:val="GuideCitesCharChar"/>
          <w:highlight w:val="yellow"/>
        </w:rPr>
        <w:t>)</w:t>
      </w:r>
      <w:r w:rsidR="00B30BDE" w:rsidRPr="004C018D">
        <w:rPr>
          <w:highlight w:val="yellow"/>
        </w:rPr>
        <w:t>.</w:t>
      </w:r>
      <w:r w:rsidRPr="004E28BB">
        <w:t xml:space="preserve"> Alterations in patterns of cerebral activity seen on fMRI</w:t>
      </w:r>
      <w:r w:rsidR="00572593">
        <w:t>s</w:t>
      </w:r>
      <w:r w:rsidRPr="004E28BB">
        <w:t xml:space="preserve"> may correlate with cognitive deficits in individuals with TBI, but the </w:t>
      </w:r>
      <w:r w:rsidRPr="004E28BB">
        <w:lastRenderedPageBreak/>
        <w:t>specificity of the test is not sufficient to make fMRI a diagnostic tool. It is</w:t>
      </w:r>
      <w:r w:rsidR="00221A7D">
        <w:t>, as of the time of this guideline,</w:t>
      </w:r>
      <w:r w:rsidRPr="004E28BB">
        <w:t xml:space="preserve"> a research tool and not recommended for clinical use.</w:t>
      </w:r>
      <w:r w:rsidR="009B1420" w:rsidRPr="004E28BB">
        <w:t xml:space="preserve"> </w:t>
      </w:r>
      <w:r w:rsidRPr="004E28BB">
        <w:t xml:space="preserve">Recent publications </w:t>
      </w:r>
      <w:r w:rsidR="00723F06" w:rsidRPr="004E28BB">
        <w:t>report</w:t>
      </w:r>
      <w:r w:rsidRPr="004E28BB">
        <w:t xml:space="preserve"> problems with </w:t>
      </w:r>
      <w:r w:rsidR="009B1420" w:rsidRPr="004E28BB">
        <w:t>the mathematical formulas used</w:t>
      </w:r>
      <w:r w:rsidR="00963987">
        <w:t>,</w:t>
      </w:r>
      <w:r w:rsidRPr="004E28BB">
        <w:t xml:space="preserve"> relating false positives and false negatives</w:t>
      </w:r>
      <w:r w:rsidRPr="004E28BB">
        <w:rPr>
          <w:rStyle w:val="GuideCitesCharChar"/>
        </w:rPr>
        <w:t xml:space="preserve"> </w:t>
      </w:r>
      <w:r w:rsidR="009B1420" w:rsidRPr="004C018D">
        <w:rPr>
          <w:rStyle w:val="GuideCitesCharChar"/>
          <w:highlight w:val="yellow"/>
        </w:rPr>
        <w:t>(</w:t>
      </w:r>
      <w:hyperlink w:anchor="Sanders2009" w:history="1">
        <w:r w:rsidR="005D3487" w:rsidRPr="000D5DCD">
          <w:rPr>
            <w:rStyle w:val="Hyperlink"/>
            <w:rFonts w:cs="Arial"/>
            <w:highlight w:val="yellow"/>
          </w:rPr>
          <w:t>Sanders, 2009</w:t>
        </w:r>
      </w:hyperlink>
      <w:r w:rsidR="009B1420" w:rsidRPr="004C018D">
        <w:rPr>
          <w:rStyle w:val="GuideCitesCharChar"/>
          <w:highlight w:val="yellow"/>
        </w:rPr>
        <w:t>)</w:t>
      </w:r>
      <w:r w:rsidR="00B30BDE" w:rsidRPr="004C018D">
        <w:rPr>
          <w:highlight w:val="yellow"/>
        </w:rPr>
        <w:t>.</w:t>
      </w:r>
    </w:p>
    <w:p w:rsidR="005412DF" w:rsidRPr="004E28BB" w:rsidRDefault="005412DF" w:rsidP="00D41D04">
      <w:pPr>
        <w:pStyle w:val="ListNumber3"/>
      </w:pPr>
      <w:bookmarkStart w:id="216" w:name="_Toc319922494"/>
      <w:bookmarkStart w:id="217" w:name="_Toc394643267"/>
      <w:r w:rsidRPr="004E28BB">
        <w:rPr>
          <w:rStyle w:val="Guide3-abcdChar"/>
        </w:rPr>
        <w:t xml:space="preserve">Diffusion Tensor Imaging, Susceptibility—Weighted Imaging and Magnetic Transfer </w:t>
      </w:r>
      <w:r w:rsidR="00963987">
        <w:rPr>
          <w:rStyle w:val="Guide3-abcdChar"/>
        </w:rPr>
        <w:t>I</w:t>
      </w:r>
      <w:r w:rsidRPr="004E28BB">
        <w:rPr>
          <w:rStyle w:val="Guide3-abcdChar"/>
        </w:rPr>
        <w:t>maging</w:t>
      </w:r>
      <w:bookmarkEnd w:id="216"/>
      <w:bookmarkEnd w:id="217"/>
      <w:r w:rsidRPr="004E28BB">
        <w:t xml:space="preserve">: </w:t>
      </w:r>
      <w:r w:rsidR="00962A22">
        <w:t>H</w:t>
      </w:r>
      <w:r w:rsidRPr="004E28BB">
        <w:t xml:space="preserve">ave been used to explore the effects of MTBI. They remain research tools </w:t>
      </w:r>
      <w:r w:rsidR="00963987">
        <w:t>because</w:t>
      </w:r>
      <w:r w:rsidR="00221A7D">
        <w:t>,</w:t>
      </w:r>
      <w:r w:rsidRPr="004E28BB">
        <w:t xml:space="preserve"> </w:t>
      </w:r>
      <w:r w:rsidR="006433BA">
        <w:t>as of the time of this guideline</w:t>
      </w:r>
      <w:r w:rsidR="00221A7D">
        <w:t xml:space="preserve">, </w:t>
      </w:r>
      <w:r w:rsidRPr="004E28BB">
        <w:t xml:space="preserve">there are no studies validating their use clinically to differentiate MTBI patients with cognitive deficits from those without. They are not recommended to diagnose </w:t>
      </w:r>
      <w:r w:rsidR="00FA0A79" w:rsidRPr="004E28BB">
        <w:t>MTBI</w:t>
      </w:r>
      <w:r w:rsidRPr="004E28BB">
        <w:rPr>
          <w:rStyle w:val="GuideCitesCharChar"/>
        </w:rPr>
        <w:t xml:space="preserve"> </w:t>
      </w:r>
      <w:r w:rsidRPr="004C018D">
        <w:rPr>
          <w:rStyle w:val="GuideCitesCharChar"/>
          <w:highlight w:val="yellow"/>
        </w:rPr>
        <w:t>(</w:t>
      </w:r>
      <w:hyperlink w:anchor="Belanger2007" w:history="1">
        <w:r w:rsidRPr="000D5DCD">
          <w:rPr>
            <w:rStyle w:val="Hyperlink"/>
            <w:rFonts w:cs="Arial"/>
            <w:highlight w:val="yellow"/>
          </w:rPr>
          <w:t>Belanger, 2007</w:t>
        </w:r>
      </w:hyperlink>
      <w:r w:rsidRPr="004C018D">
        <w:rPr>
          <w:rStyle w:val="GuideCitesCharChar"/>
          <w:highlight w:val="yellow"/>
        </w:rPr>
        <w:t xml:space="preserve">; </w:t>
      </w:r>
      <w:hyperlink w:anchor="McCrea2009" w:history="1">
        <w:r w:rsidRPr="000D5DCD">
          <w:rPr>
            <w:rStyle w:val="Hyperlink"/>
            <w:rFonts w:cs="Arial"/>
            <w:highlight w:val="yellow"/>
          </w:rPr>
          <w:t>McCrea, 2009</w:t>
        </w:r>
      </w:hyperlink>
      <w:r w:rsidRPr="004C018D">
        <w:rPr>
          <w:rStyle w:val="GuideCitesCharChar"/>
          <w:highlight w:val="yellow"/>
        </w:rPr>
        <w:t xml:space="preserve">; </w:t>
      </w:r>
      <w:hyperlink w:anchor="Kou2010" w:history="1">
        <w:r w:rsidRPr="000D5DCD">
          <w:rPr>
            <w:rStyle w:val="Hyperlink"/>
            <w:rFonts w:cs="Arial"/>
            <w:highlight w:val="yellow"/>
          </w:rPr>
          <w:t>Kou, 2010</w:t>
        </w:r>
      </w:hyperlink>
      <w:r w:rsidRPr="004C018D">
        <w:rPr>
          <w:rStyle w:val="GuideCitesCharChar"/>
          <w:highlight w:val="yellow"/>
        </w:rPr>
        <w:t>)</w:t>
      </w:r>
      <w:r w:rsidR="00B30BDE" w:rsidRPr="004E28BB">
        <w:t>.</w:t>
      </w:r>
      <w:r w:rsidR="00F64E42">
        <w:t xml:space="preserve"> </w:t>
      </w:r>
      <w:r w:rsidRPr="004E28BB">
        <w:t>Diffusion Tensor Imaging may be useful for identifying pathology and guiding treatment in patients with documented physiological deficits, such as hemianopsia</w:t>
      </w:r>
      <w:r w:rsidRPr="004E28BB">
        <w:rPr>
          <w:rStyle w:val="GuideCitesCharChar"/>
        </w:rPr>
        <w:t xml:space="preserve"> </w:t>
      </w:r>
      <w:r w:rsidRPr="004C018D">
        <w:rPr>
          <w:rStyle w:val="GuideCitesCharChar"/>
          <w:highlight w:val="yellow"/>
        </w:rPr>
        <w:t>(</w:t>
      </w:r>
      <w:hyperlink w:anchor="Yeo2012" w:history="1">
        <w:r w:rsidRPr="000D5DCD">
          <w:rPr>
            <w:rStyle w:val="Hyperlink"/>
            <w:rFonts w:cs="Arial"/>
            <w:highlight w:val="yellow"/>
          </w:rPr>
          <w:t>Yeo, 2012</w:t>
        </w:r>
      </w:hyperlink>
      <w:r w:rsidRPr="004C018D">
        <w:rPr>
          <w:rStyle w:val="GuideCitesCharChar"/>
          <w:highlight w:val="yellow"/>
        </w:rPr>
        <w:t>)</w:t>
      </w:r>
      <w:r w:rsidR="00B30BDE" w:rsidRPr="004C018D">
        <w:rPr>
          <w:highlight w:val="yellow"/>
        </w:rPr>
        <w:t>.</w:t>
      </w:r>
    </w:p>
    <w:p w:rsidR="005412DF" w:rsidRPr="004E28BB" w:rsidRDefault="005412DF" w:rsidP="00D41D04">
      <w:pPr>
        <w:pStyle w:val="ListNumber2"/>
      </w:pPr>
      <w:bookmarkStart w:id="218" w:name="TBIE3NeuropsychologicalAssessment"/>
      <w:bookmarkStart w:id="219" w:name="_Toc394643268"/>
      <w:bookmarkEnd w:id="218"/>
      <w:r w:rsidRPr="004E28BB">
        <w:rPr>
          <w:rStyle w:val="Guide2-123Char"/>
        </w:rPr>
        <w:t>NEUROPSYCHOLOGICAL ASSESSMENT</w:t>
      </w:r>
      <w:bookmarkEnd w:id="219"/>
      <w:r w:rsidR="00962A22" w:rsidRPr="004E28BB">
        <w:t>:</w:t>
      </w:r>
      <w:r w:rsidRPr="004E28BB">
        <w:t xml:space="preserve"> </w:t>
      </w:r>
      <w:r w:rsidR="00962A22">
        <w:t>Neuropsychological assessment p</w:t>
      </w:r>
      <w:r w:rsidRPr="004E28BB">
        <w:t>ast the acute period is appropriate in the following situations when:</w:t>
      </w:r>
    </w:p>
    <w:p w:rsidR="005412DF" w:rsidRPr="004E28BB" w:rsidRDefault="005412DF" w:rsidP="00D41D04">
      <w:pPr>
        <w:ind w:left="2160" w:hanging="360"/>
      </w:pPr>
      <w:r w:rsidRPr="004E28BB">
        <w:t>●</w:t>
      </w:r>
      <w:r w:rsidRPr="004E28BB">
        <w:tab/>
      </w:r>
      <w:r w:rsidR="00963987">
        <w:t>I</w:t>
      </w:r>
      <w:r w:rsidRPr="004E28BB">
        <w:t>nput is needed to plan treatment to maximize long-term cognitive and overall functional outcomes</w:t>
      </w:r>
      <w:r w:rsidR="00962A22">
        <w:t>.</w:t>
      </w:r>
    </w:p>
    <w:p w:rsidR="005412DF" w:rsidRPr="004E28BB" w:rsidRDefault="005412DF" w:rsidP="00D41D04">
      <w:pPr>
        <w:ind w:left="2160" w:hanging="360"/>
      </w:pPr>
      <w:r w:rsidRPr="004E28BB">
        <w:t>●</w:t>
      </w:r>
      <w:r w:rsidRPr="004E28BB">
        <w:tab/>
      </w:r>
      <w:r w:rsidR="00963987">
        <w:t>I</w:t>
      </w:r>
      <w:r w:rsidRPr="004E28BB">
        <w:t>t is useful to define how strengths may be utilized in cognitive rehabilitative therapy to compensate for weakness</w:t>
      </w:r>
      <w:r w:rsidR="00962A22">
        <w:t>.</w:t>
      </w:r>
    </w:p>
    <w:p w:rsidR="005412DF" w:rsidRPr="004E28BB" w:rsidRDefault="005412DF" w:rsidP="00D41D04">
      <w:pPr>
        <w:ind w:left="2160" w:hanging="360"/>
      </w:pPr>
      <w:r w:rsidRPr="004E28BB">
        <w:t>●</w:t>
      </w:r>
      <w:r w:rsidRPr="004E28BB">
        <w:tab/>
      </w:r>
      <w:r w:rsidR="00963987">
        <w:t>T</w:t>
      </w:r>
      <w:r w:rsidRPr="004E28BB">
        <w:t>here is a question of the individual’s ability to perform work-related duties and/or there are safety issues (i.e., possible harm to self or others), or when the person’s vocation necessitates more extensive testing prior to vocational re-entry or return to school/training</w:t>
      </w:r>
      <w:r w:rsidR="00962A22">
        <w:t>.</w:t>
      </w:r>
    </w:p>
    <w:p w:rsidR="005412DF" w:rsidRPr="004E28BB" w:rsidRDefault="005412DF" w:rsidP="00D41D04">
      <w:pPr>
        <w:ind w:left="2160" w:hanging="360"/>
      </w:pPr>
      <w:r w:rsidRPr="004E28BB">
        <w:t>●</w:t>
      </w:r>
      <w:r w:rsidRPr="004E28BB">
        <w:tab/>
      </w:r>
      <w:r w:rsidR="00963987">
        <w:t>A</w:t>
      </w:r>
      <w:r w:rsidRPr="004E28BB">
        <w:t xml:space="preserve">ssistance is needed with differential diagnosis including the diagnosis of </w:t>
      </w:r>
      <w:r w:rsidR="00963987">
        <w:t>TBI</w:t>
      </w:r>
      <w:r w:rsidRPr="004E28BB">
        <w:t xml:space="preserve"> past the acute/sub</w:t>
      </w:r>
      <w:r w:rsidR="007843ED">
        <w:t>-</w:t>
      </w:r>
      <w:r w:rsidRPr="004E28BB">
        <w:t>acute period</w:t>
      </w:r>
      <w:r w:rsidR="00962A22">
        <w:t>.</w:t>
      </w:r>
    </w:p>
    <w:p w:rsidR="005412DF" w:rsidRPr="004E28BB" w:rsidRDefault="005412DF" w:rsidP="00D41D04">
      <w:pPr>
        <w:ind w:left="2160" w:hanging="360"/>
      </w:pPr>
      <w:r w:rsidRPr="004E28BB">
        <w:t>●</w:t>
      </w:r>
      <w:r w:rsidRPr="004E28BB">
        <w:tab/>
      </w:r>
      <w:r w:rsidR="00963987">
        <w:t>I</w:t>
      </w:r>
      <w:r w:rsidRPr="004E28BB">
        <w:t>t is deemed necessary to evaluate and/or monitor effectiveness of treatment approaches (i.e., cognitive rehabilitation therapy, somatic therapies, or medication trials) in specific individuals</w:t>
      </w:r>
      <w:r w:rsidR="00962A22">
        <w:t>.</w:t>
      </w:r>
    </w:p>
    <w:p w:rsidR="005412DF" w:rsidRPr="004E28BB" w:rsidRDefault="005412DF" w:rsidP="00D41D04">
      <w:pPr>
        <w:ind w:left="2160" w:hanging="360"/>
      </w:pPr>
      <w:r w:rsidRPr="004E28BB">
        <w:t>●</w:t>
      </w:r>
      <w:r w:rsidRPr="004E28BB">
        <w:tab/>
      </w:r>
      <w:r w:rsidR="00963987">
        <w:t>T</w:t>
      </w:r>
      <w:r w:rsidRPr="004E28BB">
        <w:t>he individual with TBI fails to show improvement in cognitive abilities, and symptom magnification, emotional functioning, or personality factors are suspected to be interfering with treatment progress</w:t>
      </w:r>
      <w:r w:rsidR="00962A22">
        <w:t>.</w:t>
      </w:r>
    </w:p>
    <w:p w:rsidR="005412DF" w:rsidRPr="004E28BB" w:rsidRDefault="005412DF" w:rsidP="00D41D04">
      <w:pPr>
        <w:ind w:left="2160" w:hanging="360"/>
      </w:pPr>
      <w:r w:rsidRPr="004E28BB">
        <w:t>●</w:t>
      </w:r>
      <w:r w:rsidRPr="004E28BB">
        <w:tab/>
      </w:r>
      <w:r w:rsidR="00963987">
        <w:t>S</w:t>
      </w:r>
      <w:r w:rsidRPr="004E28BB">
        <w:t>ubjective complaints are disproportionate to the clinical history or objective findings</w:t>
      </w:r>
      <w:r w:rsidR="00963987">
        <w:t>,</w:t>
      </w:r>
      <w:r w:rsidRPr="004E28BB">
        <w:t xml:space="preserve"> as observed by provider(s)</w:t>
      </w:r>
      <w:r w:rsidR="00962A22">
        <w:t>.</w:t>
      </w:r>
    </w:p>
    <w:p w:rsidR="005412DF" w:rsidRPr="004E28BB" w:rsidRDefault="005412DF" w:rsidP="00D41D04">
      <w:pPr>
        <w:ind w:left="2160" w:hanging="360"/>
      </w:pPr>
      <w:r w:rsidRPr="004E28BB">
        <w:t>●</w:t>
      </w:r>
      <w:r w:rsidRPr="004E28BB">
        <w:tab/>
      </w:r>
      <w:r w:rsidR="00963987">
        <w:t>T</w:t>
      </w:r>
      <w:r w:rsidRPr="004E28BB">
        <w:t>he degree of disability is disproportionate to the clinical history</w:t>
      </w:r>
      <w:r w:rsidR="00963987">
        <w:t>,</w:t>
      </w:r>
      <w:r w:rsidRPr="004E28BB">
        <w:t xml:space="preserve"> and objective findings as observed by provider(s)</w:t>
      </w:r>
      <w:r w:rsidR="00962A22">
        <w:t>.</w:t>
      </w:r>
    </w:p>
    <w:p w:rsidR="00AC6D37" w:rsidRPr="004E28BB" w:rsidRDefault="00AC6D37" w:rsidP="00AC6D37">
      <w:pPr>
        <w:ind w:left="1440"/>
      </w:pPr>
      <w:r w:rsidRPr="004E28BB">
        <w:t>Neuropsychology testing should not be used</w:t>
      </w:r>
      <w:r w:rsidR="00442B2F" w:rsidRPr="004E28BB">
        <w:t xml:space="preserve"> in isolation </w:t>
      </w:r>
      <w:r w:rsidRPr="004E28BB">
        <w:t>to diagnos</w:t>
      </w:r>
      <w:r w:rsidR="00442B2F" w:rsidRPr="004E28BB">
        <w:t>e</w:t>
      </w:r>
      <w:r w:rsidRPr="004E28BB">
        <w:t xml:space="preserve"> malingering, although it may provide information suggesting poor effort or intentional manipulation of symptoms.</w:t>
      </w:r>
    </w:p>
    <w:p w:rsidR="005412DF" w:rsidRPr="004E28BB" w:rsidRDefault="005412DF" w:rsidP="00D41D04">
      <w:pPr>
        <w:ind w:left="1440"/>
      </w:pPr>
      <w:r w:rsidRPr="004E28BB">
        <w:t>The following information may aid in delineating when a full neuropsychological battery is necessary versus more limited testing:</w:t>
      </w:r>
    </w:p>
    <w:p w:rsidR="005412DF" w:rsidRPr="004E28BB" w:rsidRDefault="005412DF" w:rsidP="009C3DC2">
      <w:pPr>
        <w:pStyle w:val="ListNumber3"/>
        <w:numPr>
          <w:ilvl w:val="2"/>
          <w:numId w:val="16"/>
        </w:numPr>
      </w:pPr>
      <w:bookmarkStart w:id="220" w:name="_Toc319922496"/>
      <w:bookmarkStart w:id="221" w:name="_Toc394643269"/>
      <w:r w:rsidRPr="004E28BB">
        <w:rPr>
          <w:rStyle w:val="Guide3-abcdChar"/>
        </w:rPr>
        <w:t>Mild Traumatic Brain Injury</w:t>
      </w:r>
      <w:bookmarkEnd w:id="220"/>
      <w:bookmarkEnd w:id="221"/>
      <w:r w:rsidRPr="004E28BB">
        <w:t xml:space="preserve">: Between one and six months post-injury, serial testing with specialized tests that are sensitive to speed of processing, memory, and executive functions will usually be appropriate for treatment planning and </w:t>
      </w:r>
      <w:r w:rsidRPr="004E28BB">
        <w:lastRenderedPageBreak/>
        <w:t xml:space="preserve">monitoring progress. Some neuropsychological assessment should be done at about the </w:t>
      </w:r>
      <w:r w:rsidR="00316AC2">
        <w:t>three-</w:t>
      </w:r>
      <w:r w:rsidRPr="004E28BB">
        <w:t>month interval for those patients who are experiencing and/or manifesting impaired cognitive function (e.g. not making appropriate progress at work or demonstrating significant organizational issues). The administration of a full neuropsychological test battery (typically including assessment of effort) may become necessary in this time period when:</w:t>
      </w:r>
    </w:p>
    <w:p w:rsidR="005412DF" w:rsidRPr="004E28BB" w:rsidRDefault="005412DF" w:rsidP="00D41D04">
      <w:pPr>
        <w:ind w:left="2880" w:hanging="360"/>
      </w:pPr>
      <w:r w:rsidRPr="004E28BB">
        <w:t>●</w:t>
      </w:r>
      <w:r w:rsidRPr="004E28BB">
        <w:tab/>
      </w:r>
      <w:r w:rsidR="00963987">
        <w:t>T</w:t>
      </w:r>
      <w:r w:rsidRPr="004E28BB">
        <w:t xml:space="preserve">here is no known or documented medical history of </w:t>
      </w:r>
      <w:r w:rsidR="00963987">
        <w:t>TBI</w:t>
      </w:r>
      <w:r w:rsidRPr="004E28BB">
        <w:t xml:space="preserve">, and there is the question of whether a </w:t>
      </w:r>
      <w:r w:rsidR="0056633D">
        <w:t>TBI</w:t>
      </w:r>
      <w:r w:rsidRPr="004E28BB">
        <w:t xml:space="preserve"> occurred</w:t>
      </w:r>
      <w:r w:rsidR="00962A22">
        <w:t>.</w:t>
      </w:r>
    </w:p>
    <w:p w:rsidR="005412DF" w:rsidRPr="004E28BB" w:rsidRDefault="005412DF" w:rsidP="00D41D04">
      <w:pPr>
        <w:ind w:left="2880" w:hanging="360"/>
      </w:pPr>
      <w:r w:rsidRPr="004E28BB">
        <w:t>●</w:t>
      </w:r>
      <w:r w:rsidRPr="004E28BB">
        <w:tab/>
      </w:r>
      <w:r w:rsidR="00963987">
        <w:t>I</w:t>
      </w:r>
      <w:r w:rsidRPr="004E28BB">
        <w:t>t is necessary to address issues on the initial indicators list</w:t>
      </w:r>
      <w:r w:rsidR="00962A22">
        <w:t>.</w:t>
      </w:r>
    </w:p>
    <w:p w:rsidR="005412DF" w:rsidRPr="004E28BB" w:rsidRDefault="005412DF" w:rsidP="00D41D04">
      <w:pPr>
        <w:pStyle w:val="ListNumber3"/>
      </w:pPr>
      <w:bookmarkStart w:id="222" w:name="_Toc319922497"/>
      <w:bookmarkStart w:id="223" w:name="_Toc394643270"/>
      <w:r w:rsidRPr="004E28BB">
        <w:rPr>
          <w:rStyle w:val="Guide3-abcdChar"/>
        </w:rPr>
        <w:t>Moderate/</w:t>
      </w:r>
      <w:r w:rsidR="00963987">
        <w:rPr>
          <w:rStyle w:val="Guide3-abcdChar"/>
        </w:rPr>
        <w:t>S</w:t>
      </w:r>
      <w:r w:rsidRPr="004E28BB">
        <w:rPr>
          <w:rStyle w:val="Guide3-abcdChar"/>
        </w:rPr>
        <w:t>evere TBI</w:t>
      </w:r>
      <w:bookmarkEnd w:id="222"/>
      <w:bookmarkEnd w:id="223"/>
      <w:r w:rsidRPr="004E28BB">
        <w:t>: The administration of a full neuropsychological test battery after the acute period is appropriate in a number of situations when:</w:t>
      </w:r>
    </w:p>
    <w:p w:rsidR="005412DF" w:rsidRPr="004E28BB" w:rsidRDefault="005412DF" w:rsidP="00D41D04">
      <w:pPr>
        <w:ind w:left="2880" w:hanging="360"/>
      </w:pPr>
      <w:r w:rsidRPr="004E28BB">
        <w:t>●</w:t>
      </w:r>
      <w:r w:rsidRPr="004E28BB">
        <w:tab/>
      </w:r>
      <w:r w:rsidR="00963987">
        <w:t>D</w:t>
      </w:r>
      <w:r w:rsidRPr="004E28BB">
        <w:t xml:space="preserve">evelopmental issues are interacting with a history of </w:t>
      </w:r>
      <w:r w:rsidR="00963987">
        <w:t>TBI</w:t>
      </w:r>
      <w:r w:rsidRPr="004E28BB">
        <w:t xml:space="preserve"> (e.g. determining if age related memory or cognitive changes are impairing functioning in a person with a history of moderate/severe </w:t>
      </w:r>
      <w:r w:rsidR="00963987">
        <w:t>TBI</w:t>
      </w:r>
      <w:r w:rsidRPr="004E28BB">
        <w:t>)</w:t>
      </w:r>
      <w:r w:rsidR="00962A22">
        <w:t>.</w:t>
      </w:r>
    </w:p>
    <w:p w:rsidR="005412DF" w:rsidRPr="004E28BB" w:rsidRDefault="005412DF" w:rsidP="00D41D04">
      <w:pPr>
        <w:ind w:left="2880" w:hanging="360"/>
      </w:pPr>
      <w:r w:rsidRPr="004E28BB">
        <w:t>●</w:t>
      </w:r>
      <w:r w:rsidRPr="004E28BB">
        <w:tab/>
      </w:r>
      <w:r w:rsidR="00963987">
        <w:t>L</w:t>
      </w:r>
      <w:r w:rsidRPr="004E28BB">
        <w:t>ate complications develop that affect cognition and overall function (e.g. seizures, depression, anxiety disorders)</w:t>
      </w:r>
      <w:r w:rsidR="00962A22">
        <w:t>.</w:t>
      </w:r>
    </w:p>
    <w:p w:rsidR="005412DF" w:rsidRPr="004E28BB" w:rsidRDefault="005412DF" w:rsidP="00D41D04">
      <w:pPr>
        <w:ind w:left="2880" w:hanging="360"/>
      </w:pPr>
      <w:r w:rsidRPr="004E28BB">
        <w:t>●</w:t>
      </w:r>
      <w:r w:rsidRPr="004E28BB">
        <w:tab/>
      </w:r>
      <w:r w:rsidR="00963987">
        <w:t>T</w:t>
      </w:r>
      <w:r w:rsidRPr="004E28BB">
        <w:t>here are questions of competency, guardianship</w:t>
      </w:r>
      <w:r w:rsidR="00963987">
        <w:t>,</w:t>
      </w:r>
      <w:r w:rsidRPr="004E28BB">
        <w:t xml:space="preserve"> or conservatorship</w:t>
      </w:r>
      <w:r w:rsidR="00962A22">
        <w:t>.</w:t>
      </w:r>
    </w:p>
    <w:p w:rsidR="005412DF" w:rsidRPr="004E28BB" w:rsidRDefault="005412DF" w:rsidP="00D41D04">
      <w:pPr>
        <w:ind w:left="2880" w:hanging="360"/>
      </w:pPr>
      <w:r w:rsidRPr="004E28BB">
        <w:t>●</w:t>
      </w:r>
      <w:r w:rsidRPr="004E28BB">
        <w:tab/>
      </w:r>
      <w:r w:rsidR="00963987">
        <w:t>I</w:t>
      </w:r>
      <w:r w:rsidRPr="004E28BB">
        <w:t>t is necessary to address any of the issues on the initial indications tests</w:t>
      </w:r>
      <w:r w:rsidR="00962A22">
        <w:t>.</w:t>
      </w:r>
      <w:r w:rsidRPr="004E28BB">
        <w:t xml:space="preserve"> </w:t>
      </w:r>
    </w:p>
    <w:p w:rsidR="005412DF" w:rsidRPr="004E28BB" w:rsidRDefault="005412DF" w:rsidP="00D41D04">
      <w:pPr>
        <w:pStyle w:val="ListNumber2"/>
      </w:pPr>
      <w:bookmarkStart w:id="224" w:name="_Toc319922498"/>
      <w:bookmarkStart w:id="225" w:name="_Toc394643271"/>
      <w:r w:rsidRPr="004E28BB">
        <w:rPr>
          <w:rStyle w:val="Guide2-123Char"/>
        </w:rPr>
        <w:t>PERSONALITY/PSYCHOLOGICAL/PSYCHOSOCIAL EVALUATIONS</w:t>
      </w:r>
      <w:bookmarkEnd w:id="224"/>
      <w:bookmarkEnd w:id="225"/>
      <w:r w:rsidR="00962A22" w:rsidRPr="004E28BB">
        <w:t>:</w:t>
      </w:r>
      <w:r w:rsidRPr="004E28BB">
        <w:t xml:space="preserve"> </w:t>
      </w:r>
      <w:r w:rsidR="00962A22">
        <w:t>G</w:t>
      </w:r>
      <w:r w:rsidRPr="004E28BB">
        <w:t xml:space="preserve">enerally accepted and </w:t>
      </w:r>
      <w:r w:rsidR="00B05FF1">
        <w:t>well-</w:t>
      </w:r>
      <w:r w:rsidRPr="004E28BB">
        <w:t xml:space="preserve">established diagnostic procedures with selective use in the TBI population. They have more widespread use in the sub-acute and chronic populations. Diagnostic testing may be indicated for individuals with symptoms of post-traumatic disturbances of sleep, mood, anxiety, psychosis, substance use, aggression/agitation, and pain, as well as depression, delayed recovery, chronic pain, recurrent painful conditions, and disability problems. An individual with a PhD, PsyD, or psychiatric MD/DO credentials may perform these evaluations. </w:t>
      </w:r>
      <w:r w:rsidRPr="004E28BB">
        <w:br/>
      </w:r>
      <w:r w:rsidRPr="004E28BB">
        <w:br/>
        <w:t xml:space="preserve">Psychosocial evaluations </w:t>
      </w:r>
      <w:r w:rsidR="00E96BC2" w:rsidRPr="004E28BB">
        <w:t>can help to</w:t>
      </w:r>
      <w:r w:rsidRPr="004E28BB">
        <w:t xml:space="preserve"> determine if further psychosocial or behavioral interventions are indicated for patients diagnosed with TBI. The interpretations of the evaluation </w:t>
      </w:r>
      <w:r w:rsidR="00E96BC2" w:rsidRPr="004E28BB">
        <w:t>can</w:t>
      </w:r>
      <w:r w:rsidRPr="004E28BB">
        <w:t xml:space="preserve"> provide clinicians with a better understanding of the patient in his or her social environment, thus allowing for more effective rehabilitation. Psychosocial assessment requires consideration of variations in experience and expression resulting from affective, cognitive, motivational</w:t>
      </w:r>
      <w:r w:rsidR="007F0C95">
        <w:t>,</w:t>
      </w:r>
      <w:r w:rsidRPr="004E28BB">
        <w:t xml:space="preserve"> and coping processes, </w:t>
      </w:r>
      <w:r w:rsidR="007F0C95">
        <w:t>as well as</w:t>
      </w:r>
      <w:r w:rsidR="007F0C95" w:rsidRPr="004E28BB">
        <w:t xml:space="preserve"> </w:t>
      </w:r>
      <w:r w:rsidRPr="004E28BB">
        <w:t>other influences such as gender, age, race, ethnicity, national origin, religion, sexual orientation, disability, language, or socioeconomic status.</w:t>
      </w:r>
      <w:r w:rsidRPr="004E28BB">
        <w:br/>
      </w:r>
      <w:r w:rsidRPr="004E28BB">
        <w:br/>
        <w:t>A comprehensive psychological evaluation should attempt to identify both primary psychiatric risk factors</w:t>
      </w:r>
      <w:r w:rsidR="007F0C95">
        <w:t>,</w:t>
      </w:r>
      <w:r w:rsidRPr="004E28BB">
        <w:t xml:space="preserve"> or “red flags” (e.g. psychosis, active suicidality), as well as secondary risk factors</w:t>
      </w:r>
      <w:r w:rsidR="007F0C95">
        <w:t>,</w:t>
      </w:r>
      <w:r w:rsidRPr="004E28BB">
        <w:t xml:space="preserve"> or “yellow flags” (e.g. moderate depression, job dissatis</w:t>
      </w:r>
      <w:r w:rsidR="00B30BDE" w:rsidRPr="004E28BB">
        <w:t>faction, symptom magnification)</w:t>
      </w:r>
      <w:r w:rsidRPr="004E28BB">
        <w:rPr>
          <w:rStyle w:val="GuideCitesCharChar"/>
        </w:rPr>
        <w:t xml:space="preserve"> </w:t>
      </w:r>
      <w:r w:rsidRPr="004C018D">
        <w:rPr>
          <w:rStyle w:val="GuideCitesCharChar"/>
          <w:highlight w:val="yellow"/>
        </w:rPr>
        <w:t>(</w:t>
      </w:r>
      <w:hyperlink w:anchor="Bruns2009" w:history="1">
        <w:r w:rsidRPr="000D5DCD">
          <w:rPr>
            <w:rStyle w:val="Hyperlink"/>
            <w:rFonts w:cs="Arial"/>
            <w:highlight w:val="yellow"/>
          </w:rPr>
          <w:t>Bruns, 2009</w:t>
        </w:r>
      </w:hyperlink>
      <w:r w:rsidRPr="004C018D">
        <w:rPr>
          <w:rStyle w:val="GuideCitesCharChar"/>
          <w:highlight w:val="yellow"/>
        </w:rPr>
        <w:t>)</w:t>
      </w:r>
      <w:r w:rsidR="00B30BDE" w:rsidRPr="004E28BB">
        <w:t xml:space="preserve">. </w:t>
      </w:r>
      <w:r w:rsidRPr="004E28BB">
        <w:t>Significant personality disorders should also be taken into account</w:t>
      </w:r>
      <w:r w:rsidR="00E96BC2" w:rsidRPr="004E28BB">
        <w:t xml:space="preserve"> in treatment planning</w:t>
      </w:r>
      <w:r w:rsidRPr="004E28BB">
        <w:t xml:space="preserve">. </w:t>
      </w:r>
      <w:r w:rsidRPr="004E28BB">
        <w:br/>
      </w:r>
      <w:r w:rsidRPr="004E28BB">
        <w:br/>
        <w:t xml:space="preserve">Psychometric </w:t>
      </w:r>
      <w:r w:rsidR="007F0C95">
        <w:t>t</w:t>
      </w:r>
      <w:r w:rsidRPr="004E28BB">
        <w:t>esting is a valuable component of a consultation to assist the physician and other members of the treatment team in making a more effective treatment plan. There is good evidence that psychometric testing can predict medical treatmen</w:t>
      </w:r>
      <w:r w:rsidR="00B30BDE" w:rsidRPr="004E28BB">
        <w:t>t outcome</w:t>
      </w:r>
      <w:r w:rsidRPr="004E28BB">
        <w:rPr>
          <w:rStyle w:val="GuideCitesCharChar"/>
        </w:rPr>
        <w:t xml:space="preserve"> </w:t>
      </w:r>
      <w:r w:rsidRPr="004C018D">
        <w:rPr>
          <w:rStyle w:val="GuideCitesCharChar"/>
          <w:highlight w:val="yellow"/>
        </w:rPr>
        <w:t>(</w:t>
      </w:r>
      <w:hyperlink w:anchor="Block2001" w:history="1">
        <w:r w:rsidRPr="000D5DCD">
          <w:rPr>
            <w:rStyle w:val="Hyperlink"/>
            <w:rFonts w:cs="Arial"/>
            <w:highlight w:val="yellow"/>
          </w:rPr>
          <w:t>Block, 2001</w:t>
        </w:r>
      </w:hyperlink>
      <w:r w:rsidRPr="004C018D">
        <w:rPr>
          <w:rStyle w:val="GuideCitesCharChar"/>
          <w:highlight w:val="yellow"/>
        </w:rPr>
        <w:t xml:space="preserve">; </w:t>
      </w:r>
      <w:hyperlink w:anchor="Sinikalio2009" w:history="1">
        <w:r w:rsidRPr="000D5DCD">
          <w:rPr>
            <w:rStyle w:val="Hyperlink"/>
            <w:rFonts w:cs="Arial"/>
            <w:highlight w:val="yellow"/>
          </w:rPr>
          <w:t>Sinikallio, 2009</w:t>
        </w:r>
      </w:hyperlink>
      <w:r w:rsidRPr="004C018D">
        <w:rPr>
          <w:rStyle w:val="GuideCitesCharChar"/>
          <w:highlight w:val="yellow"/>
        </w:rPr>
        <w:t xml:space="preserve">, </w:t>
      </w:r>
      <w:hyperlink w:anchor="Sinikalio2010" w:history="1">
        <w:r w:rsidRPr="000D5DCD">
          <w:rPr>
            <w:rStyle w:val="Hyperlink"/>
            <w:rFonts w:cs="Arial"/>
            <w:highlight w:val="yellow"/>
          </w:rPr>
          <w:t>2010</w:t>
        </w:r>
      </w:hyperlink>
      <w:r w:rsidRPr="004C018D">
        <w:rPr>
          <w:rStyle w:val="GuideCitesCharChar"/>
          <w:highlight w:val="yellow"/>
        </w:rPr>
        <w:t>)</w:t>
      </w:r>
      <w:r w:rsidR="00B30BDE" w:rsidRPr="004C018D">
        <w:rPr>
          <w:highlight w:val="yellow"/>
        </w:rPr>
        <w:t>.</w:t>
      </w:r>
      <w:r w:rsidR="00E96BC2" w:rsidRPr="004E28BB">
        <w:t xml:space="preserve"> Psychometric testing can assist in predicting a patient’s likely adherence to and cooperation with medical treatment plans and </w:t>
      </w:r>
      <w:r w:rsidR="007F0C95">
        <w:t xml:space="preserve">in </w:t>
      </w:r>
      <w:r w:rsidR="00E96BC2" w:rsidRPr="004E28BB">
        <w:lastRenderedPageBreak/>
        <w:t>enhanc</w:t>
      </w:r>
      <w:r w:rsidR="007F0C95">
        <w:t>ing</w:t>
      </w:r>
      <w:r w:rsidR="00E96BC2" w:rsidRPr="004E28BB">
        <w:t xml:space="preserve"> general medical outcomes.</w:t>
      </w:r>
      <w:r w:rsidRPr="004E28BB">
        <w:br/>
      </w:r>
      <w:r w:rsidRPr="004E28BB">
        <w:br/>
        <w:t>Even in cases where no diagnosable psychological condition is present, these evaluations can identify social, cultural, coping</w:t>
      </w:r>
      <w:r w:rsidR="007F0C95">
        <w:t>,</w:t>
      </w:r>
      <w:r w:rsidRPr="004E28BB">
        <w:t xml:space="preserve"> and other variables that may be influencing the patient’s recovery process and may be amenable to various treatments</w:t>
      </w:r>
      <w:r w:rsidR="007F0C95">
        <w:t>,</w:t>
      </w:r>
      <w:r w:rsidRPr="004E28BB">
        <w:t xml:space="preserve"> including behavioral therapy. </w:t>
      </w:r>
    </w:p>
    <w:p w:rsidR="005412DF" w:rsidRPr="004E28BB" w:rsidRDefault="005412DF" w:rsidP="009C3DC2">
      <w:pPr>
        <w:pStyle w:val="ListNumber3"/>
        <w:numPr>
          <w:ilvl w:val="2"/>
          <w:numId w:val="17"/>
        </w:numPr>
      </w:pPr>
      <w:bookmarkStart w:id="226" w:name="_Toc319922499"/>
      <w:bookmarkStart w:id="227" w:name="_Toc394643272"/>
      <w:r w:rsidRPr="004E28BB">
        <w:rPr>
          <w:rStyle w:val="Guide3-abcdChar"/>
        </w:rPr>
        <w:t>Qualifications</w:t>
      </w:r>
      <w:bookmarkEnd w:id="226"/>
      <w:bookmarkEnd w:id="227"/>
      <w:r w:rsidRPr="004E28BB">
        <w:t>:</w:t>
      </w:r>
    </w:p>
    <w:p w:rsidR="005412DF" w:rsidRPr="004E28BB" w:rsidRDefault="005412DF" w:rsidP="00D41D04">
      <w:pPr>
        <w:pStyle w:val="ListNumber4"/>
      </w:pPr>
      <w:r w:rsidRPr="004E28BB">
        <w:t>A psychologist with a PhD, PsyD, EdD credentials, or a physician with Psychiatric MD/DO credentials may perform the initial comprehensive evaluations. It is preferable that these professionals have experience in diagnosing and treating MTBI in injured workers.</w:t>
      </w:r>
    </w:p>
    <w:p w:rsidR="005412DF" w:rsidRPr="004E28BB" w:rsidRDefault="005412DF" w:rsidP="00D41D04">
      <w:pPr>
        <w:pStyle w:val="ListNumber4"/>
        <w:rPr>
          <w:i/>
        </w:rPr>
      </w:pPr>
      <w:r w:rsidRPr="004E28BB">
        <w:t>Psychometric tests should be administered by psychologists with a PhD, PsyD, or EdD credentials, or health professionals working under the supervision of a doctorate level psychologist. Physicians with appropriate training may also administer such testing</w:t>
      </w:r>
      <w:r w:rsidR="002B0BF4">
        <w:t>,</w:t>
      </w:r>
      <w:r w:rsidRPr="004E28BB">
        <w:t xml:space="preserve"> but interpretation of the tests should be done by trained psychologists. </w:t>
      </w:r>
    </w:p>
    <w:p w:rsidR="005412DF" w:rsidRPr="004E28BB" w:rsidRDefault="005412DF" w:rsidP="00D41D04">
      <w:pPr>
        <w:pStyle w:val="ListNumber3"/>
      </w:pPr>
      <w:bookmarkStart w:id="228" w:name="_Toc319922500"/>
      <w:bookmarkStart w:id="229" w:name="_Toc394643273"/>
      <w:r w:rsidRPr="004E28BB">
        <w:rPr>
          <w:rStyle w:val="Guide3-abcdChar"/>
        </w:rPr>
        <w:t>Indications</w:t>
      </w:r>
      <w:bookmarkEnd w:id="228"/>
      <w:bookmarkEnd w:id="229"/>
      <w:r w:rsidRPr="004E28BB">
        <w:t xml:space="preserve">: </w:t>
      </w:r>
    </w:p>
    <w:p w:rsidR="005412DF" w:rsidRPr="004E28BB" w:rsidRDefault="005412DF" w:rsidP="00D41D04">
      <w:pPr>
        <w:pStyle w:val="ListNumber4"/>
      </w:pPr>
      <w:r w:rsidRPr="004E28BB">
        <w:t xml:space="preserve">A psychological assessment may be necessary if symptoms do not correlate with a diagnosis of TBI. Complaints of cognitive dysfunction may also be associated with a variety of conditions that do not involve neurological disease, </w:t>
      </w:r>
      <w:r w:rsidR="0056633D">
        <w:t>TBI</w:t>
      </w:r>
      <w:r w:rsidRPr="004E28BB">
        <w:t>, or concussion. This includes conditions that may have been pre-existing or are concurrent, such as depression, anxiety, chronic pain, somatoform disorders, and factitious orders. At times, a set of symptoms may not coincide with expected objective findings for those with a diagnosis of TBI. To identify non-neurological contributions to cognitive or other functional complaints, a psychological evaluation focusing on mental disorder diagnoses is appropriate when:</w:t>
      </w:r>
    </w:p>
    <w:p w:rsidR="005412DF" w:rsidRPr="004E28BB" w:rsidRDefault="005412DF" w:rsidP="00D41D04">
      <w:pPr>
        <w:ind w:left="3600" w:hanging="360"/>
      </w:pPr>
      <w:r w:rsidRPr="004E28BB">
        <w:t>●</w:t>
      </w:r>
      <w:r w:rsidRPr="004E28BB">
        <w:tab/>
      </w:r>
      <w:r w:rsidR="002B0BF4">
        <w:t>D</w:t>
      </w:r>
      <w:r w:rsidRPr="004E28BB">
        <w:t>elayed recovery is present</w:t>
      </w:r>
      <w:r w:rsidR="00962A22">
        <w:t>,</w:t>
      </w:r>
    </w:p>
    <w:p w:rsidR="005412DF" w:rsidRPr="004E28BB" w:rsidRDefault="005412DF" w:rsidP="00D41D04">
      <w:pPr>
        <w:ind w:left="3600" w:hanging="360"/>
      </w:pPr>
      <w:r w:rsidRPr="004E28BB">
        <w:t>●</w:t>
      </w:r>
      <w:r w:rsidRPr="004E28BB">
        <w:tab/>
      </w:r>
      <w:r w:rsidR="002B0BF4">
        <w:t>T</w:t>
      </w:r>
      <w:r w:rsidRPr="004E28BB">
        <w:t>here is a question of whether a brain injury has occurred</w:t>
      </w:r>
      <w:r w:rsidR="00962A22">
        <w:t>,</w:t>
      </w:r>
      <w:r w:rsidRPr="004E28BB">
        <w:t xml:space="preserve"> </w:t>
      </w:r>
    </w:p>
    <w:p w:rsidR="005412DF" w:rsidRPr="004E28BB" w:rsidRDefault="005412DF" w:rsidP="00D41D04">
      <w:pPr>
        <w:ind w:left="3600" w:hanging="360"/>
      </w:pPr>
      <w:r w:rsidRPr="004E28BB">
        <w:t>●</w:t>
      </w:r>
      <w:r w:rsidRPr="004E28BB">
        <w:tab/>
      </w:r>
      <w:r w:rsidR="002B0BF4">
        <w:t>N</w:t>
      </w:r>
      <w:r w:rsidRPr="004E28BB">
        <w:t>europsychological testing yields a pattern of test results that is not consistent with the clinical history</w:t>
      </w:r>
      <w:r w:rsidR="00962A22">
        <w:t>,</w:t>
      </w:r>
    </w:p>
    <w:p w:rsidR="005412DF" w:rsidRPr="004E28BB" w:rsidRDefault="005412DF" w:rsidP="00D41D04">
      <w:pPr>
        <w:ind w:left="3600" w:hanging="360"/>
      </w:pPr>
      <w:r w:rsidRPr="004E28BB">
        <w:t>●</w:t>
      </w:r>
      <w:r w:rsidRPr="004E28BB">
        <w:tab/>
      </w:r>
      <w:r w:rsidR="002B0BF4">
        <w:t>N</w:t>
      </w:r>
      <w:r w:rsidRPr="004E28BB">
        <w:t>eurologically improbable symptoms are present</w:t>
      </w:r>
      <w:r w:rsidR="002B0BF4">
        <w:t>, or</w:t>
      </w:r>
    </w:p>
    <w:p w:rsidR="005412DF" w:rsidRPr="004E28BB" w:rsidRDefault="005412DF" w:rsidP="00D41D04">
      <w:pPr>
        <w:ind w:left="3600" w:hanging="360"/>
      </w:pPr>
      <w:r w:rsidRPr="004E28BB">
        <w:t>●</w:t>
      </w:r>
      <w:r w:rsidRPr="004E28BB">
        <w:tab/>
      </w:r>
      <w:r w:rsidR="002B0BF4">
        <w:t xml:space="preserve">It is necessary </w:t>
      </w:r>
      <w:r w:rsidR="00962A22">
        <w:t>t</w:t>
      </w:r>
      <w:r w:rsidRPr="004E28BB">
        <w:t>o assess for accompanying psychological components</w:t>
      </w:r>
      <w:r w:rsidR="00962A22">
        <w:t>.</w:t>
      </w:r>
    </w:p>
    <w:p w:rsidR="005412DF" w:rsidRPr="004E28BB" w:rsidRDefault="005412DF" w:rsidP="00D41D04">
      <w:pPr>
        <w:pStyle w:val="ListNumber3"/>
      </w:pPr>
      <w:bookmarkStart w:id="230" w:name="_Toc319922501"/>
      <w:bookmarkStart w:id="231" w:name="_Toc394643274"/>
      <w:r w:rsidRPr="004E28BB">
        <w:rPr>
          <w:rStyle w:val="Guide3-abcdChar"/>
        </w:rPr>
        <w:t>Clinical Evaluation</w:t>
      </w:r>
      <w:bookmarkEnd w:id="230"/>
      <w:bookmarkEnd w:id="231"/>
      <w:r w:rsidRPr="004E28BB">
        <w:t xml:space="preserve">: </w:t>
      </w:r>
      <w:r w:rsidRPr="004E28BB">
        <w:br/>
      </w:r>
      <w:r w:rsidRPr="004E28BB">
        <w:br/>
        <w:t xml:space="preserve">Special note to health care providers: most providers are required to adhere to the federal regulations under the Health Insurance Portability and Accountability Act (HIPAA). Unlike general health insurers, workers compensation insurers are not required to adhere to HIPAA standards thus, providers should assume that sensitive information included in a report sent to the insurer could be forwarded to the employer. The </w:t>
      </w:r>
      <w:smartTag w:uri="urn:schemas-microsoft-com:office:smarttags" w:element="place">
        <w:smartTag w:uri="urn:schemas-microsoft-com:office:smarttags" w:element="State">
          <w:r w:rsidRPr="004E28BB">
            <w:t>Colorado</w:t>
          </w:r>
        </w:smartTag>
      </w:smartTag>
      <w:r w:rsidRPr="004E28BB">
        <w:t xml:space="preserve"> statute provides a limited waiver of medical information regarding the work-related injury or disease to the extent necessary to resolve the claim. It is recommended that the health care provider either </w:t>
      </w:r>
      <w:r w:rsidR="001B3B4C">
        <w:t>(</w:t>
      </w:r>
      <w:r w:rsidRPr="004E28BB">
        <w:t xml:space="preserve">1) </w:t>
      </w:r>
      <w:r w:rsidRPr="004E28BB">
        <w:lastRenderedPageBreak/>
        <w:t xml:space="preserve">obtain a full release from the patient regarding information that may go to the employer or </w:t>
      </w:r>
      <w:r w:rsidR="001B3B4C">
        <w:t>(</w:t>
      </w:r>
      <w:r w:rsidRPr="004E28BB">
        <w:t xml:space="preserve">2) not include sensitive health information </w:t>
      </w:r>
      <w:r w:rsidR="002B0BF4">
        <w:t xml:space="preserve">that is </w:t>
      </w:r>
      <w:r w:rsidRPr="004E28BB">
        <w:t>not directly related to the work</w:t>
      </w:r>
      <w:r w:rsidR="002B0BF4">
        <w:t>-</w:t>
      </w:r>
      <w:r w:rsidRPr="004E28BB">
        <w:t>related conditions in reports sent to the insurer.</w:t>
      </w:r>
      <w:r w:rsidRPr="004E28BB">
        <w:br/>
      </w:r>
      <w:r w:rsidRPr="004E28BB">
        <w:br/>
        <w:t>The clinical evaluation should address the following areas:</w:t>
      </w:r>
    </w:p>
    <w:p w:rsidR="005412DF" w:rsidRPr="004E28BB" w:rsidRDefault="005412DF" w:rsidP="00D41D04">
      <w:pPr>
        <w:pStyle w:val="ListNumber4"/>
      </w:pPr>
      <w:r w:rsidRPr="004E28BB">
        <w:rPr>
          <w:rStyle w:val="Guide4-i"/>
        </w:rPr>
        <w:t>History of Injury</w:t>
      </w:r>
      <w:r w:rsidR="00962A22" w:rsidRPr="004E28BB">
        <w:t>:</w:t>
      </w:r>
      <w:r w:rsidRPr="004E28BB">
        <w:t xml:space="preserve"> The history of the injury should be reported in the patient’s words or using similar terminology. Caution must be exercised when using translators.</w:t>
      </w:r>
      <w:r w:rsidR="00F64E42">
        <w:t xml:space="preserve"> </w:t>
      </w:r>
    </w:p>
    <w:p w:rsidR="005412DF" w:rsidRPr="004E28BB" w:rsidRDefault="005412DF" w:rsidP="00D41D04">
      <w:pPr>
        <w:ind w:left="3600" w:hanging="360"/>
      </w:pPr>
      <w:r w:rsidRPr="004E28BB">
        <w:t>●</w:t>
      </w:r>
      <w:r w:rsidRPr="004E28BB">
        <w:tab/>
        <w:t>Nature of injury</w:t>
      </w:r>
      <w:r w:rsidR="00962A22">
        <w:t>.</w:t>
      </w:r>
    </w:p>
    <w:p w:rsidR="005412DF" w:rsidRPr="004E28BB" w:rsidRDefault="005412DF" w:rsidP="00D41D04">
      <w:pPr>
        <w:ind w:left="3600" w:hanging="360"/>
      </w:pPr>
      <w:r w:rsidRPr="004E28BB">
        <w:t>●</w:t>
      </w:r>
      <w:r w:rsidRPr="004E28BB">
        <w:tab/>
        <w:t>Psychosocial circumstances of the injury</w:t>
      </w:r>
      <w:r w:rsidR="00962A22">
        <w:t>.</w:t>
      </w:r>
    </w:p>
    <w:p w:rsidR="005412DF" w:rsidRPr="004E28BB" w:rsidRDefault="005412DF" w:rsidP="00D41D04">
      <w:pPr>
        <w:ind w:left="3600" w:hanging="360"/>
      </w:pPr>
      <w:r w:rsidRPr="004E28BB">
        <w:t>●</w:t>
      </w:r>
      <w:r w:rsidRPr="004E28BB">
        <w:tab/>
        <w:t>Current symptomatic complaints</w:t>
      </w:r>
      <w:r w:rsidR="00962A22">
        <w:t>.</w:t>
      </w:r>
    </w:p>
    <w:p w:rsidR="005412DF" w:rsidRPr="004E28BB" w:rsidRDefault="005412DF" w:rsidP="00D41D04">
      <w:pPr>
        <w:ind w:left="3600" w:hanging="360"/>
      </w:pPr>
      <w:r w:rsidRPr="004E28BB">
        <w:t>●</w:t>
      </w:r>
      <w:r w:rsidRPr="004E28BB">
        <w:tab/>
        <w:t>Extent of medical corroboration</w:t>
      </w:r>
      <w:r w:rsidR="00962A22">
        <w:t>.</w:t>
      </w:r>
    </w:p>
    <w:p w:rsidR="005412DF" w:rsidRPr="004E28BB" w:rsidRDefault="005412DF" w:rsidP="00D41D04">
      <w:pPr>
        <w:ind w:left="3600" w:hanging="360"/>
      </w:pPr>
      <w:r w:rsidRPr="004E28BB">
        <w:t>●</w:t>
      </w:r>
      <w:r w:rsidRPr="004E28BB">
        <w:tab/>
        <w:t>Treatment received and results</w:t>
      </w:r>
      <w:r w:rsidR="00962A22">
        <w:t>.</w:t>
      </w:r>
    </w:p>
    <w:p w:rsidR="005412DF" w:rsidRPr="004E28BB" w:rsidRDefault="005412DF" w:rsidP="00D41D04">
      <w:pPr>
        <w:ind w:left="3600" w:hanging="360"/>
      </w:pPr>
      <w:r w:rsidRPr="004E28BB">
        <w:t>●</w:t>
      </w:r>
      <w:r w:rsidRPr="004E28BB">
        <w:tab/>
        <w:t>Compliance with treatment</w:t>
      </w:r>
      <w:r w:rsidR="00962A22">
        <w:t>.</w:t>
      </w:r>
    </w:p>
    <w:p w:rsidR="005412DF" w:rsidRPr="004E28BB" w:rsidRDefault="005412DF" w:rsidP="00D41D04">
      <w:pPr>
        <w:ind w:left="3600" w:hanging="360"/>
      </w:pPr>
      <w:r w:rsidRPr="004E28BB">
        <w:t>●</w:t>
      </w:r>
      <w:r w:rsidRPr="004E28BB">
        <w:tab/>
        <w:t>Coping strategies used, including perceived locus of control, catastrophizing, and risk aversion</w:t>
      </w:r>
      <w:r w:rsidR="00962A22">
        <w:t>.</w:t>
      </w:r>
      <w:r w:rsidRPr="004E28BB">
        <w:t xml:space="preserve"> </w:t>
      </w:r>
    </w:p>
    <w:p w:rsidR="005412DF" w:rsidRPr="004E28BB" w:rsidRDefault="005412DF" w:rsidP="00D41D04">
      <w:pPr>
        <w:ind w:left="3600" w:hanging="360"/>
      </w:pPr>
      <w:r w:rsidRPr="004E28BB">
        <w:t>●</w:t>
      </w:r>
      <w:r w:rsidRPr="004E28BB">
        <w:tab/>
        <w:t>Perception of medical system and employer</w:t>
      </w:r>
      <w:r w:rsidR="00962A22">
        <w:t>.</w:t>
      </w:r>
    </w:p>
    <w:p w:rsidR="005412DF" w:rsidRPr="004E28BB" w:rsidRDefault="005412DF" w:rsidP="00D41D04">
      <w:pPr>
        <w:ind w:left="3600" w:hanging="360"/>
      </w:pPr>
      <w:r w:rsidRPr="004E28BB">
        <w:t>●</w:t>
      </w:r>
      <w:r w:rsidRPr="004E28BB">
        <w:tab/>
        <w:t>History of response to prescription medications</w:t>
      </w:r>
      <w:r w:rsidR="00962A22">
        <w:t>.</w:t>
      </w:r>
    </w:p>
    <w:p w:rsidR="000F5FCB" w:rsidRPr="004E28BB" w:rsidRDefault="000F5FCB" w:rsidP="00D41D04">
      <w:pPr>
        <w:ind w:left="3600" w:hanging="360"/>
      </w:pPr>
      <w:r w:rsidRPr="004E28BB">
        <w:t>●</w:t>
      </w:r>
      <w:r w:rsidRPr="004E28BB">
        <w:tab/>
        <w:t xml:space="preserve">Medication history </w:t>
      </w:r>
      <w:r w:rsidR="00273E70" w:rsidRPr="004E28BB">
        <w:t>related to this injury</w:t>
      </w:r>
      <w:r w:rsidR="00962A22">
        <w:t>.</w:t>
      </w:r>
    </w:p>
    <w:p w:rsidR="005412DF" w:rsidRPr="004E28BB" w:rsidRDefault="005412DF" w:rsidP="00D41D04">
      <w:pPr>
        <w:pStyle w:val="ListNumber4"/>
      </w:pPr>
      <w:r w:rsidRPr="004E28BB">
        <w:rPr>
          <w:rStyle w:val="Guide4-i"/>
        </w:rPr>
        <w:t>Health History</w:t>
      </w:r>
      <w:r w:rsidR="00962A22" w:rsidRPr="004E28BB">
        <w:t>:</w:t>
      </w:r>
    </w:p>
    <w:p w:rsidR="005412DF" w:rsidRPr="004E28BB" w:rsidRDefault="005412DF" w:rsidP="00D41D04">
      <w:pPr>
        <w:ind w:left="3600" w:hanging="360"/>
      </w:pPr>
      <w:r w:rsidRPr="004E28BB">
        <w:t>●</w:t>
      </w:r>
      <w:r w:rsidRPr="004E28BB">
        <w:tab/>
        <w:t>Nature of injury</w:t>
      </w:r>
      <w:r w:rsidR="00962A22">
        <w:t>.</w:t>
      </w:r>
    </w:p>
    <w:p w:rsidR="005412DF" w:rsidRPr="004E28BB" w:rsidRDefault="005412DF" w:rsidP="00D41D04">
      <w:pPr>
        <w:ind w:left="3600" w:hanging="360"/>
      </w:pPr>
      <w:r w:rsidRPr="004E28BB">
        <w:t>●</w:t>
      </w:r>
      <w:r w:rsidRPr="004E28BB">
        <w:tab/>
        <w:t>Medical history</w:t>
      </w:r>
      <w:r w:rsidR="00962A22">
        <w:t>.</w:t>
      </w:r>
    </w:p>
    <w:p w:rsidR="005412DF" w:rsidRPr="004E28BB" w:rsidRDefault="005412DF" w:rsidP="00D41D04">
      <w:pPr>
        <w:ind w:left="3600" w:hanging="360"/>
      </w:pPr>
      <w:r w:rsidRPr="004E28BB">
        <w:t>●</w:t>
      </w:r>
      <w:r w:rsidRPr="004E28BB">
        <w:tab/>
        <w:t>Psychiatric history</w:t>
      </w:r>
      <w:r w:rsidR="00962A22">
        <w:t>.</w:t>
      </w:r>
    </w:p>
    <w:p w:rsidR="005412DF" w:rsidRPr="004E28BB" w:rsidRDefault="005412DF" w:rsidP="00D41D04">
      <w:pPr>
        <w:ind w:left="3600" w:hanging="360"/>
      </w:pPr>
      <w:r w:rsidRPr="004E28BB">
        <w:t>●</w:t>
      </w:r>
      <w:r w:rsidRPr="004E28BB">
        <w:tab/>
        <w:t>History of alcohol or substance abuse, including abuse of prescription medication</w:t>
      </w:r>
      <w:r w:rsidR="00962A22">
        <w:t>.</w:t>
      </w:r>
    </w:p>
    <w:p w:rsidR="005412DF" w:rsidRPr="004E28BB" w:rsidRDefault="005412DF" w:rsidP="00D41D04">
      <w:pPr>
        <w:ind w:left="3600" w:hanging="360"/>
      </w:pPr>
      <w:r w:rsidRPr="004E28BB">
        <w:t>●</w:t>
      </w:r>
      <w:r w:rsidRPr="004E28BB">
        <w:tab/>
      </w:r>
      <w:r w:rsidR="0049733A">
        <w:t>ADLs</w:t>
      </w:r>
      <w:r w:rsidR="00962A22">
        <w:t>.</w:t>
      </w:r>
    </w:p>
    <w:p w:rsidR="005412DF" w:rsidRPr="004E28BB" w:rsidRDefault="005412DF" w:rsidP="00D41D04">
      <w:pPr>
        <w:ind w:left="3600" w:hanging="360"/>
      </w:pPr>
      <w:r w:rsidRPr="004E28BB">
        <w:t>●</w:t>
      </w:r>
      <w:r w:rsidRPr="004E28BB">
        <w:tab/>
        <w:t>Previous injuries, including disability, impairment, and compensation</w:t>
      </w:r>
      <w:r w:rsidR="00962A22">
        <w:t>.</w:t>
      </w:r>
    </w:p>
    <w:p w:rsidR="007E0C2F" w:rsidRPr="004E28BB" w:rsidRDefault="007E0C2F" w:rsidP="00D41D04">
      <w:pPr>
        <w:ind w:left="3600" w:hanging="360"/>
      </w:pPr>
      <w:r w:rsidRPr="004E28BB">
        <w:t>●</w:t>
      </w:r>
      <w:r w:rsidRPr="004E28BB">
        <w:tab/>
      </w:r>
      <w:r w:rsidR="00273E70" w:rsidRPr="004E28BB">
        <w:t>Complete m</w:t>
      </w:r>
      <w:r w:rsidRPr="004E28BB">
        <w:t>edication history, including prescription and over</w:t>
      </w:r>
      <w:r w:rsidR="00437927">
        <w:t>-</w:t>
      </w:r>
      <w:r w:rsidRPr="004E28BB">
        <w:t>the</w:t>
      </w:r>
      <w:r w:rsidR="00437927">
        <w:t>-</w:t>
      </w:r>
      <w:r w:rsidRPr="004E28BB">
        <w:t>counter medications</w:t>
      </w:r>
      <w:r w:rsidR="00962A22">
        <w:t>.</w:t>
      </w:r>
    </w:p>
    <w:p w:rsidR="005412DF" w:rsidRPr="004E28BB" w:rsidRDefault="005412DF" w:rsidP="00D41D04">
      <w:pPr>
        <w:pStyle w:val="ListNumber4"/>
      </w:pPr>
      <w:r w:rsidRPr="004E28BB">
        <w:rPr>
          <w:rStyle w:val="Guide4-i"/>
        </w:rPr>
        <w:t>Psychosocial History</w:t>
      </w:r>
      <w:r w:rsidR="00962A22" w:rsidRPr="004E28BB">
        <w:t>:</w:t>
      </w:r>
    </w:p>
    <w:p w:rsidR="005412DF" w:rsidRPr="004E28BB" w:rsidRDefault="005412DF" w:rsidP="00D41D04">
      <w:pPr>
        <w:ind w:left="3600" w:hanging="360"/>
      </w:pPr>
      <w:r w:rsidRPr="004E28BB">
        <w:t>●</w:t>
      </w:r>
      <w:r w:rsidRPr="004E28BB">
        <w:tab/>
        <w:t>Childhood history, including abuse/neglect and developmental/intellectual disability or delay</w:t>
      </w:r>
      <w:r w:rsidR="00962A22">
        <w:t>.</w:t>
      </w:r>
    </w:p>
    <w:p w:rsidR="005412DF" w:rsidRPr="004E28BB" w:rsidRDefault="005412DF" w:rsidP="00D41D04">
      <w:pPr>
        <w:ind w:left="3600" w:hanging="360"/>
      </w:pPr>
      <w:r w:rsidRPr="004E28BB">
        <w:lastRenderedPageBreak/>
        <w:t>●</w:t>
      </w:r>
      <w:r w:rsidRPr="004E28BB">
        <w:tab/>
        <w:t>Educational history</w:t>
      </w:r>
      <w:r w:rsidR="00962A22">
        <w:t>.</w:t>
      </w:r>
    </w:p>
    <w:p w:rsidR="005412DF" w:rsidRPr="004E28BB" w:rsidRDefault="005412DF" w:rsidP="00D41D04">
      <w:pPr>
        <w:ind w:left="3600" w:hanging="360"/>
      </w:pPr>
      <w:r w:rsidRPr="004E28BB">
        <w:t>●</w:t>
      </w:r>
      <w:r w:rsidRPr="004E28BB">
        <w:tab/>
        <w:t>Family history, including disability</w:t>
      </w:r>
      <w:r w:rsidR="00962A22">
        <w:t>.</w:t>
      </w:r>
    </w:p>
    <w:p w:rsidR="005412DF" w:rsidRPr="004E28BB" w:rsidRDefault="005412DF" w:rsidP="00D41D04">
      <w:pPr>
        <w:ind w:left="3600" w:hanging="360"/>
      </w:pPr>
      <w:r w:rsidRPr="004E28BB">
        <w:t>●</w:t>
      </w:r>
      <w:r w:rsidRPr="004E28BB">
        <w:tab/>
        <w:t>Marital history and other significant adulthood activities and events</w:t>
      </w:r>
      <w:r w:rsidR="00962A22">
        <w:t>.</w:t>
      </w:r>
    </w:p>
    <w:p w:rsidR="005412DF" w:rsidRPr="004E28BB" w:rsidRDefault="005412DF" w:rsidP="00D41D04">
      <w:pPr>
        <w:ind w:left="3600" w:hanging="360"/>
      </w:pPr>
      <w:r w:rsidRPr="004E28BB">
        <w:t>●</w:t>
      </w:r>
      <w:r w:rsidRPr="004E28BB">
        <w:tab/>
        <w:t>Legal history, including criminal and civil litigation</w:t>
      </w:r>
      <w:r w:rsidR="00962A22">
        <w:t>.</w:t>
      </w:r>
    </w:p>
    <w:p w:rsidR="005412DF" w:rsidRPr="004E28BB" w:rsidRDefault="005412DF" w:rsidP="00D41D04">
      <w:pPr>
        <w:ind w:left="3600" w:hanging="360"/>
      </w:pPr>
      <w:r w:rsidRPr="004E28BB">
        <w:t>●</w:t>
      </w:r>
      <w:r w:rsidRPr="004E28BB">
        <w:tab/>
        <w:t>Employment history</w:t>
      </w:r>
      <w:r w:rsidR="00962A22">
        <w:t>.</w:t>
      </w:r>
    </w:p>
    <w:p w:rsidR="005412DF" w:rsidRPr="004E28BB" w:rsidRDefault="005412DF" w:rsidP="00D41D04">
      <w:pPr>
        <w:ind w:left="3600" w:hanging="360"/>
      </w:pPr>
      <w:r w:rsidRPr="004E28BB">
        <w:t>●</w:t>
      </w:r>
      <w:r w:rsidRPr="004E28BB">
        <w:tab/>
        <w:t>Military duty</w:t>
      </w:r>
      <w:r w:rsidR="00437927">
        <w:t>—</w:t>
      </w:r>
      <w:r w:rsidRPr="004E28BB">
        <w:t>because post-traumatic stress disorder (PTSD) might be an unacceptable condition for many military personnel to acknowledge, it may be prudent to screen initially for signs of depression or anxiety</w:t>
      </w:r>
      <w:r w:rsidR="00437927">
        <w:t>—</w:t>
      </w:r>
      <w:r w:rsidRPr="004E28BB">
        <w:t>both of which may be present in PTSD</w:t>
      </w:r>
      <w:r w:rsidR="00962A22">
        <w:t>.</w:t>
      </w:r>
      <w:r w:rsidRPr="004E28BB">
        <w:t xml:space="preserve"> </w:t>
      </w:r>
    </w:p>
    <w:p w:rsidR="005412DF" w:rsidRPr="004E28BB" w:rsidRDefault="005412DF" w:rsidP="00D41D04">
      <w:pPr>
        <w:ind w:left="3600" w:hanging="360"/>
      </w:pPr>
      <w:r w:rsidRPr="004E28BB">
        <w:t>●</w:t>
      </w:r>
      <w:r w:rsidRPr="004E28BB">
        <w:tab/>
        <w:t>Signs of pre-injury psychological dysfunction</w:t>
      </w:r>
      <w:r w:rsidR="00962A22">
        <w:t>.</w:t>
      </w:r>
    </w:p>
    <w:p w:rsidR="005412DF" w:rsidRPr="004E28BB" w:rsidRDefault="005412DF" w:rsidP="00D41D04">
      <w:pPr>
        <w:ind w:left="3600" w:hanging="360"/>
      </w:pPr>
      <w:r w:rsidRPr="004E28BB">
        <w:t>●</w:t>
      </w:r>
      <w:r w:rsidRPr="004E28BB">
        <w:tab/>
        <w:t xml:space="preserve">Current and past interpersonal relations, support, </w:t>
      </w:r>
      <w:r w:rsidR="00437927">
        <w:t xml:space="preserve">and </w:t>
      </w:r>
      <w:r w:rsidRPr="004E28BB">
        <w:t>living situation</w:t>
      </w:r>
      <w:r w:rsidR="00962A22">
        <w:t>.</w:t>
      </w:r>
    </w:p>
    <w:p w:rsidR="005412DF" w:rsidRPr="004E28BB" w:rsidRDefault="005412DF" w:rsidP="00D41D04">
      <w:pPr>
        <w:ind w:left="3600" w:hanging="360"/>
      </w:pPr>
      <w:r w:rsidRPr="004E28BB">
        <w:t>●</w:t>
      </w:r>
      <w:r w:rsidRPr="004E28BB">
        <w:tab/>
        <w:t>Financial history</w:t>
      </w:r>
      <w:r w:rsidR="00962A22">
        <w:t>.</w:t>
      </w:r>
    </w:p>
    <w:p w:rsidR="005412DF" w:rsidRPr="004E28BB" w:rsidRDefault="005412DF" w:rsidP="00D41D04">
      <w:pPr>
        <w:pStyle w:val="ListNumber4"/>
      </w:pPr>
      <w:r w:rsidRPr="004E28BB">
        <w:t>Mental status exam including cognition, affect, mood, orientation, thinking, and perception. May include mini mental status exam or frontal assessment battery</w:t>
      </w:r>
      <w:r w:rsidR="00F21808">
        <w:t>,</w:t>
      </w:r>
      <w:r w:rsidRPr="004E28BB">
        <w:t xml:space="preserve"> if appropriate</w:t>
      </w:r>
      <w:r w:rsidR="00F21808">
        <w:t>,</w:t>
      </w:r>
      <w:r w:rsidRPr="004E28BB">
        <w:t xml:space="preserve"> and detailed neuropsychological testing.</w:t>
      </w:r>
    </w:p>
    <w:p w:rsidR="005412DF" w:rsidRPr="004E28BB" w:rsidRDefault="005412DF" w:rsidP="00D41D04">
      <w:pPr>
        <w:pStyle w:val="ListNumber4"/>
      </w:pPr>
      <w:r w:rsidRPr="004E28BB">
        <w:t xml:space="preserve">Assessment of any danger posed to self or others. </w:t>
      </w:r>
    </w:p>
    <w:p w:rsidR="005412DF" w:rsidRPr="004E28BB" w:rsidRDefault="005412DF" w:rsidP="00D41D04">
      <w:pPr>
        <w:pStyle w:val="ListNumber4"/>
      </w:pPr>
      <w:r w:rsidRPr="004E28BB">
        <w:t>Psychological test results, if performed.</w:t>
      </w:r>
    </w:p>
    <w:p w:rsidR="005412DF" w:rsidRPr="004E28BB" w:rsidRDefault="005412DF" w:rsidP="00D41D04">
      <w:pPr>
        <w:pStyle w:val="ListNumber4"/>
      </w:pPr>
      <w:r w:rsidRPr="004E28BB">
        <w:t>Current psychiatric/psychological diagnosis consistent with the standards of the American Psychiatric Association’s most recent Diagnostic and Statistical Manual of Mental Disorders.</w:t>
      </w:r>
    </w:p>
    <w:p w:rsidR="005412DF" w:rsidRPr="004E28BB" w:rsidRDefault="005412DF" w:rsidP="00D41D04">
      <w:pPr>
        <w:pStyle w:val="ListNumber4"/>
      </w:pPr>
      <w:r w:rsidRPr="004E28BB">
        <w:t>Pre-existing psychiatric conditions. Treatment of these conditions is appropriate when the pre-existing condition affects recovery.</w:t>
      </w:r>
    </w:p>
    <w:p w:rsidR="005412DF" w:rsidRPr="004E28BB" w:rsidRDefault="005412DF" w:rsidP="00D41D04">
      <w:pPr>
        <w:pStyle w:val="ListNumber4"/>
      </w:pPr>
      <w:r w:rsidRPr="004E28BB">
        <w:t>Causality (to address medically probable cause and effect, distinguishing pre-existing psychological symptoms, traits</w:t>
      </w:r>
      <w:r w:rsidR="00F21808">
        <w:t>,</w:t>
      </w:r>
      <w:r w:rsidRPr="004E28BB">
        <w:t xml:space="preserve"> and vulnerabilities from current symptoms).</w:t>
      </w:r>
    </w:p>
    <w:p w:rsidR="005412DF" w:rsidRPr="004E28BB" w:rsidRDefault="005412DF" w:rsidP="00D41D04">
      <w:pPr>
        <w:pStyle w:val="ListNumber4"/>
      </w:pPr>
      <w:r w:rsidRPr="004E28BB">
        <w:t>Treatment recommendations with respect to specific goals, frequency, timeframes, and expected outcomes.</w:t>
      </w:r>
    </w:p>
    <w:p w:rsidR="005412DF" w:rsidRPr="004E28BB" w:rsidRDefault="005412DF" w:rsidP="00D41D04">
      <w:pPr>
        <w:pStyle w:val="ListNumber2"/>
      </w:pPr>
      <w:bookmarkStart w:id="232" w:name="_Toc319922502"/>
      <w:bookmarkStart w:id="233" w:name="_Toc394643275"/>
      <w:r w:rsidRPr="004E28BB">
        <w:rPr>
          <w:rStyle w:val="Guide2-123Char"/>
        </w:rPr>
        <w:t>ELECTROENCEPHALOGRAPHY</w:t>
      </w:r>
      <w:bookmarkEnd w:id="232"/>
      <w:bookmarkEnd w:id="233"/>
      <w:r w:rsidR="00962A22" w:rsidRPr="004E28BB">
        <w:t>:</w:t>
      </w:r>
    </w:p>
    <w:p w:rsidR="005412DF" w:rsidRPr="004E28BB" w:rsidRDefault="005412DF" w:rsidP="009C3DC2">
      <w:pPr>
        <w:pStyle w:val="ListNumber3"/>
        <w:numPr>
          <w:ilvl w:val="2"/>
          <w:numId w:val="18"/>
        </w:numPr>
      </w:pPr>
      <w:bookmarkStart w:id="234" w:name="_Toc319922503"/>
      <w:bookmarkStart w:id="235" w:name="_Toc394643276"/>
      <w:r w:rsidRPr="004E28BB">
        <w:rPr>
          <w:rStyle w:val="Guide3-abcdChar"/>
        </w:rPr>
        <w:t>Electroencephalography (EEG)</w:t>
      </w:r>
      <w:bookmarkEnd w:id="234"/>
      <w:bookmarkEnd w:id="235"/>
      <w:r w:rsidRPr="004E28BB">
        <w:t xml:space="preserve">: </w:t>
      </w:r>
      <w:r w:rsidR="00F21808">
        <w:t>A</w:t>
      </w:r>
      <w:r w:rsidRPr="004E28BB">
        <w:t xml:space="preserve"> well-established diagnostic procedure that monitors brain wave activity using scalp electrodes and provocative maneuvers such as hyperventilation and photic strobe. Information generated includes alterations in brain wave activity such as frequency changes (non</w:t>
      </w:r>
      <w:r w:rsidR="0053165C">
        <w:t>-</w:t>
      </w:r>
      <w:r w:rsidRPr="004E28BB">
        <w:t>specific) or morphologic (seizures). EEG is not generally indicated in the immediate period of emergency response,</w:t>
      </w:r>
      <w:r w:rsidR="008239BD">
        <w:t xml:space="preserve"> or during</w:t>
      </w:r>
      <w:r w:rsidRPr="004E28BB">
        <w:t xml:space="preserve"> acute evaluation and treatment. Following initial assessment and stabilization, the individual’s course should be monitored. If </w:t>
      </w:r>
      <w:r w:rsidRPr="004E28BB">
        <w:lastRenderedPageBreak/>
        <w:t>during this period there is failure to improve, or the medical condition deteriorates, an EEG may be indicated to asses</w:t>
      </w:r>
      <w:r w:rsidR="00CC2236" w:rsidRPr="004E28BB">
        <w:t>s</w:t>
      </w:r>
      <w:r w:rsidRPr="004E28BB">
        <w:t xml:space="preserve"> seizures, focal encephalopathy due to pers</w:t>
      </w:r>
      <w:r w:rsidR="00CC2236" w:rsidRPr="004E28BB">
        <w:t xml:space="preserve">istent effects of hemorrhage, </w:t>
      </w:r>
      <w:r w:rsidRPr="004E28BB">
        <w:t>diffuse encephalopathy due to the injury, or other complicating factors such as hydrocephalus or medications. A normal EEG does not definitively rule out a seizure disorder. If there is sufficient clinical concern that a seizure disorder may exist despite a normal EEG, then a 72 hour ambulatory EEG or inpatient video-EEG monitoring may be appropriate.</w:t>
      </w:r>
    </w:p>
    <w:p w:rsidR="005412DF" w:rsidRPr="004E28BB" w:rsidRDefault="005412DF" w:rsidP="00D41D04">
      <w:pPr>
        <w:pStyle w:val="ListNumber3"/>
      </w:pPr>
      <w:bookmarkStart w:id="236" w:name="_Toc319922504"/>
      <w:bookmarkStart w:id="237" w:name="_Toc394643277"/>
      <w:r w:rsidRPr="004E28BB">
        <w:rPr>
          <w:rStyle w:val="Guide3-abcdChar"/>
        </w:rPr>
        <w:t>Quantified Electroencephalography (QEEG) (Computerized EEG)</w:t>
      </w:r>
      <w:bookmarkEnd w:id="236"/>
      <w:bookmarkEnd w:id="237"/>
      <w:r w:rsidRPr="004E28BB">
        <w:t xml:space="preserve">: </w:t>
      </w:r>
      <w:r w:rsidR="003E5003">
        <w:t>A</w:t>
      </w:r>
      <w:r w:rsidRPr="004E28BB">
        <w:t xml:space="preserve"> modification of standard EEG using computerized analysis of statistical relationships between power, frequency, timing, and distribution of scalp recorded brain electrical activity. These statistically generated values are then compared to those recorded from selected control and specific populations, generally using multiple regression analysis of multiple measurements and calculated parameters. </w:t>
      </w:r>
    </w:p>
    <w:p w:rsidR="005412DF" w:rsidRPr="004E28BB" w:rsidRDefault="005412DF" w:rsidP="00D41D04">
      <w:pPr>
        <w:pStyle w:val="ListNumber4"/>
        <w:numPr>
          <w:ilvl w:val="0"/>
          <w:numId w:val="0"/>
        </w:numPr>
        <w:ind w:left="2160"/>
        <w:rPr>
          <w:u w:val="single"/>
        </w:rPr>
      </w:pPr>
      <w:r w:rsidRPr="004E28BB">
        <w:t>Recent studies suggest that in the future</w:t>
      </w:r>
      <w:r w:rsidR="00D34D19">
        <w:t>,</w:t>
      </w:r>
      <w:r w:rsidRPr="004E28BB">
        <w:t xml:space="preserve"> QEEG may become a useful tool in the retrospective diagnosis of TBI and its severity, but this application remains investigational</w:t>
      </w:r>
      <w:r w:rsidRPr="004E28BB">
        <w:rPr>
          <w:rStyle w:val="GuideCitesCharChar"/>
        </w:rPr>
        <w:t xml:space="preserve"> </w:t>
      </w:r>
      <w:r w:rsidRPr="00DE4145">
        <w:rPr>
          <w:rStyle w:val="GuideCitesCharChar"/>
          <w:highlight w:val="yellow"/>
        </w:rPr>
        <w:t>(</w:t>
      </w:r>
      <w:hyperlink w:anchor="Arciniegas2011" w:history="1">
        <w:r w:rsidRPr="000D5DCD">
          <w:rPr>
            <w:rStyle w:val="Hyperlink"/>
            <w:rFonts w:cs="Arial"/>
            <w:highlight w:val="yellow"/>
          </w:rPr>
          <w:t>Arciniegas, 2011</w:t>
        </w:r>
      </w:hyperlink>
      <w:r w:rsidRPr="00DE4145">
        <w:rPr>
          <w:rStyle w:val="GuideCitesCharChar"/>
          <w:highlight w:val="yellow"/>
        </w:rPr>
        <w:t xml:space="preserve">; </w:t>
      </w:r>
      <w:hyperlink w:anchor="Coburn2006" w:history="1">
        <w:r w:rsidRPr="000D5DCD">
          <w:rPr>
            <w:rStyle w:val="Hyperlink"/>
            <w:rFonts w:cs="Arial"/>
            <w:highlight w:val="yellow"/>
          </w:rPr>
          <w:t>Coburn, 2006</w:t>
        </w:r>
      </w:hyperlink>
      <w:r w:rsidRPr="00DE4145">
        <w:rPr>
          <w:rStyle w:val="GuideCitesCharChar"/>
          <w:highlight w:val="yellow"/>
        </w:rPr>
        <w:t>)</w:t>
      </w:r>
      <w:r w:rsidR="00B30BDE" w:rsidRPr="004E28BB">
        <w:t xml:space="preserve">. </w:t>
      </w:r>
      <w:r w:rsidRPr="004E28BB">
        <w:t>In moderate/severe TBI</w:t>
      </w:r>
      <w:r w:rsidR="00D34D19">
        <w:t>,</w:t>
      </w:r>
      <w:r w:rsidRPr="004E28BB">
        <w:t xml:space="preserve"> the results of QEEG are almost always redundant when traditional electroencephalographic, neurologic</w:t>
      </w:r>
      <w:r w:rsidR="00D34D19">
        <w:t>,</w:t>
      </w:r>
      <w:r w:rsidRPr="004E28BB">
        <w:t xml:space="preserve"> and radiologic evaluations have been obtained. QEEG is not recommended for diagnosing MTBI or moderate/severe TBI.</w:t>
      </w:r>
    </w:p>
    <w:p w:rsidR="005412DF" w:rsidRPr="004E28BB" w:rsidRDefault="005412DF" w:rsidP="00D41D04">
      <w:pPr>
        <w:pStyle w:val="ListNumber2"/>
      </w:pPr>
      <w:bookmarkStart w:id="238" w:name="TBIE6ElectrodiagnosticStudies"/>
      <w:bookmarkStart w:id="239" w:name="_Toc319922505"/>
      <w:bookmarkStart w:id="240" w:name="_Toc394643278"/>
      <w:bookmarkEnd w:id="238"/>
      <w:r w:rsidRPr="004E28BB">
        <w:rPr>
          <w:rStyle w:val="Guide2-123Char"/>
        </w:rPr>
        <w:t>ELECTRODIAGNOSTIC STUDIES</w:t>
      </w:r>
      <w:bookmarkEnd w:id="239"/>
      <w:bookmarkEnd w:id="240"/>
      <w:r w:rsidR="00962A22" w:rsidRPr="004E28BB">
        <w:t>:</w:t>
      </w:r>
      <w:r w:rsidRPr="004E28BB">
        <w:t xml:space="preserve"> </w:t>
      </w:r>
      <w:r w:rsidR="00962A22">
        <w:t>L</w:t>
      </w:r>
      <w:r w:rsidRPr="004E28BB">
        <w:t>imited to EMG, nerve conduction studies</w:t>
      </w:r>
      <w:r w:rsidR="00D34D19">
        <w:t>,</w:t>
      </w:r>
      <w:r w:rsidRPr="004E28BB">
        <w:t xml:space="preserve"> and multisensory evoked potentials including visual evoked potentials (VEP), somatosensory evoked potentials (SSEP), and brain stem auditory evoked responses (BSAER).</w:t>
      </w:r>
    </w:p>
    <w:p w:rsidR="005412DF" w:rsidRPr="004E28BB" w:rsidRDefault="005412DF" w:rsidP="009C3DC2">
      <w:pPr>
        <w:pStyle w:val="ListNumber3"/>
        <w:numPr>
          <w:ilvl w:val="2"/>
          <w:numId w:val="19"/>
        </w:numPr>
      </w:pPr>
      <w:bookmarkStart w:id="241" w:name="_Toc319922506"/>
      <w:bookmarkStart w:id="242" w:name="_Toc394643279"/>
      <w:r w:rsidRPr="004E28BB">
        <w:rPr>
          <w:rStyle w:val="Guide3-abcdChar"/>
        </w:rPr>
        <w:t>EMG and Nerve Conduction Studies</w:t>
      </w:r>
      <w:bookmarkEnd w:id="241"/>
      <w:bookmarkEnd w:id="242"/>
      <w:r w:rsidRPr="004E28BB">
        <w:t xml:space="preserve">: </w:t>
      </w:r>
      <w:r w:rsidR="00962A22">
        <w:t>G</w:t>
      </w:r>
      <w:r w:rsidRPr="004E28BB">
        <w:t>enerally accepted, well-established diagnostic procedures. These studies may be useful for individuals with brain injury and EMG associated suspected peripheral nervous system involvement. They are often used to differentiate peripheral versus central spinal cord or brain deficits. These electrodiagnostic studies are possibly complementary to other imaging procedures such as CT, MRI, and/or myelography. These studies provide useful correlative neuropathophysiologic information that is unattainable from standard radiologic studies.</w:t>
      </w:r>
    </w:p>
    <w:p w:rsidR="005412DF" w:rsidRPr="004E28BB" w:rsidRDefault="005412DF" w:rsidP="00D41D04">
      <w:pPr>
        <w:pStyle w:val="ListNumber3"/>
      </w:pPr>
      <w:bookmarkStart w:id="243" w:name="_Toc319922507"/>
      <w:bookmarkStart w:id="244" w:name="_Toc394643280"/>
      <w:r w:rsidRPr="004E28BB">
        <w:rPr>
          <w:rStyle w:val="Guide3-abcdChar"/>
        </w:rPr>
        <w:t>Electroneuronography (EnoG)</w:t>
      </w:r>
      <w:bookmarkEnd w:id="243"/>
      <w:bookmarkEnd w:id="244"/>
      <w:r w:rsidRPr="004E28BB">
        <w:t xml:space="preserve">: </w:t>
      </w:r>
      <w:r w:rsidR="00D34D19">
        <w:t>A</w:t>
      </w:r>
      <w:r w:rsidRPr="004E28BB">
        <w:t xml:space="preserve"> well-established and generally accepted test that measures facial nerve function. This test measures the action potential of different branches of a facial nerve. It is used in individuals with TBI resulting in a facial paralysis and is key in determining the need for surgical intervention. This test is most useful within the first three weeks of facial nerve dysfunction. If the action potentials on the affected side are 90</w:t>
      </w:r>
      <w:r w:rsidR="0047702A">
        <w:t>–</w:t>
      </w:r>
      <w:r w:rsidRPr="004E28BB">
        <w:t>100% less than those on the normal side, it suggests significant injury to the nerve and calls for surgical exploration. Individuals with TBI whose nerve is less than 90% decreased in function have a reasonably good outcome with observation alone.</w:t>
      </w:r>
    </w:p>
    <w:p w:rsidR="005412DF" w:rsidRPr="004E28BB" w:rsidRDefault="005412DF" w:rsidP="00D41D04">
      <w:pPr>
        <w:pStyle w:val="ListNumber3"/>
      </w:pPr>
      <w:bookmarkStart w:id="245" w:name="_Toc319922508"/>
      <w:bookmarkStart w:id="246" w:name="_Toc394643281"/>
      <w:r w:rsidRPr="004E28BB">
        <w:rPr>
          <w:rStyle w:val="Guide3-abcdChar"/>
        </w:rPr>
        <w:t>Dynamic Electromyographies</w:t>
      </w:r>
      <w:bookmarkEnd w:id="245"/>
      <w:bookmarkEnd w:id="246"/>
      <w:r w:rsidRPr="004E28BB">
        <w:t xml:space="preserve">: </w:t>
      </w:r>
      <w:r w:rsidR="0047702A">
        <w:t>E</w:t>
      </w:r>
      <w:r w:rsidRPr="004E28BB">
        <w:t>lectrodiagnostic studies utilized to distinguish the voluntary capacity of a muscle from a spastic reaction. This aids the clinician in better planning specific rehabilitative treatment. This study is helpful in the differential diagnosis and diagnostic work-up of disordered muscle tone. This is a generally accepted procedure.</w:t>
      </w:r>
    </w:p>
    <w:p w:rsidR="005412DF" w:rsidRPr="004E28BB" w:rsidRDefault="005412DF" w:rsidP="00D41D04">
      <w:pPr>
        <w:pStyle w:val="ListNumber3"/>
      </w:pPr>
      <w:bookmarkStart w:id="247" w:name="_Toc319922509"/>
      <w:bookmarkStart w:id="248" w:name="_Toc394643282"/>
      <w:r w:rsidRPr="004E28BB">
        <w:rPr>
          <w:rStyle w:val="Guide3-abcdChar"/>
        </w:rPr>
        <w:t>Evoked Potential Responses (EP)</w:t>
      </w:r>
      <w:bookmarkEnd w:id="247"/>
      <w:bookmarkEnd w:id="248"/>
      <w:r w:rsidRPr="004E28BB">
        <w:t xml:space="preserve">: </w:t>
      </w:r>
      <w:r w:rsidR="0047702A">
        <w:t>G</w:t>
      </w:r>
      <w:r w:rsidRPr="004E28BB">
        <w:t>enerally accepted, well-established diagnostic procedures. EPs are stimulus</w:t>
      </w:r>
      <w:r w:rsidR="007843ED">
        <w:t>-</w:t>
      </w:r>
      <w:r w:rsidRPr="004E28BB">
        <w:t xml:space="preserve">based central nervous system electrophysiologic responses to </w:t>
      </w:r>
      <w:r w:rsidR="0047702A">
        <w:t xml:space="preserve">a </w:t>
      </w:r>
      <w:r w:rsidRPr="004E28BB">
        <w:t xml:space="preserve">stimulus, either externally generated via one or </w:t>
      </w:r>
      <w:r w:rsidRPr="004E28BB">
        <w:lastRenderedPageBreak/>
        <w:t>more sensory modalities, or internally generated via the processing of information. Multisensory EP studies are limited to visual</w:t>
      </w:r>
      <w:r w:rsidR="0047702A">
        <w:t>ly</w:t>
      </w:r>
      <w:r w:rsidRPr="004E28BB">
        <w:t xml:space="preserve"> evoked potentials, brain stem</w:t>
      </w:r>
      <w:r w:rsidR="00BD4C20" w:rsidRPr="004E28BB">
        <w:t xml:space="preserve"> auditory</w:t>
      </w:r>
      <w:r w:rsidRPr="004E28BB">
        <w:t xml:space="preserve"> evoked potentials, somatosensory evoked potentials and cognitive evoked potentials. In moderate/severe TBI, including the “minimal responsive or vegetative state,” there is some utility in the use of these studies for differential diagnosis, prognosis</w:t>
      </w:r>
      <w:r w:rsidR="0047702A">
        <w:t>,</w:t>
      </w:r>
      <w:r w:rsidRPr="004E28BB">
        <w:t xml:space="preserve"> and to determine an individual’s more specific level of neurologic functioning.</w:t>
      </w:r>
    </w:p>
    <w:p w:rsidR="005412DF" w:rsidRPr="004E28BB" w:rsidRDefault="00C6550A" w:rsidP="00D41D04">
      <w:pPr>
        <w:pStyle w:val="ListNumber4"/>
      </w:pPr>
      <w:r w:rsidRPr="004E28BB">
        <w:rPr>
          <w:rStyle w:val="Guide4-i"/>
        </w:rPr>
        <w:t>Brains</w:t>
      </w:r>
      <w:r w:rsidR="005412DF" w:rsidRPr="004E28BB">
        <w:rPr>
          <w:rStyle w:val="Guide4-i"/>
        </w:rPr>
        <w:t>tem Auditory Evoked Response (BAER)</w:t>
      </w:r>
      <w:r w:rsidR="008C0DEB">
        <w:t>: A</w:t>
      </w:r>
      <w:r w:rsidR="005412DF" w:rsidRPr="004E28BB">
        <w:t xml:space="preserve"> generally accepted diagnostic procedure useful in assessing damage to the brain stem, midbrain and other neural structures that govern hearing and/or balance. It may be more useful than the Somatosensory Evoked Potential (SSEP) in MTBI. A normal test does not rule out structural damage, and the test may be abnormal in middle ear and non-traumatic disease affecting the auditory pathway. Waves one and three but particularly five, are most useful in assessing injury. While amplitude and the presence of wave are important, the latency and interwave latency </w:t>
      </w:r>
      <w:r w:rsidR="0047702A">
        <w:t>are</w:t>
      </w:r>
      <w:r w:rsidR="005412DF" w:rsidRPr="004E28BB">
        <w:t xml:space="preserve"> equally important. This test is often sensitive but non</w:t>
      </w:r>
      <w:r w:rsidR="0053165C">
        <w:t>-</w:t>
      </w:r>
      <w:r w:rsidR="005412DF" w:rsidRPr="004E28BB">
        <w:t xml:space="preserve">specific. </w:t>
      </w:r>
    </w:p>
    <w:p w:rsidR="005412DF" w:rsidRPr="004E28BB" w:rsidRDefault="005412DF" w:rsidP="00D41D04">
      <w:pPr>
        <w:pStyle w:val="ListNumber4"/>
      </w:pPr>
      <w:r w:rsidRPr="004E28BB">
        <w:rPr>
          <w:rStyle w:val="Guide4-i"/>
        </w:rPr>
        <w:t>Electroretinogram (ERG)</w:t>
      </w:r>
      <w:r w:rsidRPr="004E28BB">
        <w:t xml:space="preserve">: </w:t>
      </w:r>
      <w:r w:rsidR="0047702A">
        <w:t>A</w:t>
      </w:r>
      <w:r w:rsidRPr="004E28BB">
        <w:t xml:space="preserve"> generally accepted diagnostic procedure for occult retinal trauma accompanying </w:t>
      </w:r>
      <w:r w:rsidR="0056633D">
        <w:t>TBI</w:t>
      </w:r>
      <w:r w:rsidRPr="004E28BB">
        <w:t>. Most traumatic retinal pathology presents as a field deficit detected by direct examination.</w:t>
      </w:r>
    </w:p>
    <w:p w:rsidR="005412DF" w:rsidRPr="004E28BB" w:rsidRDefault="005412DF" w:rsidP="00D41D04">
      <w:pPr>
        <w:pStyle w:val="ListNumber4"/>
        <w:rPr>
          <w:u w:val="single"/>
        </w:rPr>
      </w:pPr>
      <w:r w:rsidRPr="004E28BB">
        <w:rPr>
          <w:rStyle w:val="Guide4-i"/>
        </w:rPr>
        <w:t>Cognitive Event-</w:t>
      </w:r>
      <w:r w:rsidR="0047702A">
        <w:rPr>
          <w:rStyle w:val="Guide4-i"/>
        </w:rPr>
        <w:t>R</w:t>
      </w:r>
      <w:r w:rsidRPr="004E28BB">
        <w:rPr>
          <w:rStyle w:val="Guide4-i"/>
        </w:rPr>
        <w:t>elated Potential</w:t>
      </w:r>
      <w:r w:rsidRPr="004E28BB">
        <w:t xml:space="preserve">: </w:t>
      </w:r>
      <w:r w:rsidR="0047702A">
        <w:t>A</w:t>
      </w:r>
      <w:r w:rsidRPr="004E28BB">
        <w:t xml:space="preserve">n acceptable diagnostic procedure for moderate/severe </w:t>
      </w:r>
      <w:r w:rsidR="0047702A">
        <w:t>TBI</w:t>
      </w:r>
      <w:r w:rsidRPr="004E28BB">
        <w:t>. Event-related potential provides no diagnostic information in MTBI that cannot be obtained through other diagnostic procedures and is not recommended in MTBI. It may be used when other diagnoses are suspected.</w:t>
      </w:r>
      <w:r w:rsidR="006054C0" w:rsidRPr="004E28BB">
        <w:t xml:space="preserve"> </w:t>
      </w:r>
    </w:p>
    <w:p w:rsidR="005412DF" w:rsidRPr="004E28BB" w:rsidRDefault="005412DF" w:rsidP="00D41D04">
      <w:pPr>
        <w:pStyle w:val="ListNumber4"/>
        <w:rPr>
          <w:u w:val="single"/>
        </w:rPr>
      </w:pPr>
      <w:r w:rsidRPr="004E28BB">
        <w:rPr>
          <w:rStyle w:val="Guide4-i"/>
        </w:rPr>
        <w:t>Somatosensory Evoked Potential (SSEP)</w:t>
      </w:r>
      <w:r w:rsidRPr="004E28BB">
        <w:t xml:space="preserve">: </w:t>
      </w:r>
      <w:r w:rsidR="0047702A">
        <w:t>A</w:t>
      </w:r>
      <w:r w:rsidRPr="004E28BB">
        <w:t xml:space="preserve"> generally accepted diagnostic procedure for moderate/severe </w:t>
      </w:r>
      <w:r w:rsidR="0047702A">
        <w:t>TBI</w:t>
      </w:r>
      <w:r w:rsidRPr="004E28BB">
        <w:t xml:space="preserve">. SSEP provides no information </w:t>
      </w:r>
      <w:r w:rsidR="00CC2236" w:rsidRPr="004E28BB">
        <w:t>i</w:t>
      </w:r>
      <w:r w:rsidRPr="004E28BB">
        <w:t>n MTBI that cannot be obtained through other diagnostic means. SSEP is not recommended in MTBI.</w:t>
      </w:r>
      <w:r w:rsidR="006054C0" w:rsidRPr="004E28BB">
        <w:t xml:space="preserve"> </w:t>
      </w:r>
      <w:r w:rsidRPr="004E28BB">
        <w:t>It may be used when other diagnoses are suspected.</w:t>
      </w:r>
      <w:r w:rsidR="006054C0" w:rsidRPr="004E28BB">
        <w:t xml:space="preserve"> </w:t>
      </w:r>
    </w:p>
    <w:p w:rsidR="005412DF" w:rsidRPr="004E28BB" w:rsidRDefault="005412DF" w:rsidP="00D41D04">
      <w:pPr>
        <w:pStyle w:val="ListNumber4"/>
      </w:pPr>
      <w:r w:rsidRPr="004E28BB">
        <w:rPr>
          <w:rStyle w:val="Guide4-i"/>
        </w:rPr>
        <w:t>Visual Evoked Potential (VEP)</w:t>
      </w:r>
      <w:r w:rsidRPr="004E28BB">
        <w:t xml:space="preserve">: </w:t>
      </w:r>
      <w:r w:rsidR="0047702A">
        <w:t>A</w:t>
      </w:r>
      <w:r w:rsidRPr="004E28BB">
        <w:t xml:space="preserve"> generally accepted diagnostic procedure. Pattern reversal monocular VEP recording may detect pathology in the anterior-posterior visual pathway from the retina to the occipital cortex. It may be indicated in the event of compromised acuity or visual field defect. The VEP may occasionally be normal in cases of severe structural damage if there is enough preserved central visual field.</w:t>
      </w:r>
    </w:p>
    <w:p w:rsidR="00CC2236" w:rsidRPr="004E28BB" w:rsidRDefault="00CC2236" w:rsidP="00D41D04">
      <w:pPr>
        <w:pStyle w:val="ListNumber4"/>
      </w:pPr>
      <w:r w:rsidRPr="004E28BB">
        <w:rPr>
          <w:rStyle w:val="Guide4-i"/>
        </w:rPr>
        <w:t xml:space="preserve">Vestibular </w:t>
      </w:r>
      <w:r w:rsidR="00962A22">
        <w:rPr>
          <w:rStyle w:val="Guide4-i"/>
        </w:rPr>
        <w:t>E</w:t>
      </w:r>
      <w:r w:rsidRPr="004E28BB">
        <w:rPr>
          <w:rStyle w:val="Guide4-i"/>
        </w:rPr>
        <w:t xml:space="preserve">voked </w:t>
      </w:r>
      <w:r w:rsidR="00962A22">
        <w:rPr>
          <w:rStyle w:val="Guide4-i"/>
        </w:rPr>
        <w:t>M</w:t>
      </w:r>
      <w:r w:rsidRPr="004E28BB">
        <w:rPr>
          <w:rStyle w:val="Guide4-i"/>
        </w:rPr>
        <w:t xml:space="preserve">yogenic </w:t>
      </w:r>
      <w:r w:rsidR="00962A22">
        <w:rPr>
          <w:rStyle w:val="Guide4-i"/>
        </w:rPr>
        <w:t>P</w:t>
      </w:r>
      <w:r w:rsidRPr="004E28BB">
        <w:rPr>
          <w:rStyle w:val="Guide4-i"/>
        </w:rPr>
        <w:t>otentials (VEMP)</w:t>
      </w:r>
      <w:r w:rsidR="0047702A" w:rsidRPr="0047702A">
        <w:t>:</w:t>
      </w:r>
      <w:r w:rsidRPr="004E28BB">
        <w:t xml:space="preserve"> </w:t>
      </w:r>
      <w:r w:rsidR="00962A22">
        <w:t>R</w:t>
      </w:r>
      <w:r w:rsidRPr="004E28BB">
        <w:t xml:space="preserve">efer to </w:t>
      </w:r>
      <w:r w:rsidR="0047702A">
        <w:t>S</w:t>
      </w:r>
      <w:r w:rsidRPr="004E28BB">
        <w:t xml:space="preserve">ection 10.c.v. </w:t>
      </w:r>
    </w:p>
    <w:p w:rsidR="005412DF" w:rsidRPr="004E28BB" w:rsidRDefault="005412DF" w:rsidP="00D41D04">
      <w:pPr>
        <w:pStyle w:val="ListNumber2"/>
      </w:pPr>
      <w:bookmarkStart w:id="249" w:name="_Toc319922510"/>
      <w:bookmarkStart w:id="250" w:name="_Toc394643283"/>
      <w:r w:rsidRPr="004E28BB">
        <w:rPr>
          <w:rStyle w:val="Guide2-123Char"/>
        </w:rPr>
        <w:t>LABORATORY TESTING</w:t>
      </w:r>
      <w:bookmarkEnd w:id="249"/>
      <w:bookmarkEnd w:id="250"/>
      <w:r w:rsidR="00962A22" w:rsidRPr="004E28BB">
        <w:t>:</w:t>
      </w:r>
      <w:r w:rsidRPr="004E28BB">
        <w:t xml:space="preserve"> </w:t>
      </w:r>
      <w:r w:rsidR="0047702A">
        <w:t>A</w:t>
      </w:r>
      <w:r w:rsidRPr="004E28BB">
        <w:t xml:space="preserve"> generally accepted, well-established procedure. In MTBI, </w:t>
      </w:r>
      <w:r w:rsidR="0047702A">
        <w:t>laboratory tests</w:t>
      </w:r>
      <w:r w:rsidRPr="004E28BB">
        <w:t xml:space="preserve"> are rarely indicated at the time of initial evaluation unless there is suspicion of systemic illness, infection, neoplasm, drug or alcohol intoxication, endocrine dysfunction</w:t>
      </w:r>
      <w:r w:rsidR="0047702A">
        <w:t>,</w:t>
      </w:r>
      <w:r w:rsidRPr="004E28BB">
        <w:t xml:space="preserve"> or underlying disease. Hypopituitarism occurs in approximately 17% of MTBI cases</w:t>
      </w:r>
      <w:r w:rsidR="0047702A">
        <w:t>;</w:t>
      </w:r>
      <w:r w:rsidRPr="004E28BB">
        <w:t xml:space="preserve"> thus</w:t>
      </w:r>
      <w:r w:rsidR="0047702A">
        <w:t>,</w:t>
      </w:r>
      <w:r w:rsidRPr="004E28BB">
        <w:t xml:space="preserve"> endocrine te</w:t>
      </w:r>
      <w:r w:rsidR="00B30BDE" w:rsidRPr="004E28BB">
        <w:t>sting is frequently appropriate</w:t>
      </w:r>
      <w:r w:rsidRPr="004E28BB">
        <w:rPr>
          <w:rStyle w:val="GuideCitesCharChar"/>
        </w:rPr>
        <w:t xml:space="preserve"> </w:t>
      </w:r>
      <w:r w:rsidRPr="00DE4145">
        <w:rPr>
          <w:rStyle w:val="GuideCitesCharChar"/>
          <w:highlight w:val="yellow"/>
        </w:rPr>
        <w:t>(</w:t>
      </w:r>
      <w:hyperlink w:anchor="Schneider2007" w:history="1">
        <w:r w:rsidRPr="000D5DCD">
          <w:rPr>
            <w:rStyle w:val="Hyperlink"/>
            <w:rFonts w:cs="Arial"/>
            <w:highlight w:val="yellow"/>
          </w:rPr>
          <w:t>Schneider, 2007</w:t>
        </w:r>
      </w:hyperlink>
      <w:r w:rsidRPr="00DE4145">
        <w:rPr>
          <w:rStyle w:val="GuideCitesCharChar"/>
          <w:highlight w:val="yellow"/>
        </w:rPr>
        <w:t>)</w:t>
      </w:r>
      <w:r w:rsidR="00B30BDE" w:rsidRPr="004E28BB">
        <w:t>.</w:t>
      </w:r>
      <w:r w:rsidR="006054C0" w:rsidRPr="004E28BB">
        <w:t xml:space="preserve"> </w:t>
      </w:r>
      <w:r w:rsidRPr="004E28BB">
        <w:t xml:space="preserve">In moderate/severe </w:t>
      </w:r>
      <w:r w:rsidR="0047702A">
        <w:t>TBI</w:t>
      </w:r>
      <w:r w:rsidRPr="004E28BB">
        <w:t>, extensive lab testing will be necessary to monitor electrolyte status, organ and endocrine functions</w:t>
      </w:r>
      <w:r w:rsidR="00837B9D">
        <w:t>,</w:t>
      </w:r>
      <w:r w:rsidRPr="004E28BB">
        <w:t xml:space="preserve"> and other physiologic processes, depending on the medications used and the severity of the injury. Any individual with TBI on medication will require laboratory testing to monitor </w:t>
      </w:r>
      <w:r w:rsidR="00837B9D">
        <w:t xml:space="preserve">the </w:t>
      </w:r>
      <w:r w:rsidRPr="004E28BB">
        <w:t>effects on organ function and therapeutic drug levels.</w:t>
      </w:r>
    </w:p>
    <w:p w:rsidR="005412DF" w:rsidRDefault="005412DF" w:rsidP="00D41D04">
      <w:pPr>
        <w:pStyle w:val="ListNumber2"/>
      </w:pPr>
      <w:bookmarkStart w:id="251" w:name="_Toc319922511"/>
      <w:bookmarkStart w:id="252" w:name="_Toc394643284"/>
      <w:r w:rsidRPr="004E28BB">
        <w:rPr>
          <w:rStyle w:val="Guide2-123Char"/>
        </w:rPr>
        <w:lastRenderedPageBreak/>
        <w:t>NERVE BLOCKS</w:t>
      </w:r>
      <w:r w:rsidR="00837B9D">
        <w:rPr>
          <w:rStyle w:val="Guide2-123Char"/>
        </w:rPr>
        <w:t xml:space="preserve"> – </w:t>
      </w:r>
      <w:r w:rsidRPr="004E28BB">
        <w:rPr>
          <w:rStyle w:val="Guide2-123Char"/>
        </w:rPr>
        <w:t>Diagnostic</w:t>
      </w:r>
      <w:bookmarkEnd w:id="251"/>
      <w:bookmarkEnd w:id="252"/>
      <w:r w:rsidR="00962A22" w:rsidRPr="004E28BB">
        <w:t>:</w:t>
      </w:r>
      <w:r w:rsidRPr="004E28BB">
        <w:t xml:space="preserve"> </w:t>
      </w:r>
      <w:r w:rsidR="00837B9D">
        <w:t>G</w:t>
      </w:r>
      <w:r w:rsidRPr="004E28BB">
        <w:t xml:space="preserve">enerally accepted procedures involving percutaneous needle injection techniques to a specific nerve. These diagnostic blocks are typically performed with quick-acting, short duration local anesthetics such as lidocaine or bupivacaine. Temporary diagnostic nerve blocks evaluate limb </w:t>
      </w:r>
      <w:r w:rsidR="007C2488">
        <w:t>ROM</w:t>
      </w:r>
      <w:r w:rsidRPr="004E28BB">
        <w:t>, dystonia</w:t>
      </w:r>
      <w:r w:rsidR="00837B9D">
        <w:t>,</w:t>
      </w:r>
      <w:r w:rsidRPr="004E28BB">
        <w:t xml:space="preserve"> or spasticity and assist in planning subsequent more specific therapy.</w:t>
      </w:r>
    </w:p>
    <w:p w:rsidR="008C0DEB" w:rsidRPr="004E28BB" w:rsidRDefault="008C0DEB" w:rsidP="008C0DEB">
      <w:pPr>
        <w:pStyle w:val="ListNumber2"/>
        <w:numPr>
          <w:ilvl w:val="0"/>
          <w:numId w:val="0"/>
        </w:numPr>
        <w:ind w:left="1440"/>
      </w:pPr>
    </w:p>
    <w:p w:rsidR="00095C78" w:rsidRDefault="005412DF" w:rsidP="00E000CA">
      <w:pPr>
        <w:pStyle w:val="ListNumber2"/>
        <w:spacing w:before="0"/>
      </w:pPr>
      <w:bookmarkStart w:id="253" w:name="_Toc394643285"/>
      <w:r w:rsidRPr="004E28BB">
        <w:rPr>
          <w:rStyle w:val="Guide2-123Char"/>
        </w:rPr>
        <w:t>VISION EVALUATION</w:t>
      </w:r>
      <w:bookmarkEnd w:id="253"/>
      <w:r w:rsidR="00962A22" w:rsidRPr="004E28BB">
        <w:t>:</w:t>
      </w:r>
      <w:r w:rsidRPr="004E28BB">
        <w:t xml:space="preserve"> </w:t>
      </w:r>
      <w:r w:rsidR="00837B9D">
        <w:t>A</w:t>
      </w:r>
      <w:r w:rsidRPr="004E28BB">
        <w:t xml:space="preserve"> well-established series and combination of examination techniques and diagnostic tests To establish the diagnosis of visual disorders, it is a generally accepted practice for a qualified practitioner to provide a thorough vision evaluation. The visual evaluation measures a wide range of visual processes that involve the functional status of the eyes, the visual pathways of the brain, and the systemic health conditions that affect the eyes and visual pathways. It generates information regarding the presence or absence of refractive error, vision loss, oculomotor dysfunction, binocular vision disorder, ocular injury, and pathology. Visual evaluation may be necessary to evaluate central and peripheral nervous system disorders including central visual acuity loss, visual field loss, nystagmus, ocular motility impairment, cranial nerve palsy, ophthalmoplegia, pupillary reflex disorders, and visual perceptual disorders.</w:t>
      </w:r>
      <w:r w:rsidRPr="004E28BB">
        <w:br/>
      </w:r>
      <w:r w:rsidRPr="004E28BB">
        <w:br/>
        <w:t xml:space="preserve">Signs and symptoms of visual dysfunction </w:t>
      </w:r>
      <w:r w:rsidR="00095C78">
        <w:t>commonly</w:t>
      </w:r>
      <w:r w:rsidRPr="004E28BB">
        <w:t xml:space="preserve"> include, but are not limited to, the following: </w:t>
      </w:r>
    </w:p>
    <w:p w:rsidR="00E000CA" w:rsidRDefault="00E000CA" w:rsidP="009C3DC2">
      <w:pPr>
        <w:pStyle w:val="ListNumber2"/>
        <w:numPr>
          <w:ilvl w:val="0"/>
          <w:numId w:val="30"/>
        </w:numPr>
        <w:spacing w:before="0"/>
      </w:pPr>
      <w:r w:rsidRPr="00E000CA">
        <w:rPr>
          <w:u w:val="single"/>
        </w:rPr>
        <w:t>Signs</w:t>
      </w:r>
      <w:r>
        <w:t>:</w:t>
      </w:r>
    </w:p>
    <w:p w:rsidR="004F09C7" w:rsidRDefault="004F09C7" w:rsidP="004F09C7">
      <w:pPr>
        <w:pStyle w:val="ListNumber2"/>
        <w:numPr>
          <w:ilvl w:val="0"/>
          <w:numId w:val="31"/>
        </w:numPr>
        <w:spacing w:before="0"/>
      </w:pPr>
      <w:r>
        <w:t>Blurred vision.</w:t>
      </w:r>
    </w:p>
    <w:p w:rsidR="004F09C7" w:rsidRDefault="004F09C7" w:rsidP="004F09C7">
      <w:pPr>
        <w:pStyle w:val="ListNumber2"/>
        <w:numPr>
          <w:ilvl w:val="0"/>
          <w:numId w:val="31"/>
        </w:numPr>
        <w:spacing w:before="0"/>
      </w:pPr>
      <w:r>
        <w:t>Eye pain.</w:t>
      </w:r>
    </w:p>
    <w:p w:rsidR="004F09C7" w:rsidRDefault="004F09C7" w:rsidP="004F09C7">
      <w:pPr>
        <w:pStyle w:val="ListNumber2"/>
        <w:numPr>
          <w:ilvl w:val="0"/>
          <w:numId w:val="31"/>
        </w:numPr>
        <w:spacing w:before="0"/>
      </w:pPr>
      <w:r>
        <w:t>Foreign body sensation.</w:t>
      </w:r>
    </w:p>
    <w:p w:rsidR="004F09C7" w:rsidRDefault="004F09C7" w:rsidP="004F09C7">
      <w:pPr>
        <w:pStyle w:val="ListNumber2"/>
        <w:numPr>
          <w:ilvl w:val="0"/>
          <w:numId w:val="31"/>
        </w:numPr>
        <w:spacing w:before="0"/>
      </w:pPr>
      <w:r>
        <w:t>Red or irritate eyes.</w:t>
      </w:r>
    </w:p>
    <w:p w:rsidR="002D5CC1" w:rsidRDefault="002D5CC1" w:rsidP="002D5CC1">
      <w:pPr>
        <w:pStyle w:val="ListNumber2"/>
        <w:numPr>
          <w:ilvl w:val="0"/>
          <w:numId w:val="0"/>
        </w:numPr>
        <w:spacing w:before="0"/>
        <w:ind w:left="1440" w:hanging="720"/>
      </w:pPr>
    </w:p>
    <w:p w:rsidR="002D5CC1" w:rsidRDefault="002D5CC1" w:rsidP="002D5CC1">
      <w:pPr>
        <w:pStyle w:val="ListNumber2"/>
        <w:numPr>
          <w:ilvl w:val="0"/>
          <w:numId w:val="0"/>
        </w:numPr>
        <w:spacing w:before="0"/>
        <w:ind w:left="1440" w:hanging="720"/>
      </w:pPr>
    </w:p>
    <w:p w:rsidR="00E000CA" w:rsidRDefault="00E000CA" w:rsidP="009C3DC2">
      <w:pPr>
        <w:pStyle w:val="ListNumber2"/>
        <w:numPr>
          <w:ilvl w:val="0"/>
          <w:numId w:val="30"/>
        </w:numPr>
        <w:spacing w:before="0"/>
      </w:pPr>
      <w:r w:rsidRPr="00E000CA">
        <w:rPr>
          <w:u w:val="single"/>
        </w:rPr>
        <w:t>Symptoms</w:t>
      </w:r>
      <w:r>
        <w:t>:</w:t>
      </w:r>
    </w:p>
    <w:p w:rsidR="004F09C7" w:rsidRDefault="004F09C7" w:rsidP="004F09C7">
      <w:pPr>
        <w:pStyle w:val="ListNumber2"/>
        <w:numPr>
          <w:ilvl w:val="1"/>
          <w:numId w:val="30"/>
        </w:numPr>
        <w:spacing w:before="0"/>
      </w:pPr>
      <w:r>
        <w:t>Loss of vision in one or both eyes.</w:t>
      </w:r>
    </w:p>
    <w:p w:rsidR="004F09C7" w:rsidRDefault="004F09C7" w:rsidP="004F09C7">
      <w:pPr>
        <w:pStyle w:val="ListNumber2"/>
        <w:numPr>
          <w:ilvl w:val="1"/>
          <w:numId w:val="30"/>
        </w:numPr>
        <w:spacing w:before="0"/>
      </w:pPr>
      <w:r>
        <w:t>Focusing problems.</w:t>
      </w:r>
    </w:p>
    <w:p w:rsidR="004F09C7" w:rsidRDefault="004F09C7" w:rsidP="004F09C7">
      <w:pPr>
        <w:pStyle w:val="ListNumber2"/>
        <w:numPr>
          <w:ilvl w:val="1"/>
          <w:numId w:val="30"/>
        </w:numPr>
        <w:spacing w:before="0"/>
      </w:pPr>
      <w:r>
        <w:t>Double vision.</w:t>
      </w:r>
    </w:p>
    <w:p w:rsidR="004F09C7" w:rsidRDefault="004F09C7" w:rsidP="004F09C7">
      <w:pPr>
        <w:pStyle w:val="ListNumber2"/>
        <w:numPr>
          <w:ilvl w:val="1"/>
          <w:numId w:val="30"/>
        </w:numPr>
        <w:spacing w:before="0"/>
      </w:pPr>
      <w:r>
        <w:t>Eye turn (strabismus).</w:t>
      </w:r>
    </w:p>
    <w:p w:rsidR="004F09C7" w:rsidRDefault="004F09C7" w:rsidP="004F09C7">
      <w:pPr>
        <w:pStyle w:val="ListNumber2"/>
        <w:numPr>
          <w:ilvl w:val="1"/>
          <w:numId w:val="30"/>
        </w:numPr>
        <w:spacing w:before="0"/>
      </w:pPr>
      <w:r>
        <w:t>E</w:t>
      </w:r>
      <w:r w:rsidRPr="004E28BB">
        <w:t>ye closure or eye cover to improve function</w:t>
      </w:r>
      <w:r>
        <w:t>.</w:t>
      </w:r>
    </w:p>
    <w:p w:rsidR="004F09C7" w:rsidRDefault="004F09C7" w:rsidP="004F09C7">
      <w:pPr>
        <w:pStyle w:val="ListNumber2"/>
        <w:numPr>
          <w:ilvl w:val="1"/>
          <w:numId w:val="30"/>
        </w:numPr>
        <w:spacing w:before="0"/>
      </w:pPr>
      <w:r>
        <w:t>Impaired depth perception.</w:t>
      </w:r>
    </w:p>
    <w:p w:rsidR="004F09C7" w:rsidRDefault="004F09C7" w:rsidP="004F09C7">
      <w:pPr>
        <w:pStyle w:val="ListNumber2"/>
        <w:numPr>
          <w:ilvl w:val="1"/>
          <w:numId w:val="30"/>
        </w:numPr>
        <w:spacing w:before="0"/>
      </w:pPr>
      <w:r>
        <w:t>Impaired peripheral vision</w:t>
      </w:r>
    </w:p>
    <w:p w:rsidR="00E000CA" w:rsidRPr="00E000CA" w:rsidRDefault="00E000CA" w:rsidP="00E000CA">
      <w:pPr>
        <w:pStyle w:val="ListNumber2"/>
        <w:numPr>
          <w:ilvl w:val="0"/>
          <w:numId w:val="0"/>
        </w:numPr>
        <w:spacing w:before="0"/>
        <w:ind w:left="2880"/>
      </w:pPr>
    </w:p>
    <w:p w:rsidR="00E000CA" w:rsidRDefault="00E000CA" w:rsidP="00E000CA">
      <w:pPr>
        <w:pStyle w:val="ListNumber2"/>
        <w:numPr>
          <w:ilvl w:val="0"/>
          <w:numId w:val="0"/>
        </w:numPr>
        <w:spacing w:before="0"/>
        <w:ind w:left="2160" w:hanging="720"/>
      </w:pPr>
      <w:r w:rsidRPr="00E000CA">
        <w:t>Other symptoms that may involve cent</w:t>
      </w:r>
      <w:r>
        <w:t>ral nervous processing include:</w:t>
      </w:r>
    </w:p>
    <w:p w:rsidR="00E000CA" w:rsidRDefault="00E000CA" w:rsidP="009C3DC2">
      <w:pPr>
        <w:pStyle w:val="ListNumber2"/>
        <w:numPr>
          <w:ilvl w:val="0"/>
          <w:numId w:val="32"/>
        </w:numPr>
        <w:spacing w:before="0"/>
        <w:ind w:left="2880"/>
      </w:pPr>
      <w:r>
        <w:t>Headache or eye strain with use of eyes.</w:t>
      </w:r>
    </w:p>
    <w:p w:rsidR="00E000CA" w:rsidRDefault="00E000CA" w:rsidP="009C3DC2">
      <w:pPr>
        <w:pStyle w:val="ListNumber2"/>
        <w:numPr>
          <w:ilvl w:val="0"/>
          <w:numId w:val="32"/>
        </w:numPr>
        <w:spacing w:before="0"/>
        <w:ind w:left="2880"/>
      </w:pPr>
      <w:r>
        <w:t>Head tilt.</w:t>
      </w:r>
    </w:p>
    <w:p w:rsidR="00E000CA" w:rsidRDefault="00E000CA" w:rsidP="009C3DC2">
      <w:pPr>
        <w:pStyle w:val="ListNumber2"/>
        <w:numPr>
          <w:ilvl w:val="0"/>
          <w:numId w:val="32"/>
        </w:numPr>
        <w:spacing w:before="0"/>
        <w:ind w:left="2880"/>
      </w:pPr>
      <w:r>
        <w:t>Dizziness with use of eyes.</w:t>
      </w:r>
    </w:p>
    <w:p w:rsidR="00E000CA" w:rsidRDefault="00E000CA" w:rsidP="009C3DC2">
      <w:pPr>
        <w:pStyle w:val="ListNumber2"/>
        <w:numPr>
          <w:ilvl w:val="0"/>
          <w:numId w:val="32"/>
        </w:numPr>
        <w:spacing w:before="0"/>
        <w:ind w:left="2880"/>
      </w:pPr>
      <w:r>
        <w:t>V</w:t>
      </w:r>
      <w:r w:rsidRPr="004E28BB">
        <w:t xml:space="preserve">isual distortions (e.g., objects, floor, </w:t>
      </w:r>
      <w:r>
        <w:t xml:space="preserve">or </w:t>
      </w:r>
      <w:r w:rsidRPr="004E28BB">
        <w:t>walls appear bowed, slanted</w:t>
      </w:r>
      <w:r>
        <w:t>, or tipped).</w:t>
      </w:r>
    </w:p>
    <w:p w:rsidR="00E000CA" w:rsidRDefault="00E000CA" w:rsidP="009C3DC2">
      <w:pPr>
        <w:pStyle w:val="ListNumber2"/>
        <w:numPr>
          <w:ilvl w:val="0"/>
          <w:numId w:val="32"/>
        </w:numPr>
        <w:spacing w:before="0"/>
        <w:ind w:left="2880"/>
      </w:pPr>
      <w:r>
        <w:t>R</w:t>
      </w:r>
      <w:r w:rsidRPr="004E28BB">
        <w:t>educed visual attention or concentration for visual tasks</w:t>
      </w:r>
      <w:r>
        <w:t>.</w:t>
      </w:r>
    </w:p>
    <w:p w:rsidR="005412DF" w:rsidRPr="004E28BB" w:rsidRDefault="005412DF" w:rsidP="00095C78">
      <w:pPr>
        <w:pStyle w:val="ListNumber2"/>
        <w:numPr>
          <w:ilvl w:val="0"/>
          <w:numId w:val="0"/>
        </w:numPr>
        <w:ind w:left="1440"/>
      </w:pPr>
      <w:r w:rsidRPr="004E28BB">
        <w:t xml:space="preserve">Visual evaluation is indicated when signs or symptoms consistent with a visual problem are reported by the individual, or observed by others. Significant signs and symptoms not directly and solely attributable to other causes (e.g., cognitive, vestibular, medication, psychological) indicate the need for vision evaluation as soon as is reasonably possible post-injury. Mild signs and symptoms may be monitored for several weeks to allow for resolution or improvement. </w:t>
      </w:r>
      <w:r w:rsidRPr="004E28BB">
        <w:br/>
      </w:r>
      <w:r w:rsidRPr="004E28BB">
        <w:br/>
        <w:t xml:space="preserve">In </w:t>
      </w:r>
      <w:r w:rsidR="007A15B0" w:rsidRPr="004E28BB">
        <w:t>MTBI</w:t>
      </w:r>
      <w:r w:rsidRPr="004E28BB">
        <w:t xml:space="preserve">, self-reported photosensitivity, blurred vision, double vision and saccadic deficits are relatively common, </w:t>
      </w:r>
      <w:r w:rsidR="00867FD7">
        <w:t>but</w:t>
      </w:r>
      <w:r w:rsidR="00867FD7" w:rsidRPr="004E28BB">
        <w:t xml:space="preserve"> </w:t>
      </w:r>
      <w:r w:rsidRPr="004E28BB">
        <w:t xml:space="preserve">there is usually resolution by </w:t>
      </w:r>
      <w:r w:rsidR="00316AC2">
        <w:t>three</w:t>
      </w:r>
      <w:r w:rsidRPr="004E28BB">
        <w:t xml:space="preserve"> months post</w:t>
      </w:r>
      <w:r w:rsidR="007843ED">
        <w:t>-</w:t>
      </w:r>
      <w:r w:rsidRPr="004E28BB">
        <w:t>injury. Moderate/</w:t>
      </w:r>
      <w:r w:rsidR="00867FD7">
        <w:t>s</w:t>
      </w:r>
      <w:r w:rsidRPr="004E28BB">
        <w:t xml:space="preserve">evere TBI patients are more likely to have binocular, pursuit and /or saccadic </w:t>
      </w:r>
      <w:r w:rsidRPr="004E28BB">
        <w:lastRenderedPageBreak/>
        <w:t>deficits, and visual spatial deficits</w:t>
      </w:r>
      <w:r w:rsidR="00867FD7">
        <w:t>,</w:t>
      </w:r>
      <w:r w:rsidRPr="004E28BB">
        <w:t xml:space="preserve"> and </w:t>
      </w:r>
      <w:r w:rsidR="00867FD7">
        <w:t xml:space="preserve">they </w:t>
      </w:r>
      <w:r w:rsidRPr="004E28BB">
        <w:t>should have a comprehensive evaluation if these are reported</w:t>
      </w:r>
      <w:r w:rsidRPr="004E28BB">
        <w:rPr>
          <w:rStyle w:val="GuideCitesCharChar"/>
        </w:rPr>
        <w:t xml:space="preserve"> </w:t>
      </w:r>
      <w:r w:rsidRPr="00DE4145">
        <w:rPr>
          <w:rStyle w:val="GuideCitesCharChar"/>
          <w:highlight w:val="yellow"/>
        </w:rPr>
        <w:t>(</w:t>
      </w:r>
      <w:hyperlink w:anchor="VATechAssess2009" w:history="1">
        <w:r w:rsidR="003A46A6" w:rsidRPr="000D5DCD">
          <w:rPr>
            <w:rStyle w:val="Hyperlink"/>
            <w:rFonts w:cs="Arial"/>
            <w:highlight w:val="yellow"/>
          </w:rPr>
          <w:t>Veterans Affairs Technology Assessment Program,</w:t>
        </w:r>
        <w:r w:rsidRPr="000D5DCD">
          <w:rPr>
            <w:rStyle w:val="Hyperlink"/>
            <w:rFonts w:cs="Arial"/>
            <w:highlight w:val="yellow"/>
          </w:rPr>
          <w:t xml:space="preserve"> 2009</w:t>
        </w:r>
      </w:hyperlink>
      <w:r w:rsidRPr="00DE4145">
        <w:rPr>
          <w:rStyle w:val="GuideCitesCharChar"/>
          <w:highlight w:val="yellow"/>
        </w:rPr>
        <w:t>)</w:t>
      </w:r>
      <w:r w:rsidR="00B30BDE" w:rsidRPr="004E28BB">
        <w:t>.</w:t>
      </w:r>
      <w:r w:rsidRPr="004E28BB">
        <w:t xml:space="preserve"> </w:t>
      </w:r>
      <w:r w:rsidRPr="004E28BB">
        <w:br/>
      </w:r>
      <w:r w:rsidRPr="004E28BB">
        <w:br/>
        <w:t>A vision examination may be intermediate, extended, or comprehensive, depending on the nature of the deficits. The vision examination includes, but is not limited to the following: case history, visual acuity, refraction, color vision testing, pupillary examination, visual field by confrontation, tangent screen, automated perimetry Amsler grid testing, ocular motility examination, binocularity examination, accommodation testing, intraocular pressure testing, and anterior and posterior segment examinations. Internal examination may be needed for diagnoses such as Terse</w:t>
      </w:r>
      <w:r w:rsidR="007A15B0" w:rsidRPr="004E28BB">
        <w:t>nn</w:t>
      </w:r>
      <w:r w:rsidRPr="004E28BB">
        <w:t xml:space="preserve"> syndrome</w:t>
      </w:r>
      <w:r w:rsidR="00867FD7">
        <w:t xml:space="preserve"> and</w:t>
      </w:r>
      <w:r w:rsidRPr="004E28BB">
        <w:t xml:space="preserve"> retinal detachment and to rule out other related diagnoses. </w:t>
      </w:r>
      <w:r w:rsidRPr="004E28BB">
        <w:br/>
      </w:r>
      <w:r w:rsidRPr="004E28BB">
        <w:br/>
        <w:t>Diagnostic tests include, but are not limited to, visual field testing, ultrasonography, fluorescein angiography, anterior segment and fundus photography, electrodiagnostic studies, low vision evaluation, and visual perceptual testing.</w:t>
      </w:r>
    </w:p>
    <w:p w:rsidR="005412DF" w:rsidRPr="004E28BB" w:rsidRDefault="005412DF" w:rsidP="00D41D04">
      <w:pPr>
        <w:pStyle w:val="ListNumber3"/>
      </w:pPr>
      <w:bookmarkStart w:id="254" w:name="_Toc319922523"/>
      <w:bookmarkStart w:id="255" w:name="_Toc394643286"/>
      <w:r w:rsidRPr="004E28BB">
        <w:rPr>
          <w:rStyle w:val="Guide3-abcdChar"/>
        </w:rPr>
        <w:t>Visual Field Testing</w:t>
      </w:r>
      <w:bookmarkEnd w:id="254"/>
      <w:bookmarkEnd w:id="255"/>
      <w:r w:rsidRPr="004E28BB">
        <w:t xml:space="preserve">: </w:t>
      </w:r>
      <w:r w:rsidR="00867FD7">
        <w:t>A</w:t>
      </w:r>
      <w:r w:rsidRPr="004E28BB">
        <w:t xml:space="preserve"> well-established technique to evaluate central and peripheral vision. It is indicated when a field defect is suspected by the practitioner or noted by the patient. Visual field testing beyond the basic examination should be performed using a procedure and tool that is well-established and standardized. Examples include automated perimetry and Goldmann perimetry.</w:t>
      </w:r>
    </w:p>
    <w:p w:rsidR="005412DF" w:rsidRPr="004E28BB" w:rsidRDefault="005412DF" w:rsidP="00D41D04">
      <w:pPr>
        <w:pStyle w:val="ListNumber3"/>
      </w:pPr>
      <w:bookmarkStart w:id="256" w:name="_Toc319922524"/>
      <w:bookmarkStart w:id="257" w:name="_Toc394643287"/>
      <w:r w:rsidRPr="004E28BB">
        <w:rPr>
          <w:rStyle w:val="Guide3-abcdChar"/>
        </w:rPr>
        <w:t>Ultrasonography</w:t>
      </w:r>
      <w:bookmarkEnd w:id="256"/>
      <w:bookmarkEnd w:id="257"/>
      <w:r w:rsidRPr="004E28BB">
        <w:t xml:space="preserve">: </w:t>
      </w:r>
      <w:r w:rsidR="00E764C4">
        <w:t>A</w:t>
      </w:r>
      <w:r w:rsidRPr="004E28BB">
        <w:t xml:space="preserve"> well-established diagnostic test that is indicated for evaluation of ocular or orbital pathology. It is indicated for ocular lesions that are suspected but poorly visualized due to opaque ocular media or for further evaluation of ocular or orbital pathology.</w:t>
      </w:r>
    </w:p>
    <w:p w:rsidR="005412DF" w:rsidRPr="004E28BB" w:rsidRDefault="005412DF" w:rsidP="00D41D04">
      <w:pPr>
        <w:pStyle w:val="ListNumber3"/>
      </w:pPr>
      <w:bookmarkStart w:id="258" w:name="_Toc319922525"/>
      <w:bookmarkStart w:id="259" w:name="_Toc394643288"/>
      <w:r w:rsidRPr="004E28BB">
        <w:rPr>
          <w:rStyle w:val="Guide3-abcdChar"/>
        </w:rPr>
        <w:t>Fluorescein Angiography</w:t>
      </w:r>
      <w:bookmarkEnd w:id="258"/>
      <w:bookmarkEnd w:id="259"/>
      <w:r w:rsidRPr="004E28BB">
        <w:t xml:space="preserve">: </w:t>
      </w:r>
      <w:r w:rsidR="00E764C4">
        <w:t>A</w:t>
      </w:r>
      <w:r w:rsidRPr="004E28BB">
        <w:t xml:space="preserve"> well-established diagnostic test to evaluate the retinal and choroidal circulation. It is indicated when lesions of one or both of these circulations are suspected.</w:t>
      </w:r>
    </w:p>
    <w:p w:rsidR="005412DF" w:rsidRPr="004E28BB" w:rsidRDefault="005412DF" w:rsidP="00D41D04">
      <w:pPr>
        <w:pStyle w:val="ListNumber3"/>
      </w:pPr>
      <w:bookmarkStart w:id="260" w:name="_Toc319922526"/>
      <w:bookmarkStart w:id="261" w:name="_Toc394643289"/>
      <w:r w:rsidRPr="004E28BB">
        <w:rPr>
          <w:rStyle w:val="Guide3-abcdChar"/>
        </w:rPr>
        <w:t>Visual Perceptual Testing</w:t>
      </w:r>
      <w:bookmarkEnd w:id="260"/>
      <w:bookmarkEnd w:id="261"/>
      <w:r w:rsidRPr="004E28BB">
        <w:t xml:space="preserve">: </w:t>
      </w:r>
      <w:r w:rsidR="00E764C4">
        <w:t>C</w:t>
      </w:r>
      <w:r w:rsidRPr="004E28BB">
        <w:t>onsists of functional assessments to evaluate an individual’s recognition and interpretation of visual sensory information. Visual perceptual testing is indicated for determination of the level of visual perceptual impairment and/or confirmation of suspected impairment. Perceptual areas assessed include visual memory, judgment of visual spatial relationships, visual discrimination, visual motor integration, visual figure-ground discrimination, and visual attention. Numerous tests are used for the evaluation of visual perception. Some of these tests are well-established</w:t>
      </w:r>
      <w:r w:rsidR="00005E95" w:rsidRPr="004E28BB">
        <w:t xml:space="preserve">. </w:t>
      </w:r>
      <w:r w:rsidRPr="004E28BB">
        <w:t>It is suggested that only tests with established norms be used. Visual perception testing should not be used in isolation to diagnose MTBI. Interpretation should occur in the context of assessment of other cognitive functions, including attention, memory, language and executive function. Neuropsychological assessment must be performed by a neuropsychologist,</w:t>
      </w:r>
      <w:r w:rsidR="00CE22B1" w:rsidRPr="004E28BB">
        <w:t xml:space="preserve"> neurologist, psychiatrist,</w:t>
      </w:r>
      <w:r w:rsidRPr="004E28BB">
        <w:t xml:space="preserve"> occupational therapist</w:t>
      </w:r>
      <w:r w:rsidR="00E764C4">
        <w:t>,</w:t>
      </w:r>
      <w:r w:rsidRPr="004E28BB">
        <w:t xml:space="preserve"> or speech pathologist. In complex presentations, the full battery may be required </w:t>
      </w:r>
      <w:r w:rsidR="00756447">
        <w:t>(r</w:t>
      </w:r>
      <w:r w:rsidRPr="004E28BB">
        <w:t xml:space="preserve">efer to </w:t>
      </w:r>
      <w:r w:rsidR="00811C8B">
        <w:t>Section</w:t>
      </w:r>
      <w:r w:rsidRPr="004E28BB">
        <w:t xml:space="preserve"> </w:t>
      </w:r>
      <w:hyperlink w:anchor="TBIE3NeuropsychologicalAssessment" w:history="1">
        <w:r w:rsidRPr="004E28BB">
          <w:rPr>
            <w:rStyle w:val="Hyperlink"/>
            <w:rFonts w:cs="Arial"/>
          </w:rPr>
          <w:t>E.3. Neuropsychological Assessment</w:t>
        </w:r>
      </w:hyperlink>
      <w:r w:rsidR="00756447">
        <w:t>)</w:t>
      </w:r>
      <w:r w:rsidRPr="004E28BB">
        <w:t>.</w:t>
      </w:r>
      <w:bookmarkStart w:id="262" w:name="_Toc319922527"/>
    </w:p>
    <w:p w:rsidR="005412DF" w:rsidRPr="004E28BB" w:rsidRDefault="005412DF" w:rsidP="00D41D04">
      <w:pPr>
        <w:pStyle w:val="ListNumber3"/>
      </w:pPr>
      <w:bookmarkStart w:id="263" w:name="_Toc394643290"/>
      <w:r w:rsidRPr="004E28BB">
        <w:rPr>
          <w:rStyle w:val="Guide3-abcdChar"/>
        </w:rPr>
        <w:t>Low Vision Evaluation</w:t>
      </w:r>
      <w:bookmarkEnd w:id="262"/>
      <w:bookmarkEnd w:id="263"/>
      <w:r w:rsidRPr="004E28BB">
        <w:t>:</w:t>
      </w:r>
      <w:r w:rsidR="00202675">
        <w:t xml:space="preserve"> </w:t>
      </w:r>
      <w:r w:rsidR="00E764C4">
        <w:t>W</w:t>
      </w:r>
      <w:r w:rsidRPr="004E28BB">
        <w:t>ell-established and indicated in the presence of subnormal bilateral visual acuity or visual field. The goal is to provide low vision aids for distance or near vision that improves visual functioning.</w:t>
      </w:r>
    </w:p>
    <w:p w:rsidR="005412DF" w:rsidRPr="004E28BB" w:rsidRDefault="005412DF" w:rsidP="00D41D04">
      <w:pPr>
        <w:pStyle w:val="ListNumber3"/>
      </w:pPr>
      <w:bookmarkStart w:id="264" w:name="_Toc319922528"/>
      <w:bookmarkStart w:id="265" w:name="_Toc394643291"/>
      <w:r w:rsidRPr="004E28BB">
        <w:rPr>
          <w:rStyle w:val="Guide3-abcdChar"/>
        </w:rPr>
        <w:t>Electrodiagnostic Studies</w:t>
      </w:r>
      <w:bookmarkEnd w:id="264"/>
      <w:bookmarkEnd w:id="265"/>
      <w:r w:rsidRPr="004E28BB">
        <w:t xml:space="preserve">: </w:t>
      </w:r>
      <w:r w:rsidR="00E764C4">
        <w:t>W</w:t>
      </w:r>
      <w:r w:rsidRPr="004E28BB">
        <w:t>ell-established and indicated in the presence of reduced visual acuity or visual fields, ocular pathology, or suspected optic nerve or visual pathway deficit (</w:t>
      </w:r>
      <w:r w:rsidR="00756447">
        <w:t>r</w:t>
      </w:r>
      <w:r w:rsidRPr="004E28BB">
        <w:t xml:space="preserve">efer to </w:t>
      </w:r>
      <w:r w:rsidR="00811C8B">
        <w:t>Section</w:t>
      </w:r>
      <w:r w:rsidRPr="004E28BB">
        <w:t xml:space="preserve"> </w:t>
      </w:r>
      <w:hyperlink w:anchor="TBIE6ElectrodiagnosticStudies" w:history="1">
        <w:r w:rsidRPr="004E28BB">
          <w:rPr>
            <w:rStyle w:val="Hyperlink"/>
          </w:rPr>
          <w:t>E.6. Electrodiagnostic Studies</w:t>
        </w:r>
      </w:hyperlink>
      <w:r w:rsidRPr="004E28BB">
        <w:t xml:space="preserve"> for further description)</w:t>
      </w:r>
      <w:r w:rsidR="00FC4930">
        <w:t>.</w:t>
      </w:r>
    </w:p>
    <w:p w:rsidR="005412DF" w:rsidRPr="004E28BB" w:rsidRDefault="005412DF" w:rsidP="00D41D04">
      <w:pPr>
        <w:pStyle w:val="ListNumber3"/>
      </w:pPr>
      <w:bookmarkStart w:id="266" w:name="_Toc319922529"/>
      <w:bookmarkStart w:id="267" w:name="_Toc394643292"/>
      <w:r w:rsidRPr="004E28BB">
        <w:rPr>
          <w:rStyle w:val="Guide3-abcdChar"/>
        </w:rPr>
        <w:lastRenderedPageBreak/>
        <w:t>Optical Coherence Tomography</w:t>
      </w:r>
      <w:bookmarkEnd w:id="266"/>
      <w:bookmarkEnd w:id="267"/>
      <w:r w:rsidRPr="004E28BB">
        <w:t xml:space="preserve">: </w:t>
      </w:r>
      <w:r w:rsidR="00E764C4">
        <w:t>A</w:t>
      </w:r>
      <w:r w:rsidRPr="004E28BB">
        <w:t>n interferometric technique, usually with near-infrared wavelengths, used to evaluate the optic nerve pathway, cortical visual deficits</w:t>
      </w:r>
      <w:r w:rsidR="00E764C4">
        <w:t>,</w:t>
      </w:r>
      <w:r w:rsidRPr="004E28BB">
        <w:t xml:space="preserve"> or retina, and may be done serially.</w:t>
      </w:r>
    </w:p>
    <w:p w:rsidR="000408B7" w:rsidRPr="004E28BB" w:rsidRDefault="000408B7" w:rsidP="00D41D04">
      <w:pPr>
        <w:pStyle w:val="ListNumber2"/>
      </w:pPr>
      <w:bookmarkStart w:id="268" w:name="_Toc394643293"/>
      <w:r w:rsidRPr="004E28BB">
        <w:rPr>
          <w:rStyle w:val="Guide2-123Char"/>
        </w:rPr>
        <w:t xml:space="preserve">OTOLOGY </w:t>
      </w:r>
      <w:smartTag w:uri="urn:schemas-microsoft-com:office:smarttags" w:element="stockticker">
        <w:r w:rsidRPr="004E28BB">
          <w:rPr>
            <w:rStyle w:val="Guide2-123Char"/>
          </w:rPr>
          <w:t>and</w:t>
        </w:r>
      </w:smartTag>
      <w:r w:rsidRPr="004E28BB">
        <w:rPr>
          <w:rStyle w:val="Guide2-123Char"/>
        </w:rPr>
        <w:t xml:space="preserve"> AUDIOMETRY</w:t>
      </w:r>
      <w:bookmarkEnd w:id="268"/>
      <w:r w:rsidR="00962A22" w:rsidRPr="004E28BB">
        <w:t>:</w:t>
      </w:r>
      <w:r w:rsidRPr="004E28BB">
        <w:t xml:space="preserve"> Neurotologic evaluation is a widely used and generally accepted practice in cases of hearing loss, dizziness, balance problems, facial nerve injury</w:t>
      </w:r>
      <w:r w:rsidR="00CD02BE">
        <w:t>,</w:t>
      </w:r>
      <w:r w:rsidRPr="004E28BB">
        <w:t xml:space="preserve"> and cerebrospinal fluid leak. An individual with TBI may experience these symptoms.</w:t>
      </w:r>
    </w:p>
    <w:p w:rsidR="000408B7" w:rsidRPr="004E28BB" w:rsidRDefault="000408B7" w:rsidP="00D41D04">
      <w:pPr>
        <w:pStyle w:val="ListNumber3"/>
      </w:pPr>
      <w:bookmarkStart w:id="269" w:name="_Toc319922513"/>
      <w:bookmarkStart w:id="270" w:name="_Toc394643294"/>
      <w:r w:rsidRPr="004E28BB">
        <w:rPr>
          <w:rStyle w:val="Guide3-abcdChar"/>
        </w:rPr>
        <w:t>Audiometry</w:t>
      </w:r>
      <w:bookmarkEnd w:id="269"/>
      <w:bookmarkEnd w:id="270"/>
      <w:r w:rsidRPr="004E28BB">
        <w:t xml:space="preserve">: </w:t>
      </w:r>
      <w:r w:rsidR="00CD02BE">
        <w:t>A</w:t>
      </w:r>
      <w:r w:rsidRPr="004E28BB">
        <w:t xml:space="preserve"> generally accepted and well-established procedure that measures hearing. An audiologist or skilled trained technician administers the test using an audiometer. The machine presents individual frequencies to the person with TBI (typically ranging from 125</w:t>
      </w:r>
      <w:r w:rsidR="00CD02BE">
        <w:t>–</w:t>
      </w:r>
      <w:r w:rsidRPr="004E28BB">
        <w:t>8000 Hz) at different levels of loudness (in dBHL). The individual is asked to respond to the sound at its lowest detectable intensity (threshold). Normal thresholds are from 0</w:t>
      </w:r>
      <w:r w:rsidR="004C50A3">
        <w:t>–</w:t>
      </w:r>
      <w:r w:rsidRPr="004E28BB">
        <w:t xml:space="preserve">25dBHL and are depicted on an audiogram. The audiologist or physician </w:t>
      </w:r>
      <w:r w:rsidR="00471323" w:rsidRPr="004E28BB">
        <w:t>should</w:t>
      </w:r>
      <w:r w:rsidRPr="004E28BB">
        <w:t xml:space="preserve"> determine the presence and type (</w:t>
      </w:r>
      <w:r w:rsidR="00471323" w:rsidRPr="004E28BB">
        <w:t xml:space="preserve">non-organic, </w:t>
      </w:r>
      <w:r w:rsidRPr="004E28BB">
        <w:t xml:space="preserve">conductive, sensorineural, </w:t>
      </w:r>
      <w:r w:rsidR="00471323" w:rsidRPr="004E28BB">
        <w:t xml:space="preserve">presbycusis, </w:t>
      </w:r>
      <w:r w:rsidRPr="004E28BB">
        <w:t>or mixed) of hear</w:t>
      </w:r>
      <w:r w:rsidR="00471323" w:rsidRPr="004E28BB">
        <w:t>ing loss based on the audiogram and other tests reasonably deemed necessary.</w:t>
      </w:r>
      <w:r w:rsidR="00471323" w:rsidRPr="004E28BB">
        <w:br/>
      </w:r>
      <w:r w:rsidR="00471323" w:rsidRPr="004E28BB">
        <w:br/>
        <w:t>If available, obtain pre-injury baseline audiograms/audiometry studies to include a summary of past audiometric history, if know</w:t>
      </w:r>
      <w:r w:rsidR="004C50A3">
        <w:t>n</w:t>
      </w:r>
      <w:r w:rsidR="00471323" w:rsidRPr="004E28BB">
        <w:t xml:space="preserve"> (</w:t>
      </w:r>
      <w:r w:rsidR="004C50A3">
        <w:t>e.g.,</w:t>
      </w:r>
      <w:r w:rsidR="00471323" w:rsidRPr="004E28BB">
        <w:t xml:space="preserve"> prior hearing loss, prior tinnitus, prior vestibular problems, prior injury, etc.</w:t>
      </w:r>
      <w:r w:rsidR="004C50A3">
        <w:t>).</w:t>
      </w:r>
      <w:r w:rsidRPr="004E28BB">
        <w:br/>
      </w:r>
      <w:r w:rsidRPr="004E28BB">
        <w:br/>
        <w:t xml:space="preserve">Baseline audiometry following </w:t>
      </w:r>
      <w:r w:rsidR="0056633D">
        <w:t>TBI</w:t>
      </w:r>
      <w:r w:rsidRPr="004E28BB">
        <w:t xml:space="preserve"> is indicated when the individual with TBI presents with hearing loss, dizziness, tinnitus, or facial nerve dysfunction.</w:t>
      </w:r>
      <w:r w:rsidRPr="004E28BB">
        <w:br/>
      </w:r>
      <w:r w:rsidRPr="004E28BB">
        <w:br/>
        <w:t>Audiograms may be obtained in serial fashion to monitor inner ear function in response to time and treatment.</w:t>
      </w:r>
    </w:p>
    <w:p w:rsidR="000408B7" w:rsidRPr="004E28BB" w:rsidRDefault="000408B7" w:rsidP="00D41D04">
      <w:pPr>
        <w:pStyle w:val="ListNumber3"/>
      </w:pPr>
      <w:bookmarkStart w:id="271" w:name="_Toc319922514"/>
      <w:bookmarkStart w:id="272" w:name="_Toc394643295"/>
      <w:r w:rsidRPr="004E28BB">
        <w:rPr>
          <w:rStyle w:val="Guide3-abcdChar"/>
        </w:rPr>
        <w:t>Tympanometry</w:t>
      </w:r>
      <w:bookmarkEnd w:id="271"/>
      <w:bookmarkEnd w:id="272"/>
      <w:r w:rsidRPr="004E28BB">
        <w:t xml:space="preserve">: </w:t>
      </w:r>
      <w:r w:rsidR="004C50A3">
        <w:t>A</w:t>
      </w:r>
      <w:r w:rsidRPr="004E28BB">
        <w:t xml:space="preserve"> generally accepted and well-established procedure that measures middle ear air pressures. It is used to help identify the presence of tympanic membrane perforations, ossicular abnormalities, and the presence of fluid in the middle ear.</w:t>
      </w:r>
    </w:p>
    <w:p w:rsidR="000408B7" w:rsidRPr="004E28BB" w:rsidRDefault="000408B7" w:rsidP="00D41D04">
      <w:pPr>
        <w:pStyle w:val="ListNumber3"/>
      </w:pPr>
      <w:bookmarkStart w:id="273" w:name="_Toc319922515"/>
      <w:bookmarkStart w:id="274" w:name="_Toc394643296"/>
      <w:r w:rsidRPr="004E28BB">
        <w:rPr>
          <w:rStyle w:val="Guide3-abcdChar"/>
        </w:rPr>
        <w:t>Vestibular Function Tests</w:t>
      </w:r>
      <w:bookmarkEnd w:id="273"/>
      <w:bookmarkEnd w:id="274"/>
      <w:r w:rsidRPr="004E28BB">
        <w:t xml:space="preserve">: </w:t>
      </w:r>
      <w:r w:rsidR="004C50A3">
        <w:t>T</w:t>
      </w:r>
      <w:r w:rsidR="007A15B0" w:rsidRPr="004E28BB">
        <w:t>he most common type of vertigo is benign positional vertigo</w:t>
      </w:r>
      <w:r w:rsidR="004C50A3">
        <w:t>,</w:t>
      </w:r>
      <w:r w:rsidR="007A15B0" w:rsidRPr="004E28BB">
        <w:t xml:space="preserve"> which</w:t>
      </w:r>
      <w:r w:rsidRPr="004E28BB">
        <w:t xml:space="preserve"> usually does not require additional testing because it is diagnosed with the clinical Dix-Hallpike maneuver and treated with a variety of canalith repositioning maneuver</w:t>
      </w:r>
      <w:r w:rsidR="004A6BCA" w:rsidRPr="004E28BB">
        <w:t>s</w:t>
      </w:r>
      <w:r w:rsidRPr="004E28BB">
        <w:t xml:space="preserve"> (CRM), </w:t>
      </w:r>
      <w:r w:rsidR="004C50A3">
        <w:t>such as</w:t>
      </w:r>
      <w:r w:rsidR="00005E95" w:rsidRPr="004E28BB">
        <w:t xml:space="preserve"> Epley and Semont maneuvers</w:t>
      </w:r>
      <w:r w:rsidRPr="004E28BB">
        <w:rPr>
          <w:rStyle w:val="GuideCitesCharChar"/>
        </w:rPr>
        <w:t xml:space="preserve"> </w:t>
      </w:r>
      <w:r w:rsidR="00005E95" w:rsidRPr="003C0CBB">
        <w:rPr>
          <w:rStyle w:val="GuideCitesCharChar"/>
          <w:highlight w:val="yellow"/>
        </w:rPr>
        <w:t>(</w:t>
      </w:r>
      <w:hyperlink w:anchor="Fife2000" w:history="1">
        <w:r w:rsidR="00005E95" w:rsidRPr="000D5DCD">
          <w:rPr>
            <w:rStyle w:val="Hyperlink"/>
            <w:rFonts w:cs="Arial"/>
            <w:highlight w:val="yellow"/>
          </w:rPr>
          <w:t>Fife</w:t>
        </w:r>
        <w:r w:rsidR="00B30BDE" w:rsidRPr="000D5DCD">
          <w:rPr>
            <w:rStyle w:val="Hyperlink"/>
            <w:rFonts w:cs="Arial"/>
            <w:highlight w:val="yellow"/>
          </w:rPr>
          <w:t>, 2000</w:t>
        </w:r>
      </w:hyperlink>
      <w:r w:rsidR="00B30BDE" w:rsidRPr="003C0CBB">
        <w:rPr>
          <w:rStyle w:val="GuideCitesCharChar"/>
          <w:highlight w:val="yellow"/>
        </w:rPr>
        <w:t>)</w:t>
      </w:r>
      <w:r w:rsidR="00B30BDE" w:rsidRPr="004E28BB">
        <w:t xml:space="preserve"> </w:t>
      </w:r>
      <w:r w:rsidR="00756447">
        <w:t>(r</w:t>
      </w:r>
      <w:r w:rsidRPr="004E28BB">
        <w:t xml:space="preserve">efer to </w:t>
      </w:r>
      <w:r w:rsidR="00811C8B">
        <w:t>Section</w:t>
      </w:r>
      <w:r w:rsidRPr="004E28BB">
        <w:t xml:space="preserve"> </w:t>
      </w:r>
      <w:hyperlink w:anchor="TBIJ2fivBenignPositionalVertigo" w:history="1">
        <w:r w:rsidR="003D6174" w:rsidRPr="004E28BB">
          <w:rPr>
            <w:rStyle w:val="Hyperlink"/>
            <w:rFonts w:cs="Arial"/>
          </w:rPr>
          <w:t>J</w:t>
        </w:r>
        <w:r w:rsidRPr="004E28BB">
          <w:rPr>
            <w:rStyle w:val="Hyperlink"/>
            <w:rFonts w:cs="Arial"/>
          </w:rPr>
          <w:t>.</w:t>
        </w:r>
        <w:r w:rsidR="003D6174" w:rsidRPr="004E28BB">
          <w:rPr>
            <w:rStyle w:val="Hyperlink"/>
            <w:rFonts w:cs="Arial"/>
          </w:rPr>
          <w:t>2</w:t>
        </w:r>
        <w:r w:rsidRPr="004E28BB">
          <w:rPr>
            <w:rStyle w:val="Hyperlink"/>
            <w:rFonts w:cs="Arial"/>
          </w:rPr>
          <w:t>.c.iv. Benign Positional Vertigo (BPV)</w:t>
        </w:r>
      </w:hyperlink>
      <w:r w:rsidR="00756447">
        <w:t>)</w:t>
      </w:r>
      <w:r w:rsidRPr="004E28BB">
        <w:t xml:space="preserve">. </w:t>
      </w:r>
      <w:r w:rsidR="001D7A18" w:rsidRPr="004E28BB">
        <w:t>The following tests are used to verify the presence of vertigo and specify the origin when possible.</w:t>
      </w:r>
    </w:p>
    <w:p w:rsidR="000408B7" w:rsidRPr="004E28BB" w:rsidRDefault="000408B7" w:rsidP="00D41D04">
      <w:pPr>
        <w:pStyle w:val="ListNumber4"/>
      </w:pPr>
      <w:r w:rsidRPr="004E28BB">
        <w:rPr>
          <w:rStyle w:val="Guide4-i"/>
        </w:rPr>
        <w:t xml:space="preserve">Electro- or </w:t>
      </w:r>
      <w:r w:rsidR="004C50A3">
        <w:rPr>
          <w:rStyle w:val="Guide4-i"/>
        </w:rPr>
        <w:t>V</w:t>
      </w:r>
      <w:r w:rsidRPr="004E28BB">
        <w:rPr>
          <w:rStyle w:val="Guide4-i"/>
        </w:rPr>
        <w:t>ideo-</w:t>
      </w:r>
      <w:r w:rsidR="004C50A3">
        <w:rPr>
          <w:rStyle w:val="Guide4-i"/>
        </w:rPr>
        <w:t>N</w:t>
      </w:r>
      <w:r w:rsidRPr="004E28BB">
        <w:rPr>
          <w:rStyle w:val="Guide4-i"/>
        </w:rPr>
        <w:t>ystagmography (ENG/VNG)</w:t>
      </w:r>
      <w:r w:rsidRPr="004E28BB">
        <w:t xml:space="preserve">: </w:t>
      </w:r>
      <w:r w:rsidR="004C50A3">
        <w:t>A</w:t>
      </w:r>
      <w:r w:rsidRPr="004E28BB">
        <w:t xml:space="preserve"> generally accepted and well-established procedure that measures inner ear</w:t>
      </w:r>
      <w:r w:rsidR="004A6BCA" w:rsidRPr="004E28BB">
        <w:t>/central</w:t>
      </w:r>
      <w:r w:rsidRPr="004E28BB">
        <w:t xml:space="preserve"> balance function. The test measures eye movement responses to inner ear balance stimulation making use of the vestibulo-ocular reflex. There are several components to the ENG/VNG. They include oculomotor testing, positional and positioning nystagmus testing and caloric testing. This series of tests may identify peripheral and central abnormalities, abnormalities in oculomotor function, positional nystagmus, and unilateral and bilateral vestibular dysfunction. The ENG/VNG can be helpful in identifying the affected ear. This test is often used in individuals with TBI complaining of dizziness or dysequilibrium and may help diagnose conditions such as labyrinthine concussion, vestibular hypofunction, and central vertigo. It is often used in conjunction with </w:t>
      </w:r>
      <w:r w:rsidRPr="004E28BB">
        <w:lastRenderedPageBreak/>
        <w:t>other tests such as the audiogram and clinical history to help arrive at a diagnosis.</w:t>
      </w:r>
    </w:p>
    <w:p w:rsidR="000408B7" w:rsidRPr="004E28BB" w:rsidRDefault="000408B7" w:rsidP="00D41D04">
      <w:pPr>
        <w:pStyle w:val="ListNumber4"/>
      </w:pPr>
      <w:r w:rsidRPr="004E28BB">
        <w:rPr>
          <w:rStyle w:val="Guide4-i"/>
        </w:rPr>
        <w:t>Rotary Chair Testing</w:t>
      </w:r>
      <w:r w:rsidRPr="004E28BB">
        <w:t xml:space="preserve">: </w:t>
      </w:r>
      <w:r w:rsidR="004C50A3">
        <w:t>A</w:t>
      </w:r>
      <w:r w:rsidRPr="004E28BB">
        <w:t xml:space="preserve"> generally accepted and well-established test that evaluates the ocular responses of the inner ear to rotation. It is used to identify the extent of bilateral vestibular loss and is more accurate than VNG caloric tests for this purpose. It is also useful in assessing the ability of vision to compensate for vestibular impairments and so provides prognostic information regarding recovery.</w:t>
      </w:r>
    </w:p>
    <w:p w:rsidR="000408B7" w:rsidRPr="00347BB1" w:rsidRDefault="000408B7" w:rsidP="00D41D04">
      <w:pPr>
        <w:pStyle w:val="ListNumber4"/>
      </w:pPr>
      <w:r w:rsidRPr="004E28BB">
        <w:rPr>
          <w:rStyle w:val="Guide4-i"/>
        </w:rPr>
        <w:t>Computerized Dynamic Platform Posturography</w:t>
      </w:r>
      <w:r w:rsidRPr="004E28BB">
        <w:t xml:space="preserve">: </w:t>
      </w:r>
      <w:r w:rsidR="00BB4168">
        <w:t>A</w:t>
      </w:r>
      <w:r w:rsidRPr="004E28BB">
        <w:t xml:space="preserve"> generally accepted and well-established test that assesses the contributions of vision, somatosensation, and the inner ear to balance control. It separately evaluates the role of lower extremity motor control to balance. It can be used to determine whether a vestibular lesion is present, but</w:t>
      </w:r>
      <w:r w:rsidR="00BB4168">
        <w:t xml:space="preserve"> it</w:t>
      </w:r>
      <w:r w:rsidRPr="004E28BB">
        <w:t xml:space="preserve"> does not localize the lesion. The purpose of this procedure is to identify the integral components of a functional balance deficit that may help in treatment planning. This technique also may be useful in monitoring neurologic recovery in individuals with TBI and balance deficits. These functional methods of evaluation are considered generally accepted practices in the evaluation of persistent vestibular and balance deficits that may require specific treatment and remediation strategies. Non-physiologic findings on this exam can result from either symptom exaggeration, anxiety, psychiatric disorders, atypical results</w:t>
      </w:r>
      <w:r w:rsidR="00BB4168">
        <w:t>,</w:t>
      </w:r>
      <w:r w:rsidRPr="004E28BB">
        <w:t xml:space="preserve"> or malingering and should not be interpreted as malingering without other evidence. One study demonstrated positive VNG testing in a number of cases where dynamic po</w:t>
      </w:r>
      <w:r w:rsidR="00B30BDE" w:rsidRPr="004E28BB">
        <w:t>sturography was non-physiologic</w:t>
      </w:r>
      <w:r w:rsidRPr="004E28BB">
        <w:rPr>
          <w:rStyle w:val="GuideCitesCharChar"/>
        </w:rPr>
        <w:t xml:space="preserve"> </w:t>
      </w:r>
      <w:r w:rsidRPr="00347BB1">
        <w:rPr>
          <w:rStyle w:val="GuideCitesCharChar"/>
        </w:rPr>
        <w:t>(</w:t>
      </w:r>
      <w:hyperlink w:anchor="Larrosa2012" w:history="1">
        <w:r w:rsidRPr="000D5DCD">
          <w:rPr>
            <w:rStyle w:val="Hyperlink"/>
            <w:rFonts w:cs="Arial"/>
            <w:highlight w:val="yellow"/>
          </w:rPr>
          <w:t>Larrosa, 2012</w:t>
        </w:r>
      </w:hyperlink>
      <w:r w:rsidRPr="00347BB1">
        <w:rPr>
          <w:rStyle w:val="GuideCitesCharChar"/>
        </w:rPr>
        <w:t>)</w:t>
      </w:r>
      <w:r w:rsidR="00B30BDE" w:rsidRPr="00347BB1">
        <w:t>.</w:t>
      </w:r>
    </w:p>
    <w:p w:rsidR="000408B7" w:rsidRPr="004E28BB" w:rsidRDefault="000408B7" w:rsidP="00D41D04">
      <w:pPr>
        <w:pStyle w:val="ListNumber4"/>
      </w:pPr>
      <w:r w:rsidRPr="004E28BB">
        <w:rPr>
          <w:rStyle w:val="Guide4-i"/>
        </w:rPr>
        <w:t>Electrocochleography (ECoG)</w:t>
      </w:r>
      <w:r w:rsidRPr="004E28BB">
        <w:t xml:space="preserve">: </w:t>
      </w:r>
      <w:r w:rsidR="00BB4168">
        <w:t>A</w:t>
      </w:r>
      <w:r w:rsidRPr="004E28BB">
        <w:t xml:space="preserve"> well-established and generally accepted procedure that tests endolymphatic fluid pressures indirectly. It identifies the affected ear in cases of post-traumatic endolymphatic hydrops and post-traumatic perilymphatic fistula.</w:t>
      </w:r>
      <w:r w:rsidRPr="004E28BB">
        <w:br/>
      </w:r>
      <w:r w:rsidRPr="004E28BB">
        <w:br/>
        <w:t>The inner ear has two fluid chambers</w:t>
      </w:r>
      <w:r w:rsidR="00740C00">
        <w:t>—</w:t>
      </w:r>
      <w:r w:rsidRPr="004E28BB">
        <w:t>the perilymphatic and the endolymphatic. After TBI, it is not uncommon for patients to develop an increase in the endolymphatic fluid pressure; this condition is called hydrops. When the endolymphatic pressures are abnormally high, the inner ear membranes distend, and the ear malfunctions. Symptoms include hearing loss, dizziness that is sporadic, tinnitus, aural fullness, and sensitivity to sound.</w:t>
      </w:r>
      <w:r w:rsidRPr="004E28BB">
        <w:br/>
      </w:r>
      <w:r w:rsidRPr="004E28BB">
        <w:br/>
        <w:t xml:space="preserve">The ECoG is a test that uses evoked potentials. The patient listens to a series of clicks. Monitors, including one sitting on the tympanic membrane, measure three potentials: the cochlear microphonic, the summating potential (SP), and the action potential (AP). An increase in the ratio of the summating potential of the action potential (SP/AP) suggests the presence of hydrops or perilymphatic fistula. The test varies in sensitivity and specificity. Diagnosis of endolymphatic hydrops requires a characteristic clinical picture with progressive hearing loss, fluctuating hearing, and recurrent vertigo episodes lasting for hours. See </w:t>
      </w:r>
      <w:hyperlink w:anchor="TBIJ2ciProgressiveVestibulopathy" w:history="1">
        <w:r w:rsidR="00D27EA3" w:rsidRPr="004E28BB">
          <w:rPr>
            <w:rStyle w:val="Hyperlink"/>
            <w:rFonts w:cs="Arial"/>
          </w:rPr>
          <w:t>J.2.c.i</w:t>
        </w:r>
        <w:r w:rsidRPr="004E28BB">
          <w:rPr>
            <w:rStyle w:val="Hyperlink"/>
            <w:rFonts w:cs="Arial"/>
          </w:rPr>
          <w:t xml:space="preserve"> Progressive </w:t>
        </w:r>
        <w:r w:rsidR="00BB4168">
          <w:rPr>
            <w:rStyle w:val="Hyperlink"/>
            <w:rFonts w:cs="Arial"/>
          </w:rPr>
          <w:t>V</w:t>
        </w:r>
        <w:r w:rsidRPr="004E28BB">
          <w:rPr>
            <w:rStyle w:val="Hyperlink"/>
            <w:rFonts w:cs="Arial"/>
          </w:rPr>
          <w:t xml:space="preserve">estibulopathy with or without </w:t>
        </w:r>
        <w:r w:rsidR="00BB4168">
          <w:rPr>
            <w:rStyle w:val="Hyperlink"/>
            <w:rFonts w:cs="Arial"/>
          </w:rPr>
          <w:t>H</w:t>
        </w:r>
        <w:r w:rsidRPr="004E28BB">
          <w:rPr>
            <w:rStyle w:val="Hyperlink"/>
            <w:rFonts w:cs="Arial"/>
          </w:rPr>
          <w:t xml:space="preserve">earing </w:t>
        </w:r>
        <w:r w:rsidR="00BB4168">
          <w:rPr>
            <w:rStyle w:val="Hyperlink"/>
            <w:rFonts w:cs="Arial"/>
          </w:rPr>
          <w:t>L</w:t>
        </w:r>
        <w:r w:rsidRPr="004E28BB">
          <w:rPr>
            <w:rStyle w:val="Hyperlink"/>
            <w:rFonts w:cs="Arial"/>
          </w:rPr>
          <w:t>oss</w:t>
        </w:r>
      </w:hyperlink>
      <w:r w:rsidRPr="004E28BB">
        <w:t>. Diagnosis should not be based solely on an abnormal ECoG test result in the absence of these clinical features</w:t>
      </w:r>
    </w:p>
    <w:p w:rsidR="000408B7" w:rsidRPr="004E28BB" w:rsidRDefault="000408B7" w:rsidP="00D41D04">
      <w:pPr>
        <w:pStyle w:val="ListNumber4"/>
      </w:pPr>
      <w:r w:rsidRPr="004E28BB">
        <w:rPr>
          <w:rStyle w:val="Guide4-i"/>
        </w:rPr>
        <w:lastRenderedPageBreak/>
        <w:t xml:space="preserve">Vestibular </w:t>
      </w:r>
      <w:r w:rsidR="00962A22">
        <w:rPr>
          <w:rStyle w:val="Guide4-i"/>
        </w:rPr>
        <w:t>E</w:t>
      </w:r>
      <w:r w:rsidRPr="004E28BB">
        <w:rPr>
          <w:rStyle w:val="Guide4-i"/>
        </w:rPr>
        <w:t xml:space="preserve">voked </w:t>
      </w:r>
      <w:r w:rsidR="00962A22">
        <w:rPr>
          <w:rStyle w:val="Guide4-i"/>
        </w:rPr>
        <w:t>M</w:t>
      </w:r>
      <w:r w:rsidRPr="004E28BB">
        <w:rPr>
          <w:rStyle w:val="Guide4-i"/>
        </w:rPr>
        <w:t xml:space="preserve">yogenic </w:t>
      </w:r>
      <w:r w:rsidR="00962A22">
        <w:rPr>
          <w:rStyle w:val="Guide4-i"/>
        </w:rPr>
        <w:t>P</w:t>
      </w:r>
      <w:r w:rsidRPr="004E28BB">
        <w:rPr>
          <w:rStyle w:val="Guide4-i"/>
        </w:rPr>
        <w:t>otentials (VEMP)</w:t>
      </w:r>
      <w:r w:rsidRPr="004E28BB">
        <w:t xml:space="preserve">: </w:t>
      </w:r>
      <w:r w:rsidR="00BB4168">
        <w:t>A</w:t>
      </w:r>
      <w:r w:rsidRPr="004E28BB">
        <w:t xml:space="preserve"> generally accepted test that evaluates the function of the saccule, one of the gravity-sensing organs of the inner ear. It is the only objective test of these organs. It is a form of auditory evoked response and is measured using the </w:t>
      </w:r>
      <w:smartTag w:uri="urn:schemas-microsoft-com:office:smarttags" w:element="stockticker">
        <w:r w:rsidRPr="004E28BB">
          <w:t>ABR</w:t>
        </w:r>
      </w:smartTag>
      <w:r w:rsidRPr="004E28BB">
        <w:t xml:space="preserve"> and EMG equipment. A loud sound stimulus is introduced into the ear, and a vestibulo-colic reflex response from the saccule is recorded as a brief relaxation of the ipsilateral sternocleidomastoid muscle by EMG. A characteristic wave</w:t>
      </w:r>
      <w:r w:rsidR="00BB4168">
        <w:t xml:space="preserve"> </w:t>
      </w:r>
      <w:r w:rsidRPr="004E28BB">
        <w:t>form is recorded for each ear that is analyzed for presence or absence, threshold, amplitude</w:t>
      </w:r>
      <w:r w:rsidR="00BB4168">
        <w:t>,</w:t>
      </w:r>
      <w:r w:rsidRPr="004E28BB">
        <w:t xml:space="preserve"> and latency. Absence of a response in persons under age 60 suggests saccular damage. Reduced thresholds are indicative of semicircular canal dehiscence</w:t>
      </w:r>
    </w:p>
    <w:p w:rsidR="000408B7" w:rsidRPr="004E28BB" w:rsidRDefault="000408B7" w:rsidP="00D41D04">
      <w:pPr>
        <w:pStyle w:val="ListNumber4"/>
      </w:pPr>
      <w:r w:rsidRPr="004E28BB">
        <w:rPr>
          <w:rStyle w:val="Guide4-i"/>
        </w:rPr>
        <w:t xml:space="preserve">Other </w:t>
      </w:r>
      <w:r w:rsidR="00962A22">
        <w:rPr>
          <w:rStyle w:val="Guide4-i"/>
        </w:rPr>
        <w:t>C</w:t>
      </w:r>
      <w:r w:rsidRPr="004E28BB">
        <w:rPr>
          <w:rStyle w:val="Guide4-i"/>
        </w:rPr>
        <w:t xml:space="preserve">linical </w:t>
      </w:r>
      <w:r w:rsidR="00962A22">
        <w:rPr>
          <w:rStyle w:val="Guide4-i"/>
        </w:rPr>
        <w:t>R</w:t>
      </w:r>
      <w:r w:rsidRPr="004E28BB">
        <w:rPr>
          <w:rStyle w:val="Guide4-i"/>
        </w:rPr>
        <w:t>eferrals</w:t>
      </w:r>
      <w:r w:rsidRPr="004E28BB">
        <w:t>: The treating physician may often refer individuals with TBI who have balance problems to other clinicians</w:t>
      </w:r>
      <w:r w:rsidR="00540073">
        <w:t xml:space="preserve"> with appropriate training in balance</w:t>
      </w:r>
      <w:r w:rsidRPr="004E28BB">
        <w:t xml:space="preserve"> to assist in their assessment. Th</w:t>
      </w:r>
      <w:r w:rsidR="00BB4168">
        <w:t>e referrals</w:t>
      </w:r>
      <w:r w:rsidRPr="004E28BB">
        <w:t xml:space="preserve"> may include</w:t>
      </w:r>
      <w:r w:rsidR="00BB4168">
        <w:t>,</w:t>
      </w:r>
      <w:r w:rsidRPr="004E28BB">
        <w:t xml:space="preserve"> but </w:t>
      </w:r>
      <w:r w:rsidR="00BB4168">
        <w:t>are</w:t>
      </w:r>
      <w:r w:rsidRPr="004E28BB">
        <w:t xml:space="preserve"> not restricted to, </w:t>
      </w:r>
      <w:r w:rsidR="00AB493B">
        <w:t xml:space="preserve">neuro-ophthamology, optometry, </w:t>
      </w:r>
      <w:r w:rsidRPr="004E28BB">
        <w:t xml:space="preserve">physical therapy, occupational therapy, </w:t>
      </w:r>
      <w:r w:rsidR="00AB493B">
        <w:t xml:space="preserve">and </w:t>
      </w:r>
      <w:r w:rsidRPr="004E28BB">
        <w:t xml:space="preserve">chiropractic therapy. There should be a coordinated approach between these disciplines and the physician specialist in the individual’s treatment. </w:t>
      </w:r>
    </w:p>
    <w:p w:rsidR="000408B7" w:rsidRPr="004E28BB" w:rsidRDefault="000408B7" w:rsidP="00D41D04">
      <w:pPr>
        <w:pStyle w:val="ListNumber2"/>
      </w:pPr>
      <w:bookmarkStart w:id="275" w:name="_Toc394643297"/>
      <w:r w:rsidRPr="004E28BB">
        <w:rPr>
          <w:rStyle w:val="Guide2-123Char"/>
        </w:rPr>
        <w:t>SWALLOWING EVALUATION</w:t>
      </w:r>
      <w:bookmarkEnd w:id="275"/>
      <w:r w:rsidR="00962A22" w:rsidRPr="004E28BB">
        <w:t>:</w:t>
      </w:r>
      <w:r w:rsidRPr="004E28BB">
        <w:t xml:space="preserve"> Swallowing impairment or dysphagia may be due to neurologic, structural</w:t>
      </w:r>
      <w:r w:rsidR="00176306">
        <w:t>,</w:t>
      </w:r>
      <w:r w:rsidRPr="004E28BB">
        <w:t xml:space="preserve"> or cognitive deficits and may result from head trauma. Dysphagia may result in aspiration, airway obstruction, pneumonia, inadequate nutrition, dehydration, weight loss, failure to thrive, and death.</w:t>
      </w:r>
    </w:p>
    <w:p w:rsidR="000408B7" w:rsidRPr="004E28BB" w:rsidRDefault="000408B7" w:rsidP="009C3DC2">
      <w:pPr>
        <w:pStyle w:val="ListNumber3"/>
        <w:numPr>
          <w:ilvl w:val="2"/>
          <w:numId w:val="22"/>
        </w:numPr>
      </w:pPr>
      <w:bookmarkStart w:id="276" w:name="_Toc319922520"/>
      <w:bookmarkStart w:id="277" w:name="_Toc394643298"/>
      <w:r w:rsidRPr="004E28BB">
        <w:rPr>
          <w:rStyle w:val="Guide3-abcdChar"/>
        </w:rPr>
        <w:t>Clinical Assessment</w:t>
      </w:r>
      <w:bookmarkEnd w:id="276"/>
      <w:bookmarkEnd w:id="277"/>
      <w:r w:rsidRPr="004E28BB">
        <w:t xml:space="preserve">: </w:t>
      </w:r>
    </w:p>
    <w:p w:rsidR="000408B7" w:rsidRPr="004E28BB" w:rsidRDefault="000408B7" w:rsidP="00D41D04">
      <w:pPr>
        <w:pStyle w:val="ListNumber4"/>
      </w:pPr>
      <w:r w:rsidRPr="004E28BB">
        <w:rPr>
          <w:rStyle w:val="Guide4-i"/>
        </w:rPr>
        <w:t>Clinical Bedside Assessment</w:t>
      </w:r>
      <w:r w:rsidRPr="004E28BB">
        <w:t>: This generally accepted clinical examination of oral-pharyngeal swallow function consists of pertinent medical history, examination of function of the jaw, lip, tongue, soft palate, oral sensitivity, function of pharynx and larynx, observation of dry swallow(s) and, if appropriate, with various food/liquid consistencies, ability to follow directions and discipline his/her own behaviors. If pharyngeal dysfunction or aspiration is suspected, an instrumental assessment may be indicated.</w:t>
      </w:r>
    </w:p>
    <w:p w:rsidR="000408B7" w:rsidRPr="004E28BB" w:rsidRDefault="000408B7" w:rsidP="00D41D04">
      <w:pPr>
        <w:pStyle w:val="ListNumber4"/>
      </w:pPr>
      <w:r w:rsidRPr="004E28BB">
        <w:rPr>
          <w:rStyle w:val="Guide4-i"/>
        </w:rPr>
        <w:t>Modified Evans Blue-Dye Test (MEBDT)</w:t>
      </w:r>
      <w:r w:rsidRPr="004E28BB">
        <w:t xml:space="preserve">: </w:t>
      </w:r>
      <w:r w:rsidR="00176306">
        <w:t>A</w:t>
      </w:r>
      <w:r w:rsidRPr="004E28BB">
        <w:t xml:space="preserve"> variation of the clinical bedside assessment used to detect the presence or absence of aspiration in an individual with tracheostomy. This procedure uses blue dye (FC&amp;C Blue No. 1), or methylene blue placed on the tongue, or into liquids, ice chips</w:t>
      </w:r>
      <w:r w:rsidR="00E03930">
        <w:t>,</w:t>
      </w:r>
      <w:r w:rsidRPr="004E28BB">
        <w:t xml:space="preserve"> or food items. Aspiration is assumed if tracheal suctioning reveals blue-tinged secretions. The MEBDT has not been found reliable in identifying individuals who aspirated trace amounts (less than 10% of the bolus). Recognizing the limitations and risks of MEBDT, it is a common and practical means of screening individuals to determine readiness for cuff deflation or further swallowing evaluation.</w:t>
      </w:r>
    </w:p>
    <w:p w:rsidR="000408B7" w:rsidRPr="004E28BB" w:rsidRDefault="000408B7" w:rsidP="00D41D04">
      <w:pPr>
        <w:pStyle w:val="ListNumber3"/>
      </w:pPr>
      <w:bookmarkStart w:id="278" w:name="_Toc319922521"/>
      <w:bookmarkStart w:id="279" w:name="_Toc394643299"/>
      <w:r w:rsidRPr="004E28BB">
        <w:rPr>
          <w:rStyle w:val="Guide3-abcdChar"/>
        </w:rPr>
        <w:t>Instrumental Evaluation</w:t>
      </w:r>
      <w:bookmarkEnd w:id="278"/>
      <w:bookmarkEnd w:id="279"/>
      <w:r w:rsidRPr="004E28BB">
        <w:t xml:space="preserve">: </w:t>
      </w:r>
      <w:r w:rsidR="00E03930">
        <w:t xml:space="preserve">Instrumental evaluations </w:t>
      </w:r>
      <w:r w:rsidRPr="004E28BB">
        <w:t xml:space="preserve">of swallow function are generally accepted diagnostic tests. They are conducted by a </w:t>
      </w:r>
      <w:r w:rsidR="00E03930">
        <w:t>s</w:t>
      </w:r>
      <w:r w:rsidRPr="004E28BB">
        <w:t>peech-</w:t>
      </w:r>
      <w:r w:rsidR="00E03930">
        <w:t>l</w:t>
      </w:r>
      <w:r w:rsidRPr="004E28BB">
        <w:t xml:space="preserve">anguage </w:t>
      </w:r>
      <w:r w:rsidR="00E03930">
        <w:t>p</w:t>
      </w:r>
      <w:r w:rsidRPr="004E28BB">
        <w:t>athologist and physician in collaboration (</w:t>
      </w:r>
      <w:r w:rsidR="00E03930">
        <w:t>r</w:t>
      </w:r>
      <w:r w:rsidRPr="004E28BB">
        <w:t>adiologist, ENT or other physician familiar with the procedure as appropriate)</w:t>
      </w:r>
      <w:r w:rsidR="004375CF">
        <w:t>,</w:t>
      </w:r>
      <w:r w:rsidRPr="004E28BB">
        <w:t xml:space="preserve"> or by the </w:t>
      </w:r>
      <w:r w:rsidR="004375CF">
        <w:t>s</w:t>
      </w:r>
      <w:r w:rsidRPr="004E28BB">
        <w:t>peech-</w:t>
      </w:r>
      <w:r w:rsidR="004375CF">
        <w:t>l</w:t>
      </w:r>
      <w:r w:rsidRPr="004E28BB">
        <w:t xml:space="preserve">anguage </w:t>
      </w:r>
      <w:r w:rsidR="004375CF">
        <w:t>p</w:t>
      </w:r>
      <w:r w:rsidRPr="004E28BB">
        <w:t>athologist under the supervision of a physician.</w:t>
      </w:r>
    </w:p>
    <w:p w:rsidR="000408B7" w:rsidRPr="004E28BB" w:rsidRDefault="000408B7" w:rsidP="00D41D04">
      <w:pPr>
        <w:pStyle w:val="ListNumber4"/>
      </w:pPr>
      <w:r w:rsidRPr="004E28BB">
        <w:rPr>
          <w:rStyle w:val="Guide4-i"/>
        </w:rPr>
        <w:t xml:space="preserve">Modified Barium Swallow Studies (MBS) or </w:t>
      </w:r>
      <w:r w:rsidR="004375CF">
        <w:rPr>
          <w:rStyle w:val="Guide4-i"/>
        </w:rPr>
        <w:t>V</w:t>
      </w:r>
      <w:r w:rsidRPr="004E28BB">
        <w:rPr>
          <w:rStyle w:val="Guide4-i"/>
        </w:rPr>
        <w:t xml:space="preserve">ideofluoroscopic </w:t>
      </w:r>
      <w:r w:rsidR="004375CF">
        <w:rPr>
          <w:rStyle w:val="Guide4-i"/>
        </w:rPr>
        <w:t>S</w:t>
      </w:r>
      <w:r w:rsidRPr="004E28BB">
        <w:rPr>
          <w:rStyle w:val="Guide4-i"/>
        </w:rPr>
        <w:t>tudy:</w:t>
      </w:r>
      <w:r w:rsidRPr="004E28BB">
        <w:t xml:space="preserve"> </w:t>
      </w:r>
      <w:r w:rsidR="004375CF">
        <w:t>W</w:t>
      </w:r>
      <w:r w:rsidRPr="004E28BB">
        <w:t xml:space="preserve">ell-established and the most common instrumental procedure used to study swallow function. The individual’s swallowing function involving the </w:t>
      </w:r>
      <w:r w:rsidRPr="004E28BB">
        <w:lastRenderedPageBreak/>
        <w:t>oral cavity, pharynx</w:t>
      </w:r>
      <w:r w:rsidR="004375CF">
        <w:t>,</w:t>
      </w:r>
      <w:r w:rsidRPr="004E28BB">
        <w:t xml:space="preserve"> and upper esophagus is visualized while swallowing various quantities and textures of food and/or liquid </w:t>
      </w:r>
      <w:r w:rsidR="004375CF">
        <w:t>containing</w:t>
      </w:r>
      <w:r w:rsidR="004375CF" w:rsidRPr="004E28BB">
        <w:t xml:space="preserve"> </w:t>
      </w:r>
      <w:r w:rsidRPr="004E28BB">
        <w:t>barium contrast material.</w:t>
      </w:r>
      <w:r w:rsidRPr="004E28BB">
        <w:br/>
      </w:r>
      <w:r w:rsidRPr="004E28BB">
        <w:br/>
        <w:t>The MBS is useful in visualizing, identifying, and documenting the presence of risk of penetration and/or aspiration and the swallowing disorder responsible for it. Specific</w:t>
      </w:r>
      <w:r w:rsidR="00896D96" w:rsidRPr="004E28BB">
        <w:t xml:space="preserve"> factors assessed during the MBS</w:t>
      </w:r>
      <w:r w:rsidRPr="004E28BB">
        <w:t xml:space="preserve"> may include the anatomy and physiology of the swallow, clearance of material through the mouth and pharynx, the timing of the swallow, the percentage of penetration/aspiration, effectiveness of treatment techniques and strategies to improve swallow safety and efficiency. Recommendations are made concerning </w:t>
      </w:r>
      <w:r w:rsidR="004375CF">
        <w:t xml:space="preserve">the </w:t>
      </w:r>
      <w:r w:rsidRPr="004E28BB">
        <w:t>safety of oral intake, optimal delivery method for diet and hydration, diet texture/sensation modifications, therapy techniques, compensatory postures</w:t>
      </w:r>
      <w:r w:rsidR="004375CF">
        <w:t>,</w:t>
      </w:r>
      <w:r w:rsidRPr="004E28BB">
        <w:t xml:space="preserve"> and strategies to ensure optimum swallow safety and efficiency. Repeated studies may be needed to determine change in swallow function over time.</w:t>
      </w:r>
    </w:p>
    <w:p w:rsidR="000408B7" w:rsidRPr="004E28BB" w:rsidRDefault="000408B7" w:rsidP="00D41D04">
      <w:pPr>
        <w:pStyle w:val="ListNumber4"/>
      </w:pPr>
      <w:r w:rsidRPr="004E28BB">
        <w:rPr>
          <w:rStyle w:val="Guide4-i"/>
        </w:rPr>
        <w:t>Fiberoptic Endoscopic Evaluation of Swallowing (FEES)</w:t>
      </w:r>
      <w:r w:rsidRPr="004E28BB">
        <w:t xml:space="preserve">: </w:t>
      </w:r>
      <w:r w:rsidR="004375CF">
        <w:t>U</w:t>
      </w:r>
      <w:r w:rsidRPr="004E28BB">
        <w:t>sed to evaluate the pharyngeal phase of the swallow with a flexible endoscope that is placed transnasally into the hypopharynx. It may be completed at bedside and may be useful in those who may not tolerate the radiographic procedure, or when such procedures are not readily available. FEES permits direct visualization of anatomy as well as vocal fold motor activity and morphology. It allows an assessment of briskness of swallow initiation, timing of bolus flow, and swallow initiation, adequacy of bolus driving/clearing forces, adequacy of velar and laryngeal valving forces, penetration or aspiration and presence of hypopharyngeal reflux.</w:t>
      </w:r>
    </w:p>
    <w:p w:rsidR="000408B7" w:rsidRPr="004E28BB" w:rsidRDefault="000408B7" w:rsidP="00D41D04">
      <w:pPr>
        <w:pStyle w:val="ListNumber4"/>
      </w:pPr>
      <w:r w:rsidRPr="004E28BB">
        <w:rPr>
          <w:rStyle w:val="Guide4-i"/>
        </w:rPr>
        <w:t>Fiberoptic Endoscopic Evaluation of Swallowing with Sensory Testing (FEEST)</w:t>
      </w:r>
      <w:r w:rsidRPr="004E28BB">
        <w:t xml:space="preserve">: </w:t>
      </w:r>
      <w:r w:rsidR="00BC4793">
        <w:t>A</w:t>
      </w:r>
      <w:r w:rsidRPr="004E28BB">
        <w:t xml:space="preserve"> modification of the FEES procedure, which adds quantification of the sensory threshold in the larynx. The sensory evaluation involves the delivery of pulses of air at sequential pressures to elicit the laryngeal adductor reflex, thus establishing a sensory threshold. Sensory testing is a quantifiable indicator of those persons at risk for aspiration. It provides better understanding of laryngeal sensory deficits, which may be useful in dietary and behavioral management of individuals with dysphagia.</w:t>
      </w:r>
    </w:p>
    <w:p w:rsidR="000408B7" w:rsidRPr="004E28BB" w:rsidRDefault="000408B7" w:rsidP="00D41D04">
      <w:pPr>
        <w:pStyle w:val="ListNumber4"/>
      </w:pPr>
      <w:r w:rsidRPr="004E28BB">
        <w:rPr>
          <w:rStyle w:val="Guide4-i"/>
        </w:rPr>
        <w:t>Manofluorographic Swallowing Evaluation (MSE)</w:t>
      </w:r>
      <w:r w:rsidRPr="004E28BB">
        <w:t xml:space="preserve">: </w:t>
      </w:r>
      <w:r w:rsidR="00BC4793">
        <w:t>A</w:t>
      </w:r>
      <w:r w:rsidRPr="004E28BB">
        <w:t xml:space="preserve"> videofluoroscopic swallowing study with the addition of </w:t>
      </w:r>
      <w:r w:rsidR="00BC4793">
        <w:t xml:space="preserve">an </w:t>
      </w:r>
      <w:r w:rsidRPr="004E28BB">
        <w:t>oropharyngeal pressure assessment. Solid state pressure transducer sensors are typically placed in the esophagus, upper esophageal sphincter (UES), hypopharynx</w:t>
      </w:r>
      <w:r w:rsidR="00BC4793">
        <w:t>,</w:t>
      </w:r>
      <w:r w:rsidRPr="004E28BB">
        <w:t xml:space="preserve"> and tongue base. Manometry provides quantitative information at rest and during swallowing on pharyngeal, UES, and esophageal pressures, completeness of UES relaxation</w:t>
      </w:r>
      <w:r w:rsidR="0027575B">
        <w:t>,</w:t>
      </w:r>
      <w:r w:rsidRPr="004E28BB">
        <w:t xml:space="preserve"> and coordination of timing between pharyngeal contraction and UES relaxation.</w:t>
      </w:r>
    </w:p>
    <w:p w:rsidR="000408B7" w:rsidRPr="004E28BB" w:rsidRDefault="000408B7" w:rsidP="00D41D04">
      <w:pPr>
        <w:pStyle w:val="ListNumber2"/>
      </w:pPr>
      <w:bookmarkStart w:id="280" w:name="_Toc394643300"/>
      <w:r w:rsidRPr="004E28BB">
        <w:rPr>
          <w:rStyle w:val="Guide2-123Char"/>
        </w:rPr>
        <w:t>SPECIAL TESTS for RETURN-TO-WORK ASSESSMENT</w:t>
      </w:r>
      <w:bookmarkEnd w:id="280"/>
      <w:r w:rsidRPr="004E28BB">
        <w:t xml:space="preserve">: A return-to-work format should be part of a company’s health plan, knowing that </w:t>
      </w:r>
      <w:r w:rsidR="00387A03">
        <w:t>return to work</w:t>
      </w:r>
      <w:r w:rsidRPr="004E28BB">
        <w:t xml:space="preserve"> can decrease anxiety, reduce the possibility of depression</w:t>
      </w:r>
      <w:r w:rsidR="0027575B">
        <w:t>,</w:t>
      </w:r>
      <w:r w:rsidRPr="004E28BB">
        <w:t xml:space="preserve"> and reconnect the worker with society. Evaluations used to define these abilities</w:t>
      </w:r>
      <w:r w:rsidR="00335313">
        <w:t>,</w:t>
      </w:r>
      <w:r w:rsidRPr="004E28BB">
        <w:t xml:space="preserve"> such as the </w:t>
      </w:r>
      <w:r w:rsidR="00335313">
        <w:t>f</w:t>
      </w:r>
      <w:r w:rsidRPr="004E28BB">
        <w:t xml:space="preserve">unctional </w:t>
      </w:r>
      <w:r w:rsidR="00335313">
        <w:t>c</w:t>
      </w:r>
      <w:r w:rsidRPr="004E28BB">
        <w:t xml:space="preserve">apacity </w:t>
      </w:r>
      <w:r w:rsidR="00335313">
        <w:t>e</w:t>
      </w:r>
      <w:r w:rsidRPr="004E28BB">
        <w:t xml:space="preserve">valuation (FCE) and the </w:t>
      </w:r>
      <w:r w:rsidR="00335313">
        <w:t>w</w:t>
      </w:r>
      <w:r w:rsidRPr="004E28BB">
        <w:t xml:space="preserve">orksite </w:t>
      </w:r>
      <w:r w:rsidR="00335313">
        <w:t>a</w:t>
      </w:r>
      <w:r w:rsidRPr="004E28BB">
        <w:t>nalysis</w:t>
      </w:r>
      <w:r w:rsidR="00335313">
        <w:t>,</w:t>
      </w:r>
      <w:r w:rsidRPr="004E28BB">
        <w:t xml:space="preserve"> should be objective.</w:t>
      </w:r>
      <w:r w:rsidRPr="004E28BB">
        <w:rPr>
          <w:i/>
        </w:rPr>
        <w:t xml:space="preserve"> </w:t>
      </w:r>
      <w:r w:rsidRPr="004E28BB">
        <w:t xml:space="preserve">The professional performing the FCE and worksite analysis should be specifically trained and familiar with the unique presentation of the individual who has suffered a TBI. The ability to tolerate these </w:t>
      </w:r>
      <w:r w:rsidRPr="004E28BB">
        <w:lastRenderedPageBreak/>
        <w:t>evaluations and follow commands may be limited due to TBI and should not be construed as non-cooperative or suggestion of m</w:t>
      </w:r>
      <w:r w:rsidR="002C443D" w:rsidRPr="004E28BB">
        <w:t xml:space="preserve">alingering. </w:t>
      </w:r>
      <w:r w:rsidR="002C443D" w:rsidRPr="004E28BB">
        <w:br/>
      </w:r>
      <w:r w:rsidR="002C443D" w:rsidRPr="004E28BB">
        <w:br/>
        <w:t>C</w:t>
      </w:r>
      <w:r w:rsidRPr="004E28BB">
        <w:t>aution should be used in returning an individual to work and other activities during the first 3</w:t>
      </w:r>
      <w:r w:rsidR="00335313">
        <w:t>–</w:t>
      </w:r>
      <w:r w:rsidR="002C443D" w:rsidRPr="004E28BB">
        <w:t>14</w:t>
      </w:r>
      <w:r w:rsidRPr="004E28BB">
        <w:t xml:space="preserve"> days after MTBI. Both physical and cognitive duties should generally be non-stressful initially, with a gradual increase in activity based on improvement and/or resolution of symptoms. </w:t>
      </w:r>
      <w:r w:rsidR="002C6618">
        <w:t>The individual should be competent in most basic ADLs before return</w:t>
      </w:r>
      <w:r w:rsidR="001D127F">
        <w:t xml:space="preserve"> </w:t>
      </w:r>
      <w:r w:rsidR="002C6618">
        <w:t>to</w:t>
      </w:r>
      <w:r w:rsidR="001D127F">
        <w:t xml:space="preserve"> </w:t>
      </w:r>
      <w:r w:rsidR="002C6618">
        <w:t xml:space="preserve">work is considered. </w:t>
      </w:r>
      <w:r w:rsidRPr="004E28BB">
        <w:t>Return to full duty depends on the rate of decrease of symptoms. Generally</w:t>
      </w:r>
      <w:r w:rsidR="00335313">
        <w:t>,</w:t>
      </w:r>
      <w:r w:rsidRPr="004E28BB">
        <w:t xml:space="preserve"> if symptoms recur during increasing job duties or exertion, duties should be decreased accordingly. Because a prolonged period of time off work will decrease the likelihood of return to work, the first weeks of treatment are crucial in preventing and/or reversing chronicity and disability mindset. In complex cases, experienced nurse case managers or occupational therapists may be required to assist in </w:t>
      </w:r>
      <w:r w:rsidR="00387A03">
        <w:t>return to work</w:t>
      </w:r>
      <w:r w:rsidRPr="004E28BB">
        <w:t>. Other services, including psychological evaluation and/or treatment and vocational assistance should be employed. Two evaluations that may be used are:</w:t>
      </w:r>
    </w:p>
    <w:p w:rsidR="000408B7" w:rsidRPr="004E28BB" w:rsidRDefault="000408B7" w:rsidP="00D41D04">
      <w:pPr>
        <w:pStyle w:val="ListNumber3"/>
      </w:pPr>
      <w:bookmarkStart w:id="281" w:name="_Toc319922517"/>
      <w:bookmarkStart w:id="282" w:name="_Toc394643301"/>
      <w:r w:rsidRPr="004E28BB">
        <w:rPr>
          <w:rStyle w:val="Guide3-abcdChar"/>
        </w:rPr>
        <w:t xml:space="preserve">Job </w:t>
      </w:r>
      <w:r w:rsidR="003E3D88">
        <w:rPr>
          <w:rStyle w:val="Guide3-abcdChar"/>
        </w:rPr>
        <w:t>S</w:t>
      </w:r>
      <w:r w:rsidRPr="004E28BB">
        <w:rPr>
          <w:rStyle w:val="Guide3-abcdChar"/>
        </w:rPr>
        <w:t>ite Evaluations and Alterations</w:t>
      </w:r>
      <w:bookmarkEnd w:id="281"/>
      <w:bookmarkEnd w:id="282"/>
      <w:r w:rsidRPr="004E28BB">
        <w:t xml:space="preserve">: For many </w:t>
      </w:r>
      <w:r w:rsidR="00896D96" w:rsidRPr="004E28BB">
        <w:t>patients with</w:t>
      </w:r>
      <w:r w:rsidRPr="004E28BB">
        <w:t xml:space="preserve"> TBI, job alterations may be needed. These may be in the form of: </w:t>
      </w:r>
      <w:r w:rsidR="001B3B4C">
        <w:t>(</w:t>
      </w:r>
      <w:r w:rsidRPr="004E28BB">
        <w:t xml:space="preserve">1) instructing the worker how specific duties might be performed to avoid excessive mental stress; </w:t>
      </w:r>
      <w:r w:rsidR="001B3B4C">
        <w:t>(</w:t>
      </w:r>
      <w:r w:rsidRPr="004E28BB">
        <w:t xml:space="preserve">2) actual job worksite or duty changes; and /or </w:t>
      </w:r>
      <w:r w:rsidR="001B3B4C">
        <w:t>(</w:t>
      </w:r>
      <w:r w:rsidRPr="004E28BB">
        <w:t>3) a formal job site evaluation</w:t>
      </w:r>
      <w:r w:rsidR="00896D96" w:rsidRPr="004E28BB">
        <w:t xml:space="preserve"> and alterations</w:t>
      </w:r>
      <w:r w:rsidRPr="004E28BB">
        <w:t xml:space="preserve"> at the worksite.</w:t>
      </w:r>
      <w:r w:rsidRPr="004E28BB">
        <w:br/>
      </w:r>
      <w:r w:rsidRPr="004E28BB">
        <w:br/>
        <w:t>Job site evaluation and alteration should include input from a health care professional with experience with TBI cases</w:t>
      </w:r>
      <w:r w:rsidR="003E3D88">
        <w:t>,</w:t>
      </w:r>
      <w:r w:rsidRPr="004E28BB">
        <w:t xml:space="preserve"> the employee, and the employer. The employee </w:t>
      </w:r>
      <w:r w:rsidR="00CE22B1" w:rsidRPr="004E28BB">
        <w:t>should</w:t>
      </w:r>
      <w:r w:rsidRPr="004E28BB">
        <w:t xml:space="preserve"> be observed performing all job functions in order for the job site evaluation to be a valid representation of a typical workday.</w:t>
      </w:r>
      <w:r w:rsidRPr="004E28BB">
        <w:br/>
      </w:r>
      <w:r w:rsidRPr="004E28BB">
        <w:br/>
        <w:t xml:space="preserve">A formal job site evaluation is a comprehensive analysis of the physical, mental and sensory components of a specific job and may be important initially to determine causation. These components may include, but are not limited to: (a) postural tolerance (static and dynamic); (b) aerobic requirements; (c) </w:t>
      </w:r>
      <w:r w:rsidR="007C2488">
        <w:t>ROM</w:t>
      </w:r>
      <w:r w:rsidRPr="004E28BB">
        <w:t>; (d) torque/force; (e) lifting/carrying; (f)</w:t>
      </w:r>
      <w:r w:rsidR="003D6174" w:rsidRPr="004E28BB">
        <w:t xml:space="preserve"> </w:t>
      </w:r>
      <w:r w:rsidRPr="004E28BB">
        <w:t xml:space="preserve">cognitive demands; (g) social interactions; (h) </w:t>
      </w:r>
      <w:r w:rsidR="00896D96" w:rsidRPr="004E28BB">
        <w:t xml:space="preserve">interpersonal skills management; (i) </w:t>
      </w:r>
      <w:r w:rsidRPr="004E28BB">
        <w:t>visual perceptual</w:t>
      </w:r>
      <w:r w:rsidR="00AB493B">
        <w:t xml:space="preserve"> challenges</w:t>
      </w:r>
      <w:r w:rsidRPr="004E28BB">
        <w:t>; (</w:t>
      </w:r>
      <w:r w:rsidR="00896D96" w:rsidRPr="004E28BB">
        <w:t>j</w:t>
      </w:r>
      <w:r w:rsidRPr="004E28BB">
        <w:t>) environmental requirements of a job; (</w:t>
      </w:r>
      <w:r w:rsidR="00896D96" w:rsidRPr="004E28BB">
        <w:t>k</w:t>
      </w:r>
      <w:r w:rsidRPr="004E28BB">
        <w:t>) repetitiveness; and (</w:t>
      </w:r>
      <w:r w:rsidR="00896D96" w:rsidRPr="004E28BB">
        <w:t>l</w:t>
      </w:r>
      <w:r w:rsidRPr="004E28BB">
        <w:t>) essential functions of a job.</w:t>
      </w:r>
      <w:r w:rsidRPr="004E28BB">
        <w:br/>
      </w:r>
      <w:r w:rsidRPr="004E28BB">
        <w:br/>
        <w:t xml:space="preserve">Changes that provide a therapeutic benefit or relieve the patient’s ongoing symptoms are part of the required medical treatment for TBI and therefore, it is assumed that the insurer will be responsible for paying for </w:t>
      </w:r>
      <w:r w:rsidR="00FB1224" w:rsidRPr="004E28BB">
        <w:t>reasonably necessary</w:t>
      </w:r>
      <w:r w:rsidRPr="004E28BB">
        <w:t xml:space="preserve"> job site alterations.</w:t>
      </w:r>
      <w:r w:rsidRPr="004E28BB">
        <w:br/>
      </w:r>
      <w:r w:rsidRPr="004E28BB">
        <w:br/>
        <w:t>Job descriptions provided by the employer are helpful but should not be used as a substitute for direct observation.</w:t>
      </w:r>
      <w:r w:rsidRPr="004E28BB">
        <w:br/>
      </w:r>
      <w:r w:rsidRPr="004E28BB">
        <w:br/>
        <w:t xml:space="preserve">A job site evaluation may include observation and instruction of how work is done, what material changes should be made, and determination of readiness to return to work. Refer to </w:t>
      </w:r>
      <w:r w:rsidR="0069203C">
        <w:t xml:space="preserve">the </w:t>
      </w:r>
      <w:r w:rsidRPr="004E28BB">
        <w:t xml:space="preserve">Chronic Pain </w:t>
      </w:r>
      <w:r w:rsidR="0069203C">
        <w:t>G</w:t>
      </w:r>
      <w:r w:rsidRPr="004E28BB">
        <w:t>uideline</w:t>
      </w:r>
      <w:r w:rsidR="0069203C">
        <w:t>s</w:t>
      </w:r>
      <w:r w:rsidRPr="004E28BB">
        <w:t>.</w:t>
      </w:r>
      <w:r w:rsidRPr="004E28BB">
        <w:br/>
      </w:r>
      <w:r w:rsidRPr="004E28BB">
        <w:br/>
        <w:t>Requests for a job site evaluation should describe the expected goals for the evaluation. Goals may include, but are not limited to</w:t>
      </w:r>
      <w:r w:rsidR="003E3D88">
        <w:t>,</w:t>
      </w:r>
      <w:r w:rsidRPr="004E28BB">
        <w:t xml:space="preserve"> the following:</w:t>
      </w:r>
    </w:p>
    <w:p w:rsidR="000408B7" w:rsidRPr="004E28BB" w:rsidRDefault="000408B7" w:rsidP="00D41D04">
      <w:pPr>
        <w:ind w:left="2880" w:hanging="360"/>
      </w:pPr>
      <w:r w:rsidRPr="004E28BB">
        <w:t>●</w:t>
      </w:r>
      <w:r w:rsidRPr="004E28BB">
        <w:tab/>
      </w:r>
      <w:r w:rsidR="003E3D88">
        <w:t>P</w:t>
      </w:r>
      <w:r w:rsidRPr="004E28BB">
        <w:t>rovide a detailed description of the physical and cognitive job requirements</w:t>
      </w:r>
      <w:r w:rsidR="00962A22">
        <w:t>,</w:t>
      </w:r>
    </w:p>
    <w:p w:rsidR="000408B7" w:rsidRPr="004E28BB" w:rsidRDefault="000408B7" w:rsidP="00D41D04">
      <w:pPr>
        <w:ind w:left="2880" w:hanging="360"/>
      </w:pPr>
      <w:r w:rsidRPr="004E28BB">
        <w:t>●</w:t>
      </w:r>
      <w:r w:rsidRPr="004E28BB">
        <w:tab/>
      </w:r>
      <w:r w:rsidR="003E3D88">
        <w:t>M</w:t>
      </w:r>
      <w:r w:rsidRPr="004E28BB">
        <w:t>ake recommendations for and assess the potential for job site changes</w:t>
      </w:r>
      <w:r w:rsidR="00962A22">
        <w:t>,</w:t>
      </w:r>
    </w:p>
    <w:p w:rsidR="000408B7" w:rsidRPr="004E28BB" w:rsidRDefault="000408B7" w:rsidP="00D41D04">
      <w:pPr>
        <w:ind w:left="2880" w:hanging="360"/>
      </w:pPr>
      <w:r w:rsidRPr="004E28BB">
        <w:lastRenderedPageBreak/>
        <w:t>●</w:t>
      </w:r>
      <w:r w:rsidRPr="004E28BB">
        <w:tab/>
      </w:r>
      <w:r w:rsidR="003E3D88">
        <w:t>A</w:t>
      </w:r>
      <w:r w:rsidRPr="004E28BB">
        <w:t>ssist the patient in their return to work by educating them on how they may be able to do their job more safely</w:t>
      </w:r>
      <w:r w:rsidR="00962A22">
        <w:t>,</w:t>
      </w:r>
      <w:r w:rsidRPr="004E28BB">
        <w:t xml:space="preserve"> and/or</w:t>
      </w:r>
    </w:p>
    <w:p w:rsidR="000408B7" w:rsidRPr="004E28BB" w:rsidRDefault="000408B7" w:rsidP="00D41D04">
      <w:pPr>
        <w:ind w:left="2880" w:hanging="360"/>
      </w:pPr>
      <w:r w:rsidRPr="004E28BB">
        <w:t>●</w:t>
      </w:r>
      <w:r w:rsidRPr="004E28BB">
        <w:tab/>
      </w:r>
      <w:r w:rsidR="003E3D88">
        <w:t>G</w:t>
      </w:r>
      <w:r w:rsidRPr="004E28BB">
        <w:t>ive detailed work/activity restrictions</w:t>
      </w:r>
      <w:r w:rsidR="00962A22">
        <w:t>.</w:t>
      </w:r>
    </w:p>
    <w:p w:rsidR="000408B7" w:rsidRPr="004E28BB" w:rsidRDefault="000408B7" w:rsidP="00D41D04">
      <w:pPr>
        <w:ind w:left="2160"/>
      </w:pPr>
      <w:r w:rsidRPr="004E28BB">
        <w:t xml:space="preserve">Frequency: </w:t>
      </w:r>
      <w:r w:rsidR="003E3D88">
        <w:t>One</w:t>
      </w:r>
      <w:r w:rsidRPr="004E28BB">
        <w:t xml:space="preserve"> time with additional visits as needed for follow-up.</w:t>
      </w:r>
    </w:p>
    <w:p w:rsidR="00720DDE" w:rsidRPr="004E28BB" w:rsidRDefault="000408B7" w:rsidP="00D41D04">
      <w:pPr>
        <w:pStyle w:val="ListNumber3"/>
      </w:pPr>
      <w:bookmarkStart w:id="283" w:name="_Toc319922518"/>
      <w:bookmarkStart w:id="284" w:name="_Toc394643302"/>
      <w:r w:rsidRPr="004E28BB">
        <w:rPr>
          <w:rStyle w:val="Guide3-abcdChar"/>
        </w:rPr>
        <w:t>Functional Capacity Evaluation (FCE)</w:t>
      </w:r>
      <w:bookmarkEnd w:id="283"/>
      <w:bookmarkEnd w:id="284"/>
      <w:r w:rsidRPr="004E28BB">
        <w:t xml:space="preserve">: </w:t>
      </w:r>
      <w:r w:rsidR="003E3D88">
        <w:t>M</w:t>
      </w:r>
      <w:r w:rsidRPr="004E28BB">
        <w:t xml:space="preserve">ay be indicated to identify residual physical limitations. FCE is a comprehensive assessment of the various aspects of physical and cognitive </w:t>
      </w:r>
      <w:smartTag w:uri="urn:schemas-microsoft-com:office:smarttags" w:element="place">
        <w:smartTag w:uri="urn:schemas-microsoft-com:office:smarttags" w:element="City">
          <w:r w:rsidRPr="004E28BB">
            <w:t>function</w:t>
          </w:r>
        </w:smartTag>
        <w:r w:rsidRPr="004E28BB">
          <w:t xml:space="preserve"> </w:t>
        </w:r>
        <w:smartTag w:uri="urn:schemas-microsoft-com:office:smarttags" w:element="State">
          <w:r w:rsidRPr="004E28BB">
            <w:t>as</w:t>
          </w:r>
        </w:smartTag>
      </w:smartTag>
      <w:r w:rsidRPr="004E28BB">
        <w:t xml:space="preserve"> they relate to the individual’s ability to perform functional activities necessary for return to work. When cognitive, emotional and/or behavioral sequelae are also present, a comprehensive FCE may provide indications of return</w:t>
      </w:r>
      <w:r w:rsidR="003E3D88">
        <w:t>-</w:t>
      </w:r>
      <w:r w:rsidRPr="004E28BB">
        <w:t>to</w:t>
      </w:r>
      <w:r w:rsidR="003E3D88">
        <w:t>-</w:t>
      </w:r>
      <w:r w:rsidRPr="004E28BB">
        <w:t>work readiness.</w:t>
      </w:r>
      <w:r w:rsidRPr="004E28BB">
        <w:br/>
      </w:r>
      <w:r w:rsidRPr="004E28BB">
        <w:br/>
        <w:t xml:space="preserve">Components of the </w:t>
      </w:r>
      <w:r w:rsidRPr="004E28BB">
        <w:rPr>
          <w:u w:val="single"/>
        </w:rPr>
        <w:t>physical</w:t>
      </w:r>
      <w:r w:rsidRPr="004E28BB">
        <w:t xml:space="preserve"> portion of the FCE may include, but are not limited to: musculoskeletal screen, cardiovascular profile/aerobic capacity, coordination, lift/carrying analysis, job specific activity tolerance, maximum voluntary effort, pain assessment, non-material and material handling activities, balance/dizziness, climbing, physical fatigue, endurance, and visual skills.</w:t>
      </w:r>
      <w:r w:rsidR="009B0153">
        <w:t xml:space="preserve"> The physical portion of any FCE should include all of the physical skills required for specific job placement. </w:t>
      </w:r>
      <w:r w:rsidRPr="004E28BB">
        <w:br/>
      </w:r>
      <w:r w:rsidRPr="004E28BB">
        <w:br/>
        <w:t xml:space="preserve">Components of the </w:t>
      </w:r>
      <w:r w:rsidRPr="004E28BB">
        <w:rPr>
          <w:u w:val="single"/>
        </w:rPr>
        <w:t>cognitive</w:t>
      </w:r>
      <w:r w:rsidRPr="004E28BB">
        <w:t xml:space="preserve"> portion of the FCE may include, but are not limited to: memory, executive skill function, attention and concentration, communication, speed of information processing, multi-tasking, new learning, and cognitive fatigue and endurance.</w:t>
      </w:r>
      <w:r w:rsidRPr="004E28BB">
        <w:br/>
      </w:r>
      <w:r w:rsidRPr="004E28BB">
        <w:br/>
        <w:t xml:space="preserve">Components of the </w:t>
      </w:r>
      <w:r w:rsidRPr="004E28BB">
        <w:rPr>
          <w:u w:val="single"/>
        </w:rPr>
        <w:t>emotional</w:t>
      </w:r>
      <w:r w:rsidRPr="004E28BB">
        <w:t xml:space="preserve"> portion of the FCE may include, but are not limited to: temperament, ability to manage stress, adaptation to change, mood changes, toleration of feedback, and anger control.</w:t>
      </w:r>
      <w:r w:rsidRPr="004E28BB">
        <w:br/>
      </w:r>
      <w:r w:rsidRPr="004E28BB">
        <w:br/>
        <w:t xml:space="preserve">Components of the </w:t>
      </w:r>
      <w:r w:rsidRPr="004E28BB">
        <w:rPr>
          <w:u w:val="single"/>
        </w:rPr>
        <w:t>behavioral</w:t>
      </w:r>
      <w:r w:rsidRPr="004E28BB">
        <w:t xml:space="preserve"> portion of the FCE may include, but are not limited to: appropriate social and behavioral interactions. This may present as inability to complete or cooperate with the tests, inconsistent or erratic behavior, </w:t>
      </w:r>
      <w:r w:rsidR="003E3D88">
        <w:t>or</w:t>
      </w:r>
      <w:r w:rsidRPr="004E28BB">
        <w:t xml:space="preserve"> the inability to get along with coworkers and supervisors.</w:t>
      </w:r>
      <w:r w:rsidRPr="004E28BB">
        <w:br/>
      </w:r>
      <w:r w:rsidRPr="004E28BB">
        <w:br/>
        <w:t>FCEs include tools that are an extension of the basic medical examination and may be useful for the determination of impairments, functional/cognitive restrictions, determination of progress, and planning and monitoring of the rehabilitation program. Whenever possible, FCEs should be supplemented with information from neuropsychology, speech/language pathology, occupational therapy, and physical therapy to determine physical, cognitive</w:t>
      </w:r>
      <w:r w:rsidR="00700A46">
        <w:t>,</w:t>
      </w:r>
      <w:r w:rsidRPr="004E28BB">
        <w:t xml:space="preserve"> and psychological abilities </w:t>
      </w:r>
      <w:r w:rsidR="00700A46">
        <w:t>in order for the patient to</w:t>
      </w:r>
      <w:r w:rsidRPr="004E28BB">
        <w:t xml:space="preserve"> </w:t>
      </w:r>
      <w:r w:rsidR="00700A46">
        <w:t xml:space="preserve">function </w:t>
      </w:r>
      <w:r w:rsidRPr="004E28BB">
        <w:t xml:space="preserve">safely and productively in a work setting. FCEs are typically conducted in </w:t>
      </w:r>
      <w:r w:rsidR="00316AC2">
        <w:t>four</w:t>
      </w:r>
      <w:r w:rsidRPr="004E28BB">
        <w:t xml:space="preserve"> to </w:t>
      </w:r>
      <w:r w:rsidR="00316AC2">
        <w:t>six</w:t>
      </w:r>
      <w:r w:rsidRPr="004E28BB">
        <w:t xml:space="preserve"> hours, but for individuals who have suffered a </w:t>
      </w:r>
      <w:r w:rsidR="00700A46">
        <w:t>TBI</w:t>
      </w:r>
      <w:r w:rsidRPr="004E28BB">
        <w:t xml:space="preserve">, additional time may be required, or it may be necessary to conduct the evaluation in two or three separate sessions to allow for the potential variability of cognitive and physical fatigue. Total time for an FCE would rarely exceed </w:t>
      </w:r>
      <w:r w:rsidR="001B3B4C">
        <w:t>eight</w:t>
      </w:r>
      <w:r w:rsidRPr="004E28BB">
        <w:t xml:space="preserve"> to </w:t>
      </w:r>
      <w:r w:rsidR="001B3B4C">
        <w:t>ten</w:t>
      </w:r>
      <w:r w:rsidRPr="004E28BB">
        <w:t xml:space="preserve"> hours.</w:t>
      </w:r>
      <w:r w:rsidRPr="004E28BB">
        <w:br/>
      </w:r>
      <w:r w:rsidRPr="004E28BB">
        <w:br/>
        <w:t>When an FCE is being used to determine return to a specific jobsite, the provider is responsible for fully understanding the job duties. A jobsite evaluation is frequently necessary. FCEs cannot be used in isolation to determine work restrictions. The authorized treating physician must interpret the FCE in light of the individual patient’s presentation and medical and personal perceptions. FCEs should not be used as the sole criteria to diagnose malingering.</w:t>
      </w:r>
      <w:r w:rsidRPr="004E28BB">
        <w:br/>
      </w:r>
      <w:r w:rsidRPr="004E28BB">
        <w:br/>
      </w:r>
      <w:r w:rsidRPr="004E28BB">
        <w:lastRenderedPageBreak/>
        <w:t xml:space="preserve">Frequency: Can be used: </w:t>
      </w:r>
      <w:r w:rsidR="001B3B4C">
        <w:t>(</w:t>
      </w:r>
      <w:r w:rsidRPr="004E28BB">
        <w:t xml:space="preserve">1) initially to determine baseline status; and </w:t>
      </w:r>
      <w:r w:rsidR="001B3B4C">
        <w:t>(</w:t>
      </w:r>
      <w:r w:rsidRPr="004E28BB">
        <w:t>2) for case closure when the patient is unable to return to the pre-injury position and further information is desired to determine permanent work restrictions. Prior authorization is required for FCEs performed during treatment.</w:t>
      </w:r>
    </w:p>
    <w:p w:rsidR="000408B7" w:rsidRPr="004E28BB" w:rsidRDefault="00720DDE" w:rsidP="00D41D04">
      <w:pPr>
        <w:pStyle w:val="Guide1-ABC"/>
      </w:pPr>
      <w:r w:rsidRPr="004E28BB">
        <w:br w:type="page"/>
      </w:r>
      <w:bookmarkStart w:id="285" w:name="_Toc315099890"/>
      <w:bookmarkStart w:id="286" w:name="_Toc315160851"/>
      <w:bookmarkStart w:id="287" w:name="TBIFAcuteTherapeuticProceduresNonOperati"/>
      <w:bookmarkStart w:id="288" w:name="_Toc315960206"/>
      <w:bookmarkStart w:id="289" w:name="_Toc319922530"/>
      <w:bookmarkStart w:id="290" w:name="_Toc394643303"/>
      <w:r w:rsidR="000408B7" w:rsidRPr="004E28BB">
        <w:lastRenderedPageBreak/>
        <w:t>ACUTE THERAPEUTIC PROCEDURES – NONOPERATIVE</w:t>
      </w:r>
      <w:bookmarkEnd w:id="285"/>
      <w:bookmarkEnd w:id="286"/>
      <w:bookmarkEnd w:id="287"/>
      <w:bookmarkEnd w:id="288"/>
      <w:bookmarkEnd w:id="289"/>
      <w:bookmarkEnd w:id="290"/>
    </w:p>
    <w:p w:rsidR="000408B7" w:rsidRPr="004E28BB" w:rsidRDefault="000408B7" w:rsidP="009C3DC2">
      <w:pPr>
        <w:pStyle w:val="ListNumber2"/>
        <w:numPr>
          <w:ilvl w:val="1"/>
          <w:numId w:val="20"/>
        </w:numPr>
      </w:pPr>
      <w:bookmarkStart w:id="291" w:name="_Toc315099891"/>
      <w:bookmarkStart w:id="292" w:name="_Toc315160852"/>
      <w:bookmarkStart w:id="293" w:name="TBIF1Resuscitation"/>
      <w:bookmarkStart w:id="294" w:name="_Toc315960207"/>
      <w:bookmarkStart w:id="295" w:name="_Toc319922531"/>
      <w:bookmarkStart w:id="296" w:name="_Toc394643304"/>
      <w:r w:rsidRPr="004E28BB">
        <w:rPr>
          <w:rStyle w:val="Guide2-123Char"/>
        </w:rPr>
        <w:t>RESUSCITATION</w:t>
      </w:r>
      <w:bookmarkEnd w:id="291"/>
      <w:bookmarkEnd w:id="292"/>
      <w:bookmarkEnd w:id="293"/>
      <w:bookmarkEnd w:id="294"/>
      <w:bookmarkEnd w:id="295"/>
      <w:bookmarkEnd w:id="296"/>
      <w:r w:rsidR="007C4FC3" w:rsidRPr="004E28BB">
        <w:t>:</w:t>
      </w:r>
      <w:r w:rsidRPr="004E28BB">
        <w:tab/>
      </w:r>
    </w:p>
    <w:p w:rsidR="000408B7" w:rsidRPr="004E28BB" w:rsidRDefault="000408B7" w:rsidP="00D41D04">
      <w:pPr>
        <w:pStyle w:val="ListNumber3"/>
      </w:pPr>
      <w:r w:rsidRPr="004E28BB">
        <w:t>The first priority in TBI is complete and rapid physiologic resuscitation.</w:t>
      </w:r>
    </w:p>
    <w:p w:rsidR="000408B7" w:rsidRPr="004E28BB" w:rsidRDefault="000408B7" w:rsidP="00D41D04">
      <w:pPr>
        <w:pStyle w:val="ListNumber3"/>
      </w:pPr>
      <w:r w:rsidRPr="004E28BB">
        <w:t>Special consideration</w:t>
      </w:r>
      <w:r w:rsidR="00940213">
        <w:t>s</w:t>
      </w:r>
      <w:r w:rsidRPr="004E28BB">
        <w:t xml:space="preserve"> for isolated communities without neurosurgical support:</w:t>
      </w:r>
    </w:p>
    <w:p w:rsidR="000408B7" w:rsidRPr="004E28BB" w:rsidRDefault="000408B7" w:rsidP="00D41D04">
      <w:pPr>
        <w:pStyle w:val="ListNumber4"/>
      </w:pPr>
      <w:r w:rsidRPr="004E28BB">
        <w:t>Trauma surgeons and emergency physicians may perform the initial resuscitation and neurologic treatment in the deteriorating individual</w:t>
      </w:r>
      <w:r w:rsidR="007C4FC3">
        <w:t>.</w:t>
      </w:r>
    </w:p>
    <w:p w:rsidR="000408B7" w:rsidRPr="004E28BB" w:rsidRDefault="000408B7" w:rsidP="00D41D04">
      <w:pPr>
        <w:pStyle w:val="ListNumber4"/>
      </w:pPr>
      <w:r w:rsidRPr="004E28BB">
        <w:t xml:space="preserve">Once </w:t>
      </w:r>
      <w:r w:rsidR="00D61FBE">
        <w:t xml:space="preserve">the individual is </w:t>
      </w:r>
      <w:r w:rsidRPr="004E28BB">
        <w:t>stable, transport to a designated neuro-trauma center for further evaluation and management should occur expeditiously</w:t>
      </w:r>
      <w:r w:rsidR="007C4FC3">
        <w:t>.</w:t>
      </w:r>
    </w:p>
    <w:p w:rsidR="000408B7" w:rsidRPr="004E28BB" w:rsidRDefault="000408B7" w:rsidP="00D41D04">
      <w:pPr>
        <w:pStyle w:val="ListNumber2"/>
      </w:pPr>
      <w:bookmarkStart w:id="297" w:name="_Toc315099892"/>
      <w:bookmarkStart w:id="298" w:name="_Toc315160853"/>
      <w:bookmarkStart w:id="299" w:name="TBIF2IntracranialPressure_ICP_CerebralPe"/>
      <w:bookmarkStart w:id="300" w:name="_Toc315960208"/>
      <w:bookmarkStart w:id="301" w:name="_Toc319922532"/>
      <w:bookmarkStart w:id="302" w:name="_Toc394643305"/>
      <w:r w:rsidRPr="004E28BB">
        <w:rPr>
          <w:rStyle w:val="Guide2-123Char"/>
        </w:rPr>
        <w:t>INTRACRANIAL PRESSURE (ICP) AND CEREBRAL PERFUSION PRESSURE (CPP)</w:t>
      </w:r>
      <w:bookmarkEnd w:id="297"/>
      <w:bookmarkEnd w:id="298"/>
      <w:bookmarkEnd w:id="299"/>
      <w:bookmarkEnd w:id="300"/>
      <w:bookmarkEnd w:id="301"/>
      <w:bookmarkEnd w:id="302"/>
      <w:r w:rsidR="007C4FC3" w:rsidRPr="004E28BB">
        <w:t>:</w:t>
      </w:r>
      <w:r w:rsidRPr="004E28BB">
        <w:tab/>
      </w:r>
    </w:p>
    <w:p w:rsidR="000408B7" w:rsidRPr="004E28BB" w:rsidRDefault="000408B7" w:rsidP="00D41D04">
      <w:pPr>
        <w:pStyle w:val="ListNumber3"/>
      </w:pPr>
      <w:r w:rsidRPr="004E28BB">
        <w:t>ICP Monitoring is indicated in individuals with low GCS (less than 9) or when the individual cannot have continual neurologic evaluation (e.g., use of anesthesia</w:t>
      </w:r>
      <w:r w:rsidRPr="004E28BB">
        <w:rPr>
          <w:color w:val="000000"/>
        </w:rPr>
        <w:t>, pain medicine for other injuries that preclude a neurologic exam</w:t>
      </w:r>
      <w:r w:rsidR="00637EFA" w:rsidRPr="004E28BB">
        <w:t>)</w:t>
      </w:r>
      <w:r w:rsidR="00D61FBE">
        <w:t>,</w:t>
      </w:r>
      <w:r w:rsidRPr="004E28BB">
        <w:t xml:space="preserve"> and it should also be considered </w:t>
      </w:r>
      <w:r w:rsidR="00D61FBE">
        <w:t>when the individual’s</w:t>
      </w:r>
      <w:r w:rsidRPr="004E28BB">
        <w:t xml:space="preserve"> age </w:t>
      </w:r>
      <w:r w:rsidR="00D61FBE">
        <w:t xml:space="preserve">is </w:t>
      </w:r>
      <w:r w:rsidRPr="004E28BB">
        <w:t xml:space="preserve">over 40 or systolic blood pressure </w:t>
      </w:r>
      <w:r w:rsidR="00D61FBE">
        <w:t xml:space="preserve">is </w:t>
      </w:r>
      <w:r w:rsidRPr="004E28BB">
        <w:t>less than 90 mmHz</w:t>
      </w:r>
      <w:r w:rsidRPr="004E28BB">
        <w:rPr>
          <w:rStyle w:val="GuideCitesCharChar"/>
        </w:rPr>
        <w:t xml:space="preserve"> </w:t>
      </w:r>
      <w:r w:rsidR="00B30BDE" w:rsidRPr="003C0CBB">
        <w:rPr>
          <w:rStyle w:val="GuideCitesCharChar"/>
          <w:highlight w:val="yellow"/>
        </w:rPr>
        <w:t>(</w:t>
      </w:r>
      <w:hyperlink w:anchor="Bratton2007a" w:history="1">
        <w:r w:rsidR="00B30BDE" w:rsidRPr="000D5DCD">
          <w:rPr>
            <w:rStyle w:val="Hyperlink"/>
            <w:rFonts w:cs="Arial"/>
            <w:highlight w:val="yellow"/>
          </w:rPr>
          <w:t>Bratton, 2007a</w:t>
        </w:r>
      </w:hyperlink>
      <w:r w:rsidR="00B30BDE" w:rsidRPr="003C0CBB">
        <w:rPr>
          <w:rStyle w:val="GuideCitesCharChar"/>
          <w:highlight w:val="yellow"/>
        </w:rPr>
        <w:t>)</w:t>
      </w:r>
      <w:r w:rsidR="00B30BDE" w:rsidRPr="004E28BB">
        <w:t xml:space="preserve">. </w:t>
      </w:r>
      <w:r w:rsidRPr="004E28BB">
        <w:rPr>
          <w:rStyle w:val="guidecitescharchar0"/>
          <w:color w:val="000000"/>
        </w:rPr>
        <w:t>ICP monitoring may be</w:t>
      </w:r>
      <w:r w:rsidR="00637EFA" w:rsidRPr="004E28BB">
        <w:rPr>
          <w:rStyle w:val="guidecitescharchar0"/>
          <w:color w:val="000000"/>
        </w:rPr>
        <w:t xml:space="preserve"> done by a variety of technologies</w:t>
      </w:r>
      <w:r w:rsidR="00D61FBE">
        <w:rPr>
          <w:rStyle w:val="guidecitescharchar0"/>
          <w:color w:val="000000"/>
        </w:rPr>
        <w:t>,</w:t>
      </w:r>
      <w:r w:rsidRPr="004E28BB">
        <w:rPr>
          <w:rStyle w:val="guidecitescharchar0"/>
          <w:color w:val="000000"/>
        </w:rPr>
        <w:t xml:space="preserve"> but </w:t>
      </w:r>
      <w:r w:rsidR="00D61FBE">
        <w:rPr>
          <w:rStyle w:val="guidecitescharchar0"/>
          <w:color w:val="000000"/>
        </w:rPr>
        <w:t xml:space="preserve">a </w:t>
      </w:r>
      <w:r w:rsidRPr="004E28BB">
        <w:rPr>
          <w:rStyle w:val="guidecitescharchar0"/>
          <w:color w:val="000000"/>
        </w:rPr>
        <w:t>ventriculostomy is the most accurate. Other options include parenchymal monitors placed in the supratentorial cranial vault.</w:t>
      </w:r>
    </w:p>
    <w:p w:rsidR="000408B7" w:rsidRPr="004E28BB" w:rsidRDefault="000408B7" w:rsidP="00D41D04">
      <w:pPr>
        <w:pStyle w:val="ListNumber3"/>
      </w:pPr>
      <w:r w:rsidRPr="004E28BB">
        <w:t xml:space="preserve">Cerebral oxygen saturation monitoring may be used, usually in conjunction with ICP monitoring, to assess the effects of treatment interventions on oxygen delivery to the injured brain, and to optimize the management of brain swelling and intracranial pressure in the setting of severe </w:t>
      </w:r>
      <w:r w:rsidR="0056633D">
        <w:t>TBI</w:t>
      </w:r>
      <w:r w:rsidRPr="004E28BB">
        <w:t>.</w:t>
      </w:r>
    </w:p>
    <w:p w:rsidR="000408B7" w:rsidRPr="004E28BB" w:rsidRDefault="000408B7" w:rsidP="00D41D04">
      <w:pPr>
        <w:pStyle w:val="ListNumber2"/>
      </w:pPr>
      <w:bookmarkStart w:id="303" w:name="_Toc315099893"/>
      <w:bookmarkStart w:id="304" w:name="_Toc315160854"/>
      <w:bookmarkStart w:id="305" w:name="_Toc315960209"/>
      <w:bookmarkStart w:id="306" w:name="_Toc319922533"/>
      <w:bookmarkStart w:id="307" w:name="_Toc394643306"/>
      <w:r w:rsidRPr="004E28BB">
        <w:rPr>
          <w:rStyle w:val="Guide2-123Char"/>
        </w:rPr>
        <w:t>HYPERVENTILATION</w:t>
      </w:r>
      <w:bookmarkEnd w:id="303"/>
      <w:bookmarkEnd w:id="304"/>
      <w:bookmarkEnd w:id="305"/>
      <w:bookmarkEnd w:id="306"/>
      <w:bookmarkEnd w:id="307"/>
      <w:r w:rsidR="007C4FC3" w:rsidRPr="004E28BB">
        <w:t>:</w:t>
      </w:r>
      <w:r w:rsidRPr="004E28BB">
        <w:rPr>
          <w:rStyle w:val="Guide2-123Char"/>
        </w:rPr>
        <w:br/>
      </w:r>
      <w:r w:rsidRPr="004E28BB">
        <w:rPr>
          <w:rStyle w:val="Guide2-123Char"/>
        </w:rPr>
        <w:br/>
      </w:r>
      <w:r w:rsidRPr="004E28BB">
        <w:t>Hyperventilation is generally not recommended in the setting of acute TBI.</w:t>
      </w:r>
      <w:r w:rsidRPr="004E28BB">
        <w:br/>
        <w:t>In rare cases</w:t>
      </w:r>
      <w:r w:rsidR="00D61FBE">
        <w:t>,</w:t>
      </w:r>
      <w:r w:rsidRPr="004E28BB">
        <w:t xml:space="preserve"> controlled hyperventilation may be necessary for brief periods in acute neurological deterioration not attributable to systemic patholog</w:t>
      </w:r>
      <w:r w:rsidR="00D61FBE">
        <w:t>y</w:t>
      </w:r>
      <w:r w:rsidRPr="004E28BB">
        <w:t xml:space="preserve"> (i.e., hypotension)</w:t>
      </w:r>
      <w:r w:rsidR="00D61FBE">
        <w:t>,</w:t>
      </w:r>
      <w:r w:rsidRPr="004E28BB">
        <w:t xml:space="preserve"> but it is not recommende</w:t>
      </w:r>
      <w:bookmarkStart w:id="308" w:name="_Toc315099894"/>
      <w:bookmarkStart w:id="309" w:name="_Toc315160855"/>
      <w:bookmarkStart w:id="310" w:name="_Toc315960210"/>
      <w:bookmarkStart w:id="311" w:name="_Toc319922534"/>
      <w:r w:rsidR="00B30BDE" w:rsidRPr="004E28BB">
        <w:t>d for prolonged periods of time</w:t>
      </w:r>
      <w:r w:rsidRPr="004E28BB">
        <w:rPr>
          <w:rStyle w:val="GuideCitesCharChar"/>
        </w:rPr>
        <w:t xml:space="preserve"> </w:t>
      </w:r>
      <w:r w:rsidRPr="003C0CBB">
        <w:rPr>
          <w:rStyle w:val="GuideCitesCharChar"/>
          <w:highlight w:val="yellow"/>
        </w:rPr>
        <w:t>([</w:t>
      </w:r>
      <w:hyperlink w:anchor="Roberts2009" w:history="1">
        <w:r w:rsidRPr="000D5DCD">
          <w:rPr>
            <w:rStyle w:val="Hyperlink"/>
            <w:rFonts w:cs="Arial"/>
            <w:highlight w:val="yellow"/>
          </w:rPr>
          <w:t>Cochrane] Roberts, 2009</w:t>
        </w:r>
      </w:hyperlink>
      <w:r w:rsidRPr="003C0CBB">
        <w:rPr>
          <w:rStyle w:val="GuideCitesCharChar"/>
          <w:highlight w:val="yellow"/>
        </w:rPr>
        <w:t>)</w:t>
      </w:r>
      <w:r w:rsidR="00B30BDE" w:rsidRPr="003C0CBB">
        <w:rPr>
          <w:highlight w:val="yellow"/>
        </w:rPr>
        <w:t>.</w:t>
      </w:r>
    </w:p>
    <w:p w:rsidR="000408B7" w:rsidRPr="004E28BB" w:rsidRDefault="000408B7" w:rsidP="00D41D04">
      <w:pPr>
        <w:pStyle w:val="ListNumber2"/>
      </w:pPr>
      <w:bookmarkStart w:id="312" w:name="TBIF4Medication"/>
      <w:bookmarkStart w:id="313" w:name="_Toc394643307"/>
      <w:bookmarkEnd w:id="312"/>
      <w:r w:rsidRPr="004E28BB">
        <w:rPr>
          <w:rStyle w:val="Guide2-123Char"/>
        </w:rPr>
        <w:t>MEDICATIONS</w:t>
      </w:r>
      <w:bookmarkEnd w:id="308"/>
      <w:bookmarkEnd w:id="309"/>
      <w:bookmarkEnd w:id="310"/>
      <w:bookmarkEnd w:id="311"/>
      <w:bookmarkEnd w:id="313"/>
      <w:r w:rsidR="007C4FC3" w:rsidRPr="004E28BB">
        <w:t>:</w:t>
      </w:r>
      <w:r w:rsidRPr="004E28BB">
        <w:tab/>
      </w:r>
    </w:p>
    <w:p w:rsidR="000408B7" w:rsidRPr="004E28BB" w:rsidRDefault="000408B7" w:rsidP="00D41D04">
      <w:pPr>
        <w:pStyle w:val="ListNumber3"/>
      </w:pPr>
      <w:r w:rsidRPr="004E28BB">
        <w:t>Hyperosmolar agents may be used prior to ICP monitoring if there is neurologic deterioration not attributable to systemic pathology (i.e. hypotension) and/or signs of transtentorial herniation</w:t>
      </w:r>
      <w:r w:rsidRPr="00773307">
        <w:rPr>
          <w:rStyle w:val="GuideCitesCharChar"/>
        </w:rPr>
        <w:t xml:space="preserve"> </w:t>
      </w:r>
      <w:r w:rsidRPr="00107E83">
        <w:rPr>
          <w:rStyle w:val="GuideCitesCharChar"/>
          <w:highlight w:val="yellow"/>
        </w:rPr>
        <w:t>(</w:t>
      </w:r>
      <w:hyperlink w:anchor="Bratton2007b" w:history="1">
        <w:r w:rsidRPr="000D5DCD">
          <w:rPr>
            <w:rStyle w:val="Hyperlink"/>
            <w:rFonts w:cs="Arial"/>
            <w:highlight w:val="yellow"/>
          </w:rPr>
          <w:t>Bratton, 2007b</w:t>
        </w:r>
      </w:hyperlink>
      <w:r w:rsidRPr="00107E83">
        <w:rPr>
          <w:rStyle w:val="GuideCitesCharChar"/>
          <w:highlight w:val="yellow"/>
        </w:rPr>
        <w:t>)</w:t>
      </w:r>
      <w:r w:rsidR="00B30BDE" w:rsidRPr="00107E83">
        <w:rPr>
          <w:highlight w:val="yellow"/>
        </w:rPr>
        <w:t>.</w:t>
      </w:r>
    </w:p>
    <w:p w:rsidR="000408B7" w:rsidRPr="00090351" w:rsidRDefault="000408B7" w:rsidP="00D41D04">
      <w:pPr>
        <w:pStyle w:val="ListNumber3"/>
      </w:pPr>
      <w:r w:rsidRPr="004E28BB">
        <w:t>Glucocorticoids (steroids) are not useful or generally accepted to improve outcome or decrease ICP, and in some instances may be harmful. There is good evidence that they do not decrease mortality, and there is some evidence that they may even increase the mortality rate in individ</w:t>
      </w:r>
      <w:r w:rsidR="00B30BDE" w:rsidRPr="004E28BB">
        <w:t xml:space="preserve">uals with </w:t>
      </w:r>
      <w:r w:rsidR="0056633D">
        <w:t>TBI</w:t>
      </w:r>
      <w:r w:rsidR="00B30BDE" w:rsidRPr="004E28BB">
        <w:t>s</w:t>
      </w:r>
      <w:r w:rsidRPr="004E28BB">
        <w:rPr>
          <w:rStyle w:val="GuideCitesCharChar"/>
        </w:rPr>
        <w:t xml:space="preserve"> </w:t>
      </w:r>
      <w:r w:rsidRPr="00107E83">
        <w:rPr>
          <w:rStyle w:val="GuideCitesCharChar"/>
          <w:highlight w:val="yellow"/>
        </w:rPr>
        <w:t>(</w:t>
      </w:r>
      <w:hyperlink w:anchor="CRASH2005" w:history="1">
        <w:r w:rsidRPr="000D5DCD">
          <w:rPr>
            <w:rStyle w:val="Hyperlink"/>
            <w:rFonts w:cs="Arial"/>
            <w:highlight w:val="yellow"/>
          </w:rPr>
          <w:t>CRASH Trial Collaborators, 2004</w:t>
        </w:r>
      </w:hyperlink>
      <w:r w:rsidRPr="00090351">
        <w:rPr>
          <w:rStyle w:val="GuideCitesCharChar"/>
        </w:rPr>
        <w:t>)</w:t>
      </w:r>
      <w:r w:rsidR="00B30BDE" w:rsidRPr="00090351">
        <w:t>.</w:t>
      </w:r>
    </w:p>
    <w:p w:rsidR="000408B7" w:rsidRPr="00D61FBE" w:rsidRDefault="000408B7" w:rsidP="00D41D04">
      <w:pPr>
        <w:pStyle w:val="ListNumber3"/>
      </w:pPr>
      <w:r w:rsidRPr="008A3536">
        <w:rPr>
          <w:b/>
          <w:u w:val="single"/>
        </w:rPr>
        <w:t>Anticonvulsants</w:t>
      </w:r>
      <w:r w:rsidR="007C4FC3" w:rsidRPr="004E28BB">
        <w:t>:</w:t>
      </w:r>
    </w:p>
    <w:p w:rsidR="000408B7" w:rsidRPr="004E28BB" w:rsidRDefault="000408B7" w:rsidP="00D41D04">
      <w:pPr>
        <w:pStyle w:val="ListNumber4"/>
      </w:pPr>
      <w:r w:rsidRPr="004E28BB">
        <w:t>Anticonvulsant treatment may be used to prevent early post</w:t>
      </w:r>
      <w:r w:rsidR="00D61FBE">
        <w:t>-</w:t>
      </w:r>
      <w:r w:rsidRPr="004E28BB">
        <w:t xml:space="preserve">traumatic seizures in the high-risk individual and are usually administered for one week in those with intracranial hemorrhage. Prevention of early seizures </w:t>
      </w:r>
      <w:r w:rsidRPr="004E28BB">
        <w:lastRenderedPageBreak/>
        <w:t>has no statistically significant impact on long-term outcome or the development of la</w:t>
      </w:r>
      <w:r w:rsidR="00B30BDE" w:rsidRPr="004E28BB">
        <w:t>te seizures or chronic epilepsy</w:t>
      </w:r>
      <w:r w:rsidRPr="004E28BB">
        <w:rPr>
          <w:rStyle w:val="GuideCitesCharChar"/>
        </w:rPr>
        <w:t xml:space="preserve"> </w:t>
      </w:r>
      <w:r w:rsidRPr="00107E83">
        <w:rPr>
          <w:rStyle w:val="GuideCitesCharChar"/>
          <w:highlight w:val="yellow"/>
        </w:rPr>
        <w:t>(</w:t>
      </w:r>
      <w:hyperlink w:anchor="Chang2003" w:history="1">
        <w:r w:rsidRPr="000C2612">
          <w:rPr>
            <w:rStyle w:val="Hyperlink"/>
            <w:rFonts w:cs="Arial"/>
            <w:highlight w:val="yellow"/>
          </w:rPr>
          <w:t>Chang, 2003</w:t>
        </w:r>
      </w:hyperlink>
      <w:r w:rsidRPr="00107E83">
        <w:rPr>
          <w:rStyle w:val="GuideCitesCharChar"/>
          <w:highlight w:val="yellow"/>
        </w:rPr>
        <w:t>)</w:t>
      </w:r>
      <w:r w:rsidR="00B30BDE" w:rsidRPr="004E28BB">
        <w:t xml:space="preserve">. </w:t>
      </w:r>
      <w:r w:rsidRPr="004E28BB">
        <w:t>Prevention of early seizures is reasonable to reduce seizure-associated complications du</w:t>
      </w:r>
      <w:r w:rsidR="00B30BDE" w:rsidRPr="004E28BB">
        <w:t>ring acute management</w:t>
      </w:r>
      <w:r w:rsidRPr="004E28BB">
        <w:rPr>
          <w:rStyle w:val="GuideCitesCharChar"/>
        </w:rPr>
        <w:t xml:space="preserve"> </w:t>
      </w:r>
      <w:r w:rsidRPr="00107E83">
        <w:rPr>
          <w:rStyle w:val="GuideCitesCharChar"/>
          <w:highlight w:val="yellow"/>
        </w:rPr>
        <w:t>(</w:t>
      </w:r>
      <w:hyperlink w:anchor="Chang2003" w:history="1">
        <w:r w:rsidRPr="00074390">
          <w:rPr>
            <w:rStyle w:val="Hyperlink"/>
            <w:rFonts w:cs="Arial"/>
            <w:highlight w:val="yellow"/>
          </w:rPr>
          <w:t>Chang, 2003</w:t>
        </w:r>
      </w:hyperlink>
      <w:r w:rsidRPr="004E28BB">
        <w:rPr>
          <w:rStyle w:val="GuideCitesCharChar"/>
        </w:rPr>
        <w:t>)</w:t>
      </w:r>
      <w:r w:rsidR="00B30BDE" w:rsidRPr="004E28BB">
        <w:t>.</w:t>
      </w:r>
    </w:p>
    <w:p w:rsidR="000408B7" w:rsidRPr="004E28BB" w:rsidRDefault="000408B7" w:rsidP="00D41D04">
      <w:pPr>
        <w:pStyle w:val="ListNumber4"/>
      </w:pPr>
      <w:r w:rsidRPr="004E28BB">
        <w:rPr>
          <w:rStyle w:val="Guide4-i"/>
        </w:rPr>
        <w:t>Prophylactic Anticonvulsants</w:t>
      </w:r>
      <w:r w:rsidR="007C4FC3" w:rsidRPr="004E28BB">
        <w:t>:</w:t>
      </w:r>
      <w:r w:rsidRPr="004E28BB">
        <w:t xml:space="preserve"> </w:t>
      </w:r>
      <w:r w:rsidR="007C4FC3">
        <w:t>S</w:t>
      </w:r>
      <w:r w:rsidRPr="004E28BB">
        <w:t xml:space="preserve">hould not </w:t>
      </w:r>
      <w:r w:rsidR="008B5C94" w:rsidRPr="004E28BB">
        <w:t xml:space="preserve">be used </w:t>
      </w:r>
      <w:r w:rsidRPr="004E28BB">
        <w:t xml:space="preserve">routinely after the first week </w:t>
      </w:r>
      <w:r w:rsidR="008B5C94" w:rsidRPr="004E28BB">
        <w:t>unless other clinical indicators warrant their use</w:t>
      </w:r>
      <w:r w:rsidR="00D61FBE">
        <w:t>,</w:t>
      </w:r>
      <w:r w:rsidR="008B5C94" w:rsidRPr="004E28BB">
        <w:t xml:space="preserve"> such as brain penetration, excessive intraparenchymal bleeding, or others</w:t>
      </w:r>
      <w:r w:rsidR="008B5C94" w:rsidRPr="004E28BB">
        <w:rPr>
          <w:rStyle w:val="GuideCitesCharChar"/>
        </w:rPr>
        <w:t xml:space="preserve"> </w:t>
      </w:r>
      <w:r w:rsidRPr="004E28BB">
        <w:rPr>
          <w:rStyle w:val="GuideCitesCharChar"/>
        </w:rPr>
        <w:t>(</w:t>
      </w:r>
      <w:hyperlink w:anchor="Chang2003" w:history="1">
        <w:r w:rsidRPr="00074390">
          <w:rPr>
            <w:rStyle w:val="Hyperlink"/>
            <w:rFonts w:cs="Arial"/>
            <w:highlight w:val="yellow"/>
          </w:rPr>
          <w:t>Chang, 2003</w:t>
        </w:r>
      </w:hyperlink>
      <w:r w:rsidRPr="004E28BB">
        <w:rPr>
          <w:rStyle w:val="GuideCitesCharChar"/>
        </w:rPr>
        <w:t>)</w:t>
      </w:r>
      <w:r w:rsidR="00B30BDE" w:rsidRPr="004E28BB">
        <w:t>.</w:t>
      </w:r>
    </w:p>
    <w:p w:rsidR="000408B7" w:rsidRPr="004E28BB" w:rsidRDefault="000408B7" w:rsidP="00D41D04">
      <w:pPr>
        <w:pStyle w:val="ListNumber3"/>
      </w:pPr>
      <w:r w:rsidRPr="008A3536">
        <w:rPr>
          <w:b/>
          <w:u w:val="single"/>
        </w:rPr>
        <w:t>Progesterone</w:t>
      </w:r>
      <w:r w:rsidR="007C4FC3" w:rsidRPr="004E28BB">
        <w:t>:</w:t>
      </w:r>
    </w:p>
    <w:p w:rsidR="000408B7" w:rsidRPr="004E28BB" w:rsidRDefault="000408B7" w:rsidP="00D41D04">
      <w:pPr>
        <w:pStyle w:val="ListNumber4"/>
      </w:pPr>
      <w:r w:rsidRPr="004E28BB">
        <w:t>There is good evidence that progesterone in the setting of acute TBI can reduce mortality and disability, although most patients with severe TBI may not avoid residual disability</w:t>
      </w:r>
      <w:r w:rsidR="00D61FBE">
        <w:t>,</w:t>
      </w:r>
      <w:r w:rsidRPr="004E28BB">
        <w:rPr>
          <w:b/>
        </w:rPr>
        <w:t xml:space="preserve"> </w:t>
      </w:r>
      <w:r w:rsidRPr="004E28BB">
        <w:t>and</w:t>
      </w:r>
      <w:r w:rsidRPr="004E28BB">
        <w:rPr>
          <w:b/>
        </w:rPr>
        <w:t xml:space="preserve"> </w:t>
      </w:r>
      <w:r w:rsidRPr="004E28BB">
        <w:t>the studies do not yet support routine use</w:t>
      </w:r>
      <w:r w:rsidRPr="004E28BB">
        <w:rPr>
          <w:rStyle w:val="GuideCitesCharChar"/>
        </w:rPr>
        <w:t xml:space="preserve"> </w:t>
      </w:r>
      <w:r w:rsidRPr="00FE1C47">
        <w:rPr>
          <w:rStyle w:val="GuideCitesCharChar"/>
          <w:highlight w:val="yellow"/>
        </w:rPr>
        <w:t>([</w:t>
      </w:r>
      <w:hyperlink w:anchor="Junpeng2011" w:history="1">
        <w:r w:rsidRPr="00074390">
          <w:rPr>
            <w:rStyle w:val="Hyperlink"/>
            <w:rFonts w:cs="Arial"/>
            <w:highlight w:val="yellow"/>
          </w:rPr>
          <w:t>Cochrane] Junpeng, 2011</w:t>
        </w:r>
      </w:hyperlink>
      <w:r w:rsidRPr="00FE1C47">
        <w:rPr>
          <w:rStyle w:val="GuideCitesCharChar"/>
          <w:highlight w:val="yellow"/>
        </w:rPr>
        <w:t>)</w:t>
      </w:r>
      <w:r w:rsidR="00B30BDE" w:rsidRPr="00FE1C47">
        <w:rPr>
          <w:highlight w:val="yellow"/>
        </w:rPr>
        <w:t>.</w:t>
      </w:r>
      <w:r w:rsidRPr="004E28BB">
        <w:t xml:space="preserve"> Ongoing studies</w:t>
      </w:r>
      <w:r w:rsidR="00637EFA" w:rsidRPr="004E28BB">
        <w:t xml:space="preserve"> may change this recommendation</w:t>
      </w:r>
      <w:r w:rsidRPr="004E28BB">
        <w:t xml:space="preserve">. </w:t>
      </w:r>
    </w:p>
    <w:p w:rsidR="000408B7" w:rsidRPr="004E28BB" w:rsidRDefault="000408B7" w:rsidP="00D41D04">
      <w:pPr>
        <w:pStyle w:val="ListNumber2"/>
      </w:pPr>
      <w:bookmarkStart w:id="314" w:name="_Toc315099895"/>
      <w:bookmarkStart w:id="315" w:name="_Toc315160856"/>
      <w:bookmarkStart w:id="316" w:name="TBIF5Hypothermia"/>
      <w:bookmarkStart w:id="317" w:name="_Toc315960211"/>
      <w:bookmarkStart w:id="318" w:name="_Toc319922535"/>
      <w:bookmarkStart w:id="319" w:name="_Toc394643308"/>
      <w:r w:rsidRPr="004E28BB">
        <w:rPr>
          <w:rStyle w:val="Guide2-123Char"/>
        </w:rPr>
        <w:t>HYPOTHERMIA</w:t>
      </w:r>
      <w:bookmarkEnd w:id="314"/>
      <w:bookmarkEnd w:id="315"/>
      <w:bookmarkEnd w:id="316"/>
      <w:bookmarkEnd w:id="317"/>
      <w:bookmarkEnd w:id="318"/>
      <w:bookmarkEnd w:id="319"/>
      <w:r w:rsidRPr="004E28BB">
        <w:t>: Therapeutic hypothermia involves the lowering of core body temperature by such techniques as surface heat exchange devices, intravascular infusion of cold crystalloid, and body cavity lavage</w:t>
      </w:r>
      <w:r w:rsidRPr="004E28BB">
        <w:rPr>
          <w:rStyle w:val="GuideCitesCharChar"/>
        </w:rPr>
        <w:t xml:space="preserve"> </w:t>
      </w:r>
      <w:r w:rsidRPr="00FE1C47">
        <w:rPr>
          <w:rStyle w:val="GuideCitesCharChar"/>
          <w:highlight w:val="yellow"/>
        </w:rPr>
        <w:t>(</w:t>
      </w:r>
      <w:hyperlink w:anchor="Seder2009" w:history="1">
        <w:r w:rsidRPr="00074390">
          <w:rPr>
            <w:rStyle w:val="Hyperlink"/>
            <w:rFonts w:cs="Arial"/>
            <w:highlight w:val="yellow"/>
          </w:rPr>
          <w:t>Seder, 2009</w:t>
        </w:r>
      </w:hyperlink>
      <w:r w:rsidRPr="00FE1C47">
        <w:rPr>
          <w:rStyle w:val="GuideCitesCharChar"/>
          <w:highlight w:val="yellow"/>
        </w:rPr>
        <w:t>)</w:t>
      </w:r>
      <w:r w:rsidR="00983A6D">
        <w:rPr>
          <w:rStyle w:val="GuideCitesCharChar"/>
        </w:rPr>
        <w:t>.</w:t>
      </w:r>
      <w:r w:rsidRPr="004E28BB">
        <w:t xml:space="preserve"> </w:t>
      </w:r>
      <w:r w:rsidR="00983A6D">
        <w:t xml:space="preserve">This is done </w:t>
      </w:r>
      <w:r w:rsidRPr="004E28BB">
        <w:t>in order to decrease some metabolic and physiologic processes</w:t>
      </w:r>
      <w:r w:rsidR="00983A6D">
        <w:t xml:space="preserve"> that result in neural damage after TBI</w:t>
      </w:r>
      <w:r w:rsidRPr="004E28BB">
        <w:t>, including increased intracranial pressure. Studies of its effectiveness have varied widely regarding the timing, depth</w:t>
      </w:r>
      <w:r w:rsidR="00C92ADD">
        <w:t>,</w:t>
      </w:r>
      <w:r w:rsidRPr="004E28BB">
        <w:t xml:space="preserve"> and duration of hypothermia and the rate of rewarming, and</w:t>
      </w:r>
      <w:r w:rsidR="00C92ADD">
        <w:t xml:space="preserve"> studies</w:t>
      </w:r>
      <w:r w:rsidRPr="004E28BB">
        <w:t xml:space="preserve"> have differed significantly in estimates of its therapeutic value. Study quality has also influenced reporting of outcomes, with higher quality studies reporting less favorable effects on mortality and func</w:t>
      </w:r>
      <w:r w:rsidR="00B30BDE" w:rsidRPr="004E28BB">
        <w:t>tion than lower quality studies</w:t>
      </w:r>
      <w:r w:rsidRPr="004E28BB">
        <w:rPr>
          <w:rStyle w:val="GuideCitesCharChar"/>
        </w:rPr>
        <w:t xml:space="preserve"> </w:t>
      </w:r>
      <w:r w:rsidRPr="00FE1C47">
        <w:rPr>
          <w:rStyle w:val="GuideCitesCharChar"/>
          <w:highlight w:val="yellow"/>
        </w:rPr>
        <w:t>([</w:t>
      </w:r>
      <w:hyperlink w:anchor="Sydenham2009" w:history="1">
        <w:r w:rsidRPr="00074390">
          <w:rPr>
            <w:rStyle w:val="Hyperlink"/>
            <w:rFonts w:cs="Arial"/>
            <w:highlight w:val="yellow"/>
          </w:rPr>
          <w:t>Cochrane] Sydenham, 2009</w:t>
        </w:r>
      </w:hyperlink>
      <w:r w:rsidRPr="00FE1C47">
        <w:rPr>
          <w:rStyle w:val="GuideCitesCharChar"/>
          <w:highlight w:val="yellow"/>
        </w:rPr>
        <w:t>)</w:t>
      </w:r>
      <w:r w:rsidR="00B30BDE" w:rsidRPr="004E28BB">
        <w:t xml:space="preserve">. </w:t>
      </w:r>
      <w:r w:rsidRPr="004E28BB">
        <w:t>A recent trial of early hypothermia induction sponsored by the National Institutes of Health</w:t>
      </w:r>
      <w:r w:rsidRPr="004E28BB">
        <w:rPr>
          <w:rStyle w:val="GuideCitesCharChar"/>
        </w:rPr>
        <w:t xml:space="preserve"> </w:t>
      </w:r>
      <w:r w:rsidRPr="00FE1C47">
        <w:rPr>
          <w:rStyle w:val="GuideCitesCharChar"/>
          <w:highlight w:val="yellow"/>
        </w:rPr>
        <w:t>(</w:t>
      </w:r>
      <w:hyperlink w:anchor="Clifton2011" w:history="1">
        <w:r w:rsidRPr="00074390">
          <w:rPr>
            <w:rStyle w:val="Hyperlink"/>
            <w:rFonts w:cs="Arial"/>
            <w:highlight w:val="yellow"/>
          </w:rPr>
          <w:t>Clifton, 2011</w:t>
        </w:r>
      </w:hyperlink>
      <w:r w:rsidRPr="00FE1C47">
        <w:rPr>
          <w:rStyle w:val="GuideCitesCharChar"/>
          <w:highlight w:val="yellow"/>
        </w:rPr>
        <w:t>)</w:t>
      </w:r>
      <w:r w:rsidRPr="004E28BB">
        <w:t xml:space="preserve"> was terminated early due to concerns of the monitoring board over issues of slow accrual and patient safety. The interim analysis suggested an increased risk of a poor outcome in patients with diffuse brain injury but a reduced risk of a poor outcome in patients with surgically removed hematomas, but the number of outcomes were too few to exclude chance as an explanation of the results.</w:t>
      </w:r>
      <w:r w:rsidRPr="004E28BB">
        <w:br/>
      </w:r>
      <w:r w:rsidRPr="004E28BB">
        <w:br/>
        <w:t>Because of the complexities of the determinants of outcome of hypothermia, recommendations cannot be</w:t>
      </w:r>
      <w:r w:rsidR="006975EC" w:rsidRPr="004E28BB">
        <w:t xml:space="preserve"> </w:t>
      </w:r>
      <w:r w:rsidRPr="004E28BB">
        <w:t>made regarding its routine use. Decisions for or against its use must be made on a case-by-case basis according to factors of severity of injury, time since injury, level of intracranial pressure, the presence of other injuries, and other circumstances. Side effects include immunosuppression, cold diuresis with hypovolemia, electrolyte disturbances, impaired drug c</w:t>
      </w:r>
      <w:r w:rsidR="00B30BDE" w:rsidRPr="004E28BB">
        <w:t>learance, and mild coagulopathy</w:t>
      </w:r>
      <w:r w:rsidRPr="004E28BB">
        <w:rPr>
          <w:rStyle w:val="GuideCitesCharChar"/>
        </w:rPr>
        <w:t xml:space="preserve"> (</w:t>
      </w:r>
      <w:hyperlink w:anchor="Polderman2009" w:history="1">
        <w:r w:rsidRPr="00074390">
          <w:rPr>
            <w:rStyle w:val="Hyperlink"/>
            <w:rFonts w:cs="Arial"/>
            <w:highlight w:val="yellow"/>
          </w:rPr>
          <w:t>Polderman, 2009</w:t>
        </w:r>
      </w:hyperlink>
      <w:r w:rsidRPr="00FE1C47">
        <w:rPr>
          <w:rStyle w:val="GuideCitesCharChar"/>
          <w:highlight w:val="yellow"/>
        </w:rPr>
        <w:t>)</w:t>
      </w:r>
      <w:r w:rsidR="00B30BDE" w:rsidRPr="004E28BB">
        <w:t>.</w:t>
      </w:r>
      <w:r w:rsidRPr="004E28BB">
        <w:br/>
      </w:r>
      <w:r w:rsidRPr="004E28BB">
        <w:br/>
        <w:t>In contrast to the appropriateness of induced hypothermia, there is general agreement that fever with the TBI patient is associated with poor long-term outcomes and</w:t>
      </w:r>
      <w:r w:rsidR="00B30BDE" w:rsidRPr="004E28BB">
        <w:t xml:space="preserve"> should be </w:t>
      </w:r>
      <w:r w:rsidR="008B5C94" w:rsidRPr="004E28BB">
        <w:t xml:space="preserve">monitored and </w:t>
      </w:r>
      <w:r w:rsidR="00B30BDE" w:rsidRPr="004E28BB">
        <w:t>managed</w:t>
      </w:r>
      <w:r w:rsidRPr="004E28BB">
        <w:rPr>
          <w:rStyle w:val="GuideCitesCharChar"/>
        </w:rPr>
        <w:t xml:space="preserve"> (</w:t>
      </w:r>
      <w:hyperlink w:anchor="Badjatia2009" w:history="1">
        <w:r w:rsidRPr="00074390">
          <w:rPr>
            <w:rStyle w:val="Hyperlink"/>
            <w:rFonts w:cs="Arial"/>
            <w:highlight w:val="yellow"/>
          </w:rPr>
          <w:t>Badjatia, 2009</w:t>
        </w:r>
      </w:hyperlink>
      <w:r w:rsidRPr="004E28BB">
        <w:rPr>
          <w:rStyle w:val="GuideCitesCharChar"/>
        </w:rPr>
        <w:t>)</w:t>
      </w:r>
      <w:bookmarkStart w:id="320" w:name="_Toc319922536"/>
      <w:r w:rsidR="00B30BDE" w:rsidRPr="004E28BB">
        <w:t>.</w:t>
      </w:r>
    </w:p>
    <w:p w:rsidR="000408B7" w:rsidRPr="004E28BB" w:rsidRDefault="000408B7" w:rsidP="00D41D04">
      <w:pPr>
        <w:pStyle w:val="ListNumber2"/>
      </w:pPr>
      <w:bookmarkStart w:id="321" w:name="_Toc394643309"/>
      <w:r w:rsidRPr="004E28BB">
        <w:rPr>
          <w:rStyle w:val="Guide2-123Char"/>
        </w:rPr>
        <w:t>Surgery</w:t>
      </w:r>
      <w:bookmarkEnd w:id="320"/>
      <w:bookmarkEnd w:id="321"/>
      <w:r w:rsidR="007C4FC3" w:rsidRPr="004E28BB">
        <w:t>:</w:t>
      </w:r>
      <w:r w:rsidRPr="004E28BB">
        <w:t xml:space="preserve"> </w:t>
      </w:r>
      <w:r w:rsidRPr="004E28BB">
        <w:br/>
      </w:r>
      <w:r w:rsidRPr="004E28BB">
        <w:br/>
        <w:t>In many cases</w:t>
      </w:r>
      <w:r w:rsidR="002E177A">
        <w:t>,</w:t>
      </w:r>
      <w:r w:rsidRPr="004E28BB">
        <w:t xml:space="preserve"> surgery is appropriate </w:t>
      </w:r>
      <w:r w:rsidR="00756447">
        <w:t>(</w:t>
      </w:r>
      <w:r w:rsidRPr="004E28BB">
        <w:t xml:space="preserve">refer to section </w:t>
      </w:r>
      <w:hyperlink w:anchor="TBILOperativeTherProcedures" w:history="1">
        <w:r w:rsidR="006975EC" w:rsidRPr="004E28BB">
          <w:rPr>
            <w:rStyle w:val="Hyperlink"/>
          </w:rPr>
          <w:t>L</w:t>
        </w:r>
        <w:r w:rsidRPr="004E28BB">
          <w:rPr>
            <w:rStyle w:val="Hyperlink"/>
          </w:rPr>
          <w:t>.</w:t>
        </w:r>
        <w:r w:rsidR="006975EC" w:rsidRPr="004E28BB">
          <w:rPr>
            <w:rStyle w:val="Hyperlink"/>
          </w:rPr>
          <w:t xml:space="preserve"> Operative </w:t>
        </w:r>
        <w:r w:rsidRPr="004E28BB">
          <w:rPr>
            <w:rStyle w:val="Hyperlink"/>
          </w:rPr>
          <w:t>Therapeutic Procedures</w:t>
        </w:r>
      </w:hyperlink>
      <w:r w:rsidRPr="004E28BB">
        <w:t xml:space="preserve"> for details</w:t>
      </w:r>
      <w:r w:rsidR="00756447">
        <w:t>)</w:t>
      </w:r>
      <w:r w:rsidRPr="004E28BB">
        <w:t>.</w:t>
      </w:r>
    </w:p>
    <w:p w:rsidR="00720DDE" w:rsidRPr="004E28BB" w:rsidRDefault="000408B7" w:rsidP="00BE4358">
      <w:pPr>
        <w:pStyle w:val="ListNumber2"/>
      </w:pPr>
      <w:bookmarkStart w:id="322" w:name="_Toc394643310"/>
      <w:r w:rsidRPr="004E28BB">
        <w:rPr>
          <w:rStyle w:val="Guide2-123Char"/>
        </w:rPr>
        <w:t>Hyperbaric Oxygen</w:t>
      </w:r>
      <w:bookmarkEnd w:id="322"/>
      <w:r w:rsidR="002E177A">
        <w:t>:</w:t>
      </w:r>
      <w:r w:rsidRPr="004E28BB">
        <w:t xml:space="preserve"> Despite evidence of limited physiological changes with hyperbaric oxygen, there is </w:t>
      </w:r>
      <w:r w:rsidR="00983A6D">
        <w:t xml:space="preserve">insufficient </w:t>
      </w:r>
      <w:r w:rsidRPr="004E28BB">
        <w:t>evidence to suggest that hyperbaric oxygen would functionally benefit stroke or TBI patients</w:t>
      </w:r>
      <w:r w:rsidRPr="004E28BB">
        <w:rPr>
          <w:rStyle w:val="GuideCitesCharChar"/>
        </w:rPr>
        <w:t xml:space="preserve"> (</w:t>
      </w:r>
      <w:r w:rsidR="00983A6D">
        <w:rPr>
          <w:rStyle w:val="GuideCitesCharChar"/>
        </w:rPr>
        <w:t>[</w:t>
      </w:r>
      <w:hyperlink w:anchor="Bennett2004" w:history="1">
        <w:r w:rsidRPr="0003337E">
          <w:rPr>
            <w:rStyle w:val="Hyperlink"/>
            <w:rFonts w:cs="Arial"/>
            <w:highlight w:val="yellow"/>
          </w:rPr>
          <w:t>Cochrane</w:t>
        </w:r>
        <w:r w:rsidR="00983A6D" w:rsidRPr="0003337E">
          <w:rPr>
            <w:rStyle w:val="Hyperlink"/>
            <w:rFonts w:cs="Arial"/>
            <w:highlight w:val="yellow"/>
          </w:rPr>
          <w:t>]</w:t>
        </w:r>
        <w:r w:rsidRPr="0003337E">
          <w:rPr>
            <w:rStyle w:val="Hyperlink"/>
            <w:rFonts w:cs="Arial"/>
            <w:highlight w:val="yellow"/>
          </w:rPr>
          <w:t xml:space="preserve"> Bennett</w:t>
        </w:r>
        <w:r w:rsidR="00983A6D" w:rsidRPr="0003337E">
          <w:rPr>
            <w:rStyle w:val="Hyperlink"/>
            <w:rFonts w:cs="Arial"/>
            <w:highlight w:val="yellow"/>
          </w:rPr>
          <w:t>, 2004</w:t>
        </w:r>
      </w:hyperlink>
      <w:r w:rsidR="00983A6D" w:rsidRPr="00295458">
        <w:rPr>
          <w:rStyle w:val="GuideCitesCharChar"/>
          <w:highlight w:val="yellow"/>
        </w:rPr>
        <w:t xml:space="preserve">; </w:t>
      </w:r>
      <w:hyperlink w:anchor="Bennett2005" w:history="1">
        <w:r w:rsidR="00983A6D" w:rsidRPr="0003337E">
          <w:rPr>
            <w:rStyle w:val="Hyperlink"/>
            <w:rFonts w:cs="Arial"/>
            <w:highlight w:val="yellow"/>
          </w:rPr>
          <w:t>[Cochrane] Bennett, 2005</w:t>
        </w:r>
      </w:hyperlink>
      <w:r w:rsidR="00983A6D" w:rsidRPr="00295458">
        <w:rPr>
          <w:rStyle w:val="GuideCitesCharChar"/>
          <w:highlight w:val="yellow"/>
        </w:rPr>
        <w:t>;</w:t>
      </w:r>
      <w:r w:rsidRPr="00295458">
        <w:rPr>
          <w:rStyle w:val="GuideCitesCharChar"/>
          <w:highlight w:val="yellow"/>
        </w:rPr>
        <w:t xml:space="preserve"> </w:t>
      </w:r>
      <w:hyperlink w:anchor="Rockswald2010" w:history="1">
        <w:r w:rsidRPr="0003337E">
          <w:rPr>
            <w:rStyle w:val="Hyperlink"/>
            <w:rFonts w:cs="Arial"/>
            <w:highlight w:val="yellow"/>
          </w:rPr>
          <w:t>Rockswold</w:t>
        </w:r>
        <w:r w:rsidR="00983A6D" w:rsidRPr="0003337E">
          <w:rPr>
            <w:rStyle w:val="Hyperlink"/>
            <w:rFonts w:cs="Arial"/>
            <w:highlight w:val="yellow"/>
          </w:rPr>
          <w:t>,</w:t>
        </w:r>
        <w:r w:rsidRPr="0003337E">
          <w:rPr>
            <w:rStyle w:val="Hyperlink"/>
            <w:rFonts w:cs="Arial"/>
            <w:highlight w:val="yellow"/>
          </w:rPr>
          <w:t xml:space="preserve"> 20</w:t>
        </w:r>
        <w:r w:rsidR="00983A6D" w:rsidRPr="0003337E">
          <w:rPr>
            <w:rStyle w:val="Hyperlink"/>
            <w:rFonts w:cs="Arial"/>
            <w:highlight w:val="yellow"/>
          </w:rPr>
          <w:t>10</w:t>
        </w:r>
      </w:hyperlink>
      <w:r w:rsidRPr="004E28BB">
        <w:rPr>
          <w:rStyle w:val="GuideCitesCharChar"/>
        </w:rPr>
        <w:t>)</w:t>
      </w:r>
      <w:r w:rsidR="00B30BDE" w:rsidRPr="004E28BB">
        <w:t>.</w:t>
      </w:r>
      <w:r w:rsidRPr="004E28BB">
        <w:t xml:space="preserve"> Complications can occur</w:t>
      </w:r>
      <w:r w:rsidR="002E177A">
        <w:t>,</w:t>
      </w:r>
      <w:r w:rsidRPr="004E28BB">
        <w:t xml:space="preserve"> including tension pneumothrorax</w:t>
      </w:r>
      <w:r w:rsidRPr="004E28BB">
        <w:rPr>
          <w:rStyle w:val="GuideCitesCharChar"/>
        </w:rPr>
        <w:t xml:space="preserve"> </w:t>
      </w:r>
      <w:r w:rsidRPr="004E28BB">
        <w:rPr>
          <w:rStyle w:val="GuideCitesCharChar"/>
        </w:rPr>
        <w:lastRenderedPageBreak/>
        <w:t>(Lee, 2012)</w:t>
      </w:r>
      <w:r w:rsidR="00B30BDE" w:rsidRPr="004E28BB">
        <w:t>.</w:t>
      </w:r>
      <w:r w:rsidRPr="004E28BB">
        <w:t xml:space="preserve"> </w:t>
      </w:r>
      <w:r w:rsidR="002E177A">
        <w:t>Hyperbaric oxygen</w:t>
      </w:r>
      <w:r w:rsidRPr="004E28BB">
        <w:t xml:space="preserve"> is not recommended acutely or chronically. Ongoing studies could </w:t>
      </w:r>
      <w:r w:rsidR="002E177A">
        <w:t>a</w:t>
      </w:r>
      <w:r w:rsidRPr="004E28BB">
        <w:t xml:space="preserve">ffect this recommendation. </w:t>
      </w:r>
    </w:p>
    <w:p w:rsidR="000408B7" w:rsidRPr="004E28BB" w:rsidRDefault="00720DDE" w:rsidP="008D11CB">
      <w:pPr>
        <w:pStyle w:val="Guide1-ABC"/>
      </w:pPr>
      <w:r w:rsidRPr="004E28BB">
        <w:br w:type="page"/>
      </w:r>
      <w:bookmarkStart w:id="323" w:name="TBIGTherapeuticProceduresNonOp"/>
      <w:bookmarkStart w:id="324" w:name="_Toc394643311"/>
      <w:bookmarkEnd w:id="323"/>
      <w:r w:rsidR="008D11CB" w:rsidRPr="004E28BB">
        <w:lastRenderedPageBreak/>
        <w:t>NONOPERATIVE THERAPEUTIC PROCEDURES – INITIAL TREATMENT CONSIDERATIONS</w:t>
      </w:r>
      <w:bookmarkEnd w:id="324"/>
    </w:p>
    <w:p w:rsidR="000408B7" w:rsidRPr="004E28BB" w:rsidRDefault="000408B7" w:rsidP="00D41D04">
      <w:pPr>
        <w:ind w:left="720"/>
      </w:pPr>
      <w:r w:rsidRPr="004E28BB">
        <w:t>Due to the complex nature of the brain, individuals with TBI require coordinated interdisciplinary treatment. Usually</w:t>
      </w:r>
      <w:r w:rsidR="000E023E">
        <w:t>,</w:t>
      </w:r>
      <w:r w:rsidRPr="004E28BB">
        <w:t xml:space="preserve"> the impairment(s) and functional limitations are appropriately treated by more than one therapeutic discipline. Treatment should emphasize functional, outcome-oriented</w:t>
      </w:r>
      <w:r w:rsidR="000E023E">
        <w:t>,</w:t>
      </w:r>
      <w:r w:rsidRPr="004E28BB">
        <w:t xml:space="preserve"> and community reintegration goals. Treatment session duration and frequency will vary depending on the individual’s tolerance and may evolve over time. The location of treatment sessions may be in a clinical setting</w:t>
      </w:r>
      <w:r w:rsidR="00245723" w:rsidRPr="004E28BB">
        <w:t xml:space="preserve"> initially</w:t>
      </w:r>
      <w:r w:rsidRPr="004E28BB">
        <w:t>, but eventually may be more effective in the home, workplace</w:t>
      </w:r>
      <w:r w:rsidR="000E023E">
        <w:t>,</w:t>
      </w:r>
      <w:r w:rsidRPr="004E28BB">
        <w:t xml:space="preserve"> or community, based on functional goals. Moderate</w:t>
      </w:r>
      <w:r w:rsidR="000E023E">
        <w:t>/s</w:t>
      </w:r>
      <w:r w:rsidRPr="004E28BB">
        <w:t xml:space="preserve">evere </w:t>
      </w:r>
      <w:r w:rsidR="006975EC" w:rsidRPr="004E28BB">
        <w:t>T</w:t>
      </w:r>
      <w:r w:rsidRPr="004E28BB">
        <w:t>BI may result in lifetime deficits</w:t>
      </w:r>
      <w:r w:rsidR="000E023E">
        <w:t>,</w:t>
      </w:r>
      <w:r w:rsidRPr="004E28BB">
        <w:t xml:space="preserve"> </w:t>
      </w:r>
      <w:r w:rsidR="000E023E">
        <w:t>so</w:t>
      </w:r>
      <w:r w:rsidRPr="004E28BB">
        <w:t xml:space="preserve"> a long-term disability management model is appropriate. Frequency and duration of specific, non-acute treatments should be included in every treatment plan and should be re-evaluated </w:t>
      </w:r>
      <w:r w:rsidR="00245723" w:rsidRPr="004E28BB">
        <w:t>approximately</w:t>
      </w:r>
      <w:r w:rsidRPr="004E28BB">
        <w:t xml:space="preserve"> every four weeks (</w:t>
      </w:r>
      <w:r w:rsidR="00756447">
        <w:t>r</w:t>
      </w:r>
      <w:r w:rsidRPr="004E28BB">
        <w:t xml:space="preserve">efer to </w:t>
      </w:r>
      <w:r w:rsidR="00811C8B">
        <w:t>Section</w:t>
      </w:r>
      <w:r w:rsidRPr="004E28BB">
        <w:t xml:space="preserve"> </w:t>
      </w:r>
      <w:hyperlink w:anchor="TBIBGeneralGuidelinePrinciples" w:history="1">
        <w:r w:rsidRPr="004E28BB">
          <w:rPr>
            <w:rStyle w:val="Hyperlink"/>
          </w:rPr>
          <w:t>B. General Guideline Principles</w:t>
        </w:r>
      </w:hyperlink>
      <w:r w:rsidRPr="004E28BB">
        <w:t>). Experienced practitioners should not use all of the therapies and modalities listed in th</w:t>
      </w:r>
      <w:r w:rsidR="006433BA">
        <w:t>is</w:t>
      </w:r>
      <w:r w:rsidRPr="004E28BB">
        <w:t xml:space="preserve"> guideline. Periodic modification or consultation may be necessary throughout an individual’s lifetime following TBI. Therapy for specific impairments and functional limitations may be reinitiated for goal</w:t>
      </w:r>
      <w:r w:rsidR="007843ED">
        <w:t>-</w:t>
      </w:r>
      <w:r w:rsidRPr="004E28BB">
        <w:t xml:space="preserve">specific, </w:t>
      </w:r>
      <w:r w:rsidR="00B05FF1">
        <w:t>time-limited</w:t>
      </w:r>
      <w:r w:rsidRPr="004E28BB">
        <w:t xml:space="preserve"> treatment as new goals are identified and developed. Treatment should be based on medical diagnosis and associated impairment, cognitive ability, clinical evaluations, anticipated functional gains</w:t>
      </w:r>
      <w:r w:rsidR="000E023E">
        <w:t>,</w:t>
      </w:r>
      <w:r w:rsidRPr="004E28BB">
        <w:t xml:space="preserve"> and progress demonstrated by documented functional outcomes. </w:t>
      </w:r>
      <w:bookmarkStart w:id="325" w:name="_Toc315099905"/>
      <w:bookmarkStart w:id="326" w:name="_Toc319922538"/>
    </w:p>
    <w:p w:rsidR="000408B7" w:rsidRPr="004E28BB" w:rsidRDefault="000408B7" w:rsidP="009C3DC2">
      <w:pPr>
        <w:pStyle w:val="ListNumber2"/>
        <w:numPr>
          <w:ilvl w:val="1"/>
          <w:numId w:val="23"/>
        </w:numPr>
      </w:pPr>
      <w:bookmarkStart w:id="327" w:name="TBIG1PatientFamilySupport"/>
      <w:bookmarkStart w:id="328" w:name="_Toc394643312"/>
      <w:bookmarkEnd w:id="327"/>
      <w:r w:rsidRPr="004E28BB">
        <w:rPr>
          <w:rStyle w:val="Guide2-123Char"/>
        </w:rPr>
        <w:t>PATIENT/FAMILY/SUPPORT SYSTEM EDUCATION</w:t>
      </w:r>
      <w:bookmarkEnd w:id="325"/>
      <w:bookmarkEnd w:id="326"/>
      <w:bookmarkEnd w:id="328"/>
      <w:r w:rsidR="007C4FC3" w:rsidRPr="004E28BB">
        <w:t>:</w:t>
      </w:r>
      <w:r w:rsidR="006054C0" w:rsidRPr="004E28BB">
        <w:t xml:space="preserve"> </w:t>
      </w:r>
      <w:r w:rsidR="000E023E">
        <w:t>E</w:t>
      </w:r>
      <w:r w:rsidRPr="004E28BB">
        <w:t>ducation for individuals with TBI and their family</w:t>
      </w:r>
      <w:r w:rsidR="00387A03">
        <w:t xml:space="preserve"> and</w:t>
      </w:r>
      <w:r w:rsidRPr="004E28BB">
        <w:t>/</w:t>
      </w:r>
      <w:r w:rsidR="00387A03">
        <w:t xml:space="preserve">or </w:t>
      </w:r>
      <w:r w:rsidRPr="004E28BB">
        <w:t xml:space="preserve">support system is appropriate, generally accepted, and widely used in </w:t>
      </w:r>
      <w:r w:rsidR="0056633D">
        <w:t>TBI</w:t>
      </w:r>
      <w:r w:rsidRPr="004E28BB">
        <w:t xml:space="preserve"> rehabilitation</w:t>
      </w:r>
      <w:r w:rsidRPr="00773307">
        <w:rPr>
          <w:rStyle w:val="GuideCitesCharChar"/>
        </w:rPr>
        <w:t xml:space="preserve"> (</w:t>
      </w:r>
      <w:hyperlink w:anchor="VetsDOD2009" w:history="1">
        <w:r w:rsidRPr="00497913">
          <w:rPr>
            <w:rStyle w:val="Hyperlink"/>
            <w:rFonts w:cs="Arial"/>
            <w:highlight w:val="yellow"/>
          </w:rPr>
          <w:t>Veterans Affairs, Department of Defense [VADo</w:t>
        </w:r>
        <w:r w:rsidR="004A6BFF" w:rsidRPr="00497913">
          <w:rPr>
            <w:rStyle w:val="Hyperlink"/>
            <w:rFonts w:cs="Arial"/>
            <w:highlight w:val="yellow"/>
          </w:rPr>
          <w:t>D</w:t>
        </w:r>
        <w:r w:rsidRPr="00497913">
          <w:rPr>
            <w:rStyle w:val="Hyperlink"/>
            <w:rFonts w:cs="Arial"/>
            <w:highlight w:val="yellow"/>
          </w:rPr>
          <w:t>], 2009</w:t>
        </w:r>
      </w:hyperlink>
      <w:r w:rsidRPr="00773307">
        <w:rPr>
          <w:rStyle w:val="GuideCitesCharChar"/>
        </w:rPr>
        <w:t>)</w:t>
      </w:r>
      <w:r w:rsidR="00B30BDE" w:rsidRPr="004E28BB">
        <w:rPr>
          <w:rStyle w:val="ListNumber3Char1"/>
        </w:rPr>
        <w:t>.</w:t>
      </w:r>
    </w:p>
    <w:p w:rsidR="000408B7" w:rsidRPr="004E28BB" w:rsidRDefault="000408B7" w:rsidP="00D41D04">
      <w:pPr>
        <w:pStyle w:val="ListNumber3"/>
        <w:rPr>
          <w:b/>
          <w:bCs/>
        </w:rPr>
      </w:pPr>
      <w:bookmarkStart w:id="329" w:name="_Toc315960223"/>
      <w:bookmarkStart w:id="330" w:name="TBIG2aMTBI"/>
      <w:bookmarkStart w:id="331" w:name="_Toc315160867"/>
      <w:bookmarkStart w:id="332" w:name="_Toc315099906"/>
      <w:bookmarkStart w:id="333" w:name="_Toc319922539"/>
      <w:bookmarkStart w:id="334" w:name="_Toc394643313"/>
      <w:bookmarkEnd w:id="329"/>
      <w:bookmarkEnd w:id="330"/>
      <w:bookmarkEnd w:id="331"/>
      <w:r w:rsidRPr="004E28BB">
        <w:rPr>
          <w:rStyle w:val="Guide3-abcdChar"/>
        </w:rPr>
        <w:t>MTBI</w:t>
      </w:r>
      <w:bookmarkEnd w:id="332"/>
      <w:bookmarkEnd w:id="334"/>
      <w:r w:rsidR="007C4FC3" w:rsidRPr="004E28BB">
        <w:t>:</w:t>
      </w:r>
      <w:r w:rsidR="007C4FC3">
        <w:t xml:space="preserve"> </w:t>
      </w:r>
      <w:bookmarkEnd w:id="333"/>
      <w:r w:rsidRPr="004E28BB">
        <w:t>Most cases will progress to recovery with sufficient education and not require interdisciplinary treatment</w:t>
      </w:r>
      <w:r w:rsidRPr="004E28BB">
        <w:rPr>
          <w:rStyle w:val="GuideCitesCharChar"/>
        </w:rPr>
        <w:t xml:space="preserve"> (</w:t>
      </w:r>
      <w:hyperlink w:anchor="Zafonte2006" w:history="1">
        <w:r w:rsidRPr="00497913">
          <w:rPr>
            <w:rStyle w:val="Hyperlink"/>
            <w:rFonts w:cs="Arial"/>
            <w:highlight w:val="yellow"/>
          </w:rPr>
          <w:t>Zafonte, 2006</w:t>
        </w:r>
      </w:hyperlink>
      <w:r w:rsidRPr="004E28BB">
        <w:rPr>
          <w:rStyle w:val="GuideCitesCharChar"/>
        </w:rPr>
        <w:t>)</w:t>
      </w:r>
      <w:r w:rsidR="00B30BDE" w:rsidRPr="004E28BB">
        <w:t>.</w:t>
      </w:r>
    </w:p>
    <w:p w:rsidR="000408B7" w:rsidRPr="004E28BB" w:rsidRDefault="000408B7" w:rsidP="00D41D04">
      <w:pPr>
        <w:ind w:left="2880" w:hanging="360"/>
      </w:pPr>
      <w:r w:rsidRPr="004E28BB">
        <w:sym w:font="Wingdings" w:char="F076"/>
      </w:r>
      <w:r w:rsidRPr="004E28BB">
        <w:tab/>
        <w:t xml:space="preserve">Frequency: </w:t>
      </w:r>
      <w:r w:rsidR="000E023E">
        <w:t>Weekly o</w:t>
      </w:r>
      <w:r w:rsidRPr="004E28BB">
        <w:t>ne-hour sessions initially during the first month as part of the primary treatment and return</w:t>
      </w:r>
      <w:r w:rsidR="000E023E">
        <w:t>-</w:t>
      </w:r>
      <w:r w:rsidRPr="004E28BB">
        <w:t>to</w:t>
      </w:r>
      <w:r w:rsidR="000E023E">
        <w:t>-</w:t>
      </w:r>
      <w:r w:rsidRPr="004E28BB">
        <w:t xml:space="preserve">work evaluations. Once </w:t>
      </w:r>
      <w:r w:rsidR="000E023E">
        <w:t xml:space="preserve">the </w:t>
      </w:r>
      <w:r w:rsidRPr="004E28BB">
        <w:t>patient has returned to normal function without impairing symptoms, visit frequency should decrease or treatment should be terminated.</w:t>
      </w:r>
    </w:p>
    <w:p w:rsidR="000408B7" w:rsidRPr="004E28BB" w:rsidRDefault="000408B7" w:rsidP="00D41D04">
      <w:pPr>
        <w:ind w:left="2880" w:hanging="360"/>
      </w:pPr>
      <w:r w:rsidRPr="004E28BB">
        <w:sym w:font="Wingdings" w:char="F076"/>
      </w:r>
      <w:r w:rsidRPr="004E28BB">
        <w:tab/>
        <w:t xml:space="preserve">Optimum </w:t>
      </w:r>
      <w:r w:rsidR="007C4FC3">
        <w:t>D</w:t>
      </w:r>
      <w:r w:rsidRPr="004E28BB">
        <w:t>uration: 1 to 3 months</w:t>
      </w:r>
      <w:r w:rsidR="007C4FC3">
        <w:t>.</w:t>
      </w:r>
    </w:p>
    <w:p w:rsidR="000408B7" w:rsidRPr="004E28BB" w:rsidRDefault="000408B7" w:rsidP="00D41D04">
      <w:pPr>
        <w:ind w:left="2880" w:hanging="360"/>
      </w:pPr>
      <w:r w:rsidRPr="004E28BB">
        <w:sym w:font="Wingdings" w:char="F076"/>
      </w:r>
      <w:r w:rsidRPr="004E28BB">
        <w:tab/>
        <w:t>Additional sessions may be required as justified</w:t>
      </w:r>
      <w:r w:rsidR="007C4FC3">
        <w:t>.</w:t>
      </w:r>
    </w:p>
    <w:p w:rsidR="000408B7" w:rsidRPr="004E28BB" w:rsidRDefault="000408B7" w:rsidP="00D41D04">
      <w:pPr>
        <w:pStyle w:val="ListNumber3"/>
      </w:pPr>
      <w:bookmarkStart w:id="335" w:name="_Toc319922540"/>
      <w:bookmarkStart w:id="336" w:name="_Toc394643314"/>
      <w:r w:rsidRPr="004E28BB">
        <w:rPr>
          <w:rStyle w:val="Guide3-abcdChar"/>
        </w:rPr>
        <w:t xml:space="preserve">Moderate/Severe </w:t>
      </w:r>
      <w:bookmarkEnd w:id="335"/>
      <w:r w:rsidR="000E023E">
        <w:rPr>
          <w:rStyle w:val="Guide3-abcdChar"/>
        </w:rPr>
        <w:t>TBI</w:t>
      </w:r>
      <w:bookmarkEnd w:id="336"/>
      <w:r w:rsidRPr="004E28BB">
        <w:t>: Formal treatment team conferences involving the individual with TBI, family</w:t>
      </w:r>
      <w:r w:rsidR="00387A03">
        <w:t xml:space="preserve"> and</w:t>
      </w:r>
      <w:r w:rsidRPr="004E28BB">
        <w:t>/</w:t>
      </w:r>
      <w:r w:rsidR="00387A03">
        <w:t xml:space="preserve">or </w:t>
      </w:r>
      <w:r w:rsidRPr="004E28BB">
        <w:t xml:space="preserve">support </w:t>
      </w:r>
      <w:r w:rsidR="00387A03">
        <w:t xml:space="preserve">system </w:t>
      </w:r>
      <w:r w:rsidRPr="004E28BB">
        <w:t>individuals and case managers, including insurance case manager, should be held regularly during the inpatient</w:t>
      </w:r>
      <w:r w:rsidR="00BE4358" w:rsidRPr="004E28BB">
        <w:t>, residential, neurobehavioral</w:t>
      </w:r>
      <w:r w:rsidR="000E023E">
        <w:t>,</w:t>
      </w:r>
      <w:r w:rsidRPr="004E28BB">
        <w:t xml:space="preserve"> and outpatient phases of rehabilitation and periodically during the home and community-based phases of community reintegration. Education may include, but may not be limited to, brain-behavior relationships, health issues related to TBI a</w:t>
      </w:r>
      <w:r w:rsidR="00EC02AC" w:rsidRPr="004E28BB">
        <w:t>nd co</w:t>
      </w:r>
      <w:r w:rsidR="00B12D8D">
        <w:t>-</w:t>
      </w:r>
      <w:r w:rsidR="00EC02AC" w:rsidRPr="004E28BB">
        <w:t>morbid illnesses or injury</w:t>
      </w:r>
      <w:r w:rsidRPr="004E28BB">
        <w:t xml:space="preserve">, </w:t>
      </w:r>
      <w:r w:rsidR="00387A03">
        <w:t>family and/or support system</w:t>
      </w:r>
      <w:r w:rsidRPr="004E28BB">
        <w:t xml:space="preserve"> interventions, emotional adjustments</w:t>
      </w:r>
      <w:r w:rsidR="000E023E">
        <w:t>,</w:t>
      </w:r>
      <w:r w:rsidRPr="004E28BB">
        <w:t xml:space="preserve"> and </w:t>
      </w:r>
      <w:r w:rsidR="00387A03">
        <w:t>family and/or support system</w:t>
      </w:r>
      <w:r w:rsidRPr="004E28BB">
        <w:t xml:space="preserve"> roles changes. Families</w:t>
      </w:r>
      <w:r w:rsidR="000E023E">
        <w:t xml:space="preserve"> and/or support systems</w:t>
      </w:r>
      <w:r w:rsidRPr="004E28BB">
        <w:t xml:space="preserve"> and individuals</w:t>
      </w:r>
      <w:r w:rsidR="000E023E">
        <w:t xml:space="preserve"> with TBI</w:t>
      </w:r>
      <w:r w:rsidRPr="004E28BB">
        <w:t xml:space="preserve"> require education, support, and caregiver training as part of the long-term maintenance plan. Education for the individual and family</w:t>
      </w:r>
      <w:r w:rsidR="00387A03">
        <w:t xml:space="preserve"> and</w:t>
      </w:r>
      <w:r w:rsidRPr="004E28BB">
        <w:t>/</w:t>
      </w:r>
      <w:r w:rsidR="00387A03">
        <w:t xml:space="preserve">or </w:t>
      </w:r>
      <w:r w:rsidRPr="004E28BB">
        <w:t xml:space="preserve">support system is typically provided by </w:t>
      </w:r>
      <w:r w:rsidR="00BE4358" w:rsidRPr="004E28BB">
        <w:t xml:space="preserve">case managers, </w:t>
      </w:r>
      <w:r w:rsidRPr="004E28BB">
        <w:t>social workers, rehabilitation counselors, family counselors, licensed mental health professionals</w:t>
      </w:r>
      <w:r w:rsidR="000E023E">
        <w:t>,</w:t>
      </w:r>
      <w:r w:rsidRPr="004E28BB">
        <w:t xml:space="preserve"> and/or nurses.</w:t>
      </w:r>
    </w:p>
    <w:p w:rsidR="000408B7" w:rsidRPr="004E28BB" w:rsidRDefault="000408B7" w:rsidP="00D41D04">
      <w:pPr>
        <w:ind w:left="2880" w:hanging="360"/>
      </w:pPr>
      <w:r w:rsidRPr="004E28BB">
        <w:sym w:font="Wingdings" w:char="F076"/>
      </w:r>
      <w:r w:rsidRPr="004E28BB">
        <w:tab/>
        <w:t>Frequency and Duration: May require daily one-hour sessions for the first month</w:t>
      </w:r>
      <w:r w:rsidR="007C4FC3">
        <w:t>.</w:t>
      </w:r>
    </w:p>
    <w:p w:rsidR="000408B7" w:rsidRPr="004E28BB" w:rsidRDefault="000408B7" w:rsidP="00D41D04">
      <w:pPr>
        <w:ind w:left="3600" w:hanging="360"/>
      </w:pPr>
      <w:r w:rsidRPr="004E28BB">
        <w:lastRenderedPageBreak/>
        <w:t>●</w:t>
      </w:r>
      <w:r w:rsidRPr="004E28BB">
        <w:tab/>
        <w:t>Up to twice weekly for 2 to 3 months</w:t>
      </w:r>
      <w:r w:rsidR="007C4FC3">
        <w:t>.</w:t>
      </w:r>
    </w:p>
    <w:p w:rsidR="000408B7" w:rsidRPr="004E28BB" w:rsidRDefault="000408B7" w:rsidP="00D41D04">
      <w:pPr>
        <w:ind w:left="3600" w:hanging="360"/>
      </w:pPr>
      <w:r w:rsidRPr="004E28BB">
        <w:t>●</w:t>
      </w:r>
      <w:r w:rsidRPr="004E28BB">
        <w:tab/>
        <w:t>Up to twice monthly for 6 months</w:t>
      </w:r>
      <w:r w:rsidR="007C4FC3">
        <w:t>.</w:t>
      </w:r>
    </w:p>
    <w:p w:rsidR="000408B7" w:rsidRPr="004E28BB" w:rsidRDefault="000408B7" w:rsidP="00D41D04">
      <w:pPr>
        <w:ind w:left="3600" w:hanging="360"/>
      </w:pPr>
      <w:r w:rsidRPr="004E28BB">
        <w:t>●</w:t>
      </w:r>
      <w:r w:rsidRPr="004E28BB">
        <w:tab/>
        <w:t>Monthly for an additional 6 months</w:t>
      </w:r>
      <w:r w:rsidR="007C4FC3">
        <w:t>.</w:t>
      </w:r>
    </w:p>
    <w:p w:rsidR="000408B7" w:rsidRPr="004E28BB" w:rsidRDefault="000408B7" w:rsidP="00D41D04">
      <w:pPr>
        <w:ind w:left="2880" w:hanging="360"/>
      </w:pPr>
      <w:r w:rsidRPr="004E28BB">
        <w:sym w:font="Wingdings" w:char="F076"/>
      </w:r>
      <w:r w:rsidRPr="004E28BB">
        <w:tab/>
        <w:t>Additional sessions may be required as justified</w:t>
      </w:r>
      <w:r w:rsidR="007C4FC3">
        <w:t>.</w:t>
      </w:r>
    </w:p>
    <w:p w:rsidR="000408B7" w:rsidRPr="004E28BB" w:rsidRDefault="000408B7" w:rsidP="00D41D04">
      <w:pPr>
        <w:pStyle w:val="ListNumber2"/>
      </w:pPr>
      <w:bookmarkStart w:id="337" w:name="_Toc319922541"/>
      <w:bookmarkStart w:id="338" w:name="_Toc394643315"/>
      <w:r w:rsidRPr="004E28BB">
        <w:rPr>
          <w:rStyle w:val="Guide2-123Char"/>
        </w:rPr>
        <w:t>BEHAVIOR</w:t>
      </w:r>
      <w:bookmarkEnd w:id="337"/>
      <w:bookmarkEnd w:id="338"/>
      <w:r w:rsidR="007C4FC3" w:rsidRPr="004E28BB">
        <w:t>:</w:t>
      </w:r>
      <w:r w:rsidRPr="004E28BB">
        <w:t xml:space="preserve"> Moderate</w:t>
      </w:r>
      <w:r w:rsidR="000E023E">
        <w:t>/</w:t>
      </w:r>
      <w:r w:rsidRPr="004E28BB">
        <w:t xml:space="preserve">Severe </w:t>
      </w:r>
      <w:r w:rsidR="00EC02AC" w:rsidRPr="004E28BB">
        <w:t>TBI</w:t>
      </w:r>
      <w:r w:rsidR="007C4FC3">
        <w:t xml:space="preserve"> – </w:t>
      </w:r>
      <w:r w:rsidRPr="004E28BB">
        <w:t>The neuropathological deficits occurring in TBI often result in behavioral changes and deficits in the skills needed to:</w:t>
      </w:r>
      <w:r w:rsidRPr="004E28BB">
        <w:rPr>
          <w:color w:val="000000"/>
        </w:rPr>
        <w:t xml:space="preserve"> (1) monitor and control one’s behavior; (2) interpret the behavior of others; and (3) respond effectively to social situations.</w:t>
      </w:r>
      <w:r w:rsidR="006054C0" w:rsidRPr="004E28BB">
        <w:rPr>
          <w:color w:val="000000"/>
        </w:rPr>
        <w:t xml:space="preserve"> </w:t>
      </w:r>
      <w:r w:rsidRPr="004E28BB">
        <w:rPr>
          <w:color w:val="000000"/>
        </w:rPr>
        <w:t xml:space="preserve">Functional limitations and behavioral disabilities include: deficits regarding functional skills, </w:t>
      </w:r>
      <w:r w:rsidRPr="004E28BB">
        <w:t>insight judgment, self-monitoring</w:t>
      </w:r>
      <w:r w:rsidR="000E023E">
        <w:t>,</w:t>
      </w:r>
      <w:r w:rsidRPr="004E28BB">
        <w:t xml:space="preserve"> and behavioral and emotional regulation. These deficits</w:t>
      </w:r>
      <w:r w:rsidR="006054C0" w:rsidRPr="004E28BB">
        <w:t xml:space="preserve"> </w:t>
      </w:r>
      <w:r w:rsidRPr="004E28BB">
        <w:t>may be compounded by secondary emotional reactions such as depression or anxiety. Behavioral t</w:t>
      </w:r>
      <w:r w:rsidR="00983A6D">
        <w:t>herapy</w:t>
      </w:r>
      <w:r w:rsidRPr="004E28BB">
        <w:t xml:space="preserve"> is a well</w:t>
      </w:r>
      <w:r w:rsidR="00B05FF1">
        <w:t>-</w:t>
      </w:r>
      <w:r w:rsidRPr="004E28BB">
        <w:t>accepted and widely used therapy for TBI;</w:t>
      </w:r>
      <w:r w:rsidR="006054C0" w:rsidRPr="004E28BB">
        <w:t xml:space="preserve"> </w:t>
      </w:r>
      <w:r w:rsidRPr="004E28BB">
        <w:t xml:space="preserve">it acknowledges that behavioral problems are always multi-factorial and therefore </w:t>
      </w:r>
      <w:r w:rsidR="00CE22B1" w:rsidRPr="004E28BB">
        <w:t>should</w:t>
      </w:r>
      <w:r w:rsidRPr="004E28BB">
        <w:t xml:space="preserve"> consider medical, neurosurgical, neurological, psychiatric, environmental, and psychosocial issues. Behaviorally</w:t>
      </w:r>
      <w:r w:rsidR="007843ED">
        <w:t>-</w:t>
      </w:r>
      <w:r w:rsidRPr="004E28BB">
        <w:t xml:space="preserve">based therapies rely on an interdisciplinary treatment team approach and are frequently implemented in conjunction with cognitive and/or other psychological treatment. A behavioral therapy plan should be approved and monitored by a neuropsychologist, psychologist, behavior analyst, or physician familiar with TBI. </w:t>
      </w:r>
      <w:r w:rsidR="00EC02AC" w:rsidRPr="004E28BB">
        <w:br/>
      </w:r>
      <w:r w:rsidRPr="004E28BB">
        <w:br/>
        <w:t>Post-traumatic</w:t>
      </w:r>
      <w:r w:rsidR="006054C0" w:rsidRPr="004E28BB">
        <w:t xml:space="preserve"> </w:t>
      </w:r>
      <w:r w:rsidRPr="004E28BB">
        <w:rPr>
          <w:color w:val="000000"/>
        </w:rPr>
        <w:t>neuropathologically-based</w:t>
      </w:r>
      <w:r w:rsidRPr="004E28BB">
        <w:t xml:space="preserve"> behavioral problems may be exacerbated by</w:t>
      </w:r>
      <w:r w:rsidR="006054C0" w:rsidRPr="004E28BB">
        <w:t xml:space="preserve"> </w:t>
      </w:r>
      <w:r w:rsidRPr="004E28BB">
        <w:t>co-morbidities such as personal history, personality or family</w:t>
      </w:r>
      <w:r w:rsidR="005C7D65">
        <w:t xml:space="preserve"> and/or support system</w:t>
      </w:r>
      <w:r w:rsidRPr="004E28BB">
        <w:t xml:space="preserve"> issues,</w:t>
      </w:r>
      <w:r w:rsidR="006054C0" w:rsidRPr="004E28BB">
        <w:t xml:space="preserve"> </w:t>
      </w:r>
      <w:r w:rsidRPr="004E28BB">
        <w:t>psychiatric illnesses, cognitive impairment, medication side effects</w:t>
      </w:r>
      <w:r w:rsidR="00911838">
        <w:t>,</w:t>
      </w:r>
      <w:r w:rsidRPr="004E28BB">
        <w:t xml:space="preserve"> and substance abuse. Successful resolution of behavioral problems will usually require treatment of these associated co</w:t>
      </w:r>
      <w:r w:rsidR="00B12D8D">
        <w:t>-</w:t>
      </w:r>
      <w:r w:rsidRPr="004E28BB">
        <w:t xml:space="preserve">morbidities. Behavioral problems are also influenced by developmental issues. Treatment requires appropriate consideration of developmental and life stage issues (i.e., adolescent, elderly). Treatment may require specialized treatment settings with professionals experienced in the management of these populations. </w:t>
      </w:r>
      <w:r w:rsidRPr="004E28BB">
        <w:rPr>
          <w:color w:val="000000"/>
        </w:rPr>
        <w:t>Depending on the severity of the behavior problem,</w:t>
      </w:r>
      <w:r w:rsidR="006054C0" w:rsidRPr="004E28BB">
        <w:rPr>
          <w:color w:val="000000"/>
        </w:rPr>
        <w:t xml:space="preserve"> </w:t>
      </w:r>
      <w:r w:rsidRPr="004E28BB">
        <w:t>treatment may</w:t>
      </w:r>
      <w:r w:rsidR="006054C0" w:rsidRPr="004E28BB">
        <w:t xml:space="preserve"> </w:t>
      </w:r>
      <w:r w:rsidRPr="004E28BB">
        <w:t xml:space="preserve">require focused applied behavioral analysis available only in a specialized rehabilitation or psychiatric setting. </w:t>
      </w:r>
      <w:r w:rsidRPr="004E28BB">
        <w:rPr>
          <w:color w:val="000000"/>
        </w:rPr>
        <w:t>In less severe situations, applied behavior analysis can be provided in outpatient and community settings.</w:t>
      </w:r>
      <w:r w:rsidRPr="004E28BB">
        <w:t xml:space="preserve"> Behavioral analysis and treatment involves:</w:t>
      </w:r>
    </w:p>
    <w:p w:rsidR="000408B7" w:rsidRPr="004E28BB" w:rsidRDefault="000408B7" w:rsidP="00D41D04">
      <w:pPr>
        <w:ind w:left="2160" w:hanging="360"/>
      </w:pPr>
      <w:r w:rsidRPr="004E28BB">
        <w:t>●</w:t>
      </w:r>
      <w:r w:rsidRPr="004E28BB">
        <w:tab/>
        <w:t>Identification and prioritization of undesirable or negative target behaviors to be managed or extinguished</w:t>
      </w:r>
      <w:r w:rsidR="00911838">
        <w:t>.</w:t>
      </w:r>
    </w:p>
    <w:p w:rsidR="000408B7" w:rsidRPr="004E28BB" w:rsidRDefault="000408B7" w:rsidP="00D41D04">
      <w:pPr>
        <w:ind w:left="2160" w:hanging="360"/>
      </w:pPr>
      <w:r w:rsidRPr="004E28BB">
        <w:t>●</w:t>
      </w:r>
      <w:r w:rsidRPr="004E28BB">
        <w:tab/>
        <w:t>Identification of behavioral strengths and positive/desirable target behaviors (frequently called alternative, competing, or replacement behaviors) to be encouraged and positively reinforced</w:t>
      </w:r>
      <w:r w:rsidR="00911838">
        <w:t>.</w:t>
      </w:r>
    </w:p>
    <w:p w:rsidR="000408B7" w:rsidRPr="004E28BB" w:rsidRDefault="000408B7" w:rsidP="00D41D04">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360"/>
      </w:pPr>
      <w:r w:rsidRPr="004E28BB">
        <w:t>●</w:t>
      </w:r>
      <w:r w:rsidRPr="004E28BB">
        <w:tab/>
        <w:t xml:space="preserve">Analysis </w:t>
      </w:r>
      <w:r w:rsidRPr="004E28BB">
        <w:rPr>
          <w:color w:val="000000"/>
        </w:rPr>
        <w:t>and modification of environmental variables to reduce antecedents or precursors of maladaptive behaviors (i.e., loud noise, crowds, requests to do non-preferred activities, changes in daily routines)</w:t>
      </w:r>
      <w:r w:rsidR="00911838">
        <w:rPr>
          <w:color w:val="000000"/>
        </w:rPr>
        <w:t>.</w:t>
      </w:r>
      <w:r w:rsidR="00EC02AC" w:rsidRPr="004E28BB">
        <w:rPr>
          <w:color w:val="000000"/>
        </w:rPr>
        <w:t xml:space="preserve"> </w:t>
      </w:r>
      <w:r w:rsidRPr="004E28BB">
        <w:t>Analysis and modification of internal precursors of maladaptive behaviors (i.e.</w:t>
      </w:r>
      <w:r w:rsidR="00911838">
        <w:t>,</w:t>
      </w:r>
      <w:r w:rsidRPr="004E28BB">
        <w:t xml:space="preserve"> pain, sleep-deprivation, anxiety, helplessness,</w:t>
      </w:r>
      <w:r w:rsidR="00EC02AC" w:rsidRPr="004E28BB">
        <w:t xml:space="preserve"> depression, though</w:t>
      </w:r>
      <w:r w:rsidR="00FB1224" w:rsidRPr="004E28BB">
        <w:t>t</w:t>
      </w:r>
      <w:r w:rsidR="00EC02AC" w:rsidRPr="004E28BB">
        <w:t xml:space="preserve"> disturbance</w:t>
      </w:r>
      <w:r w:rsidRPr="004E28BB">
        <w:t>) and environmental issues to reduce antecedents or precipitants of maladaptive behaviors</w:t>
      </w:r>
      <w:r w:rsidR="00911838">
        <w:t>.</w:t>
      </w:r>
    </w:p>
    <w:p w:rsidR="000408B7" w:rsidRPr="004E28BB" w:rsidRDefault="000408B7" w:rsidP="00D41D04">
      <w:pPr>
        <w:ind w:left="2160" w:hanging="360"/>
      </w:pPr>
      <w:r w:rsidRPr="004E28BB">
        <w:rPr>
          <w:color w:val="000000"/>
        </w:rPr>
        <w:t>●</w:t>
      </w:r>
      <w:r w:rsidRPr="004E28BB">
        <w:rPr>
          <w:color w:val="000000"/>
        </w:rPr>
        <w:tab/>
        <w:t>Analysis of the function of maladaptive behavior and developing strategies that replace the need to engage in maladaptive behavior (i.e., teaching and reinforce asking for assistance instead of yelling or aggression)</w:t>
      </w:r>
      <w:r w:rsidR="00911838">
        <w:rPr>
          <w:color w:val="000000"/>
        </w:rPr>
        <w:t>.</w:t>
      </w:r>
    </w:p>
    <w:p w:rsidR="000408B7" w:rsidRPr="004E28BB" w:rsidRDefault="000408B7" w:rsidP="00D41D04">
      <w:pPr>
        <w:ind w:left="2160" w:hanging="360"/>
      </w:pPr>
      <w:r w:rsidRPr="004E28BB">
        <w:t>●</w:t>
      </w:r>
      <w:r w:rsidRPr="004E28BB">
        <w:tab/>
        <w:t>Progressive refinement of the strategies of internal and environmental modifications in response to an analysis of changes in behavior</w:t>
      </w:r>
      <w:r w:rsidR="00911838">
        <w:t>.</w:t>
      </w:r>
    </w:p>
    <w:p w:rsidR="004B0DE0" w:rsidRPr="004E28BB" w:rsidRDefault="004B0DE0" w:rsidP="00D41D04">
      <w:pPr>
        <w:ind w:left="2160" w:hanging="360"/>
      </w:pPr>
      <w:r w:rsidRPr="004E28BB">
        <w:lastRenderedPageBreak/>
        <w:t>●</w:t>
      </w:r>
      <w:r w:rsidRPr="004E28BB">
        <w:tab/>
        <w:t xml:space="preserve">Extensive training and monitoring of treatment plan adherence for all treating staff and </w:t>
      </w:r>
      <w:r w:rsidR="00387A03">
        <w:t>family and/or support system</w:t>
      </w:r>
      <w:r w:rsidRPr="004E28BB">
        <w:t xml:space="preserve"> interacting with the patient during neurobehavioral interventions.</w:t>
      </w:r>
    </w:p>
    <w:p w:rsidR="000408B7" w:rsidRPr="004E28BB" w:rsidRDefault="000408B7" w:rsidP="00D41D04">
      <w:pPr>
        <w:ind w:left="1440"/>
      </w:pPr>
      <w:r w:rsidRPr="004E28BB">
        <w:t xml:space="preserve">Effective behavioral management and treatment requires individualized approaches. The setting of treatment </w:t>
      </w:r>
      <w:r w:rsidR="007A4797" w:rsidRPr="004E28BB">
        <w:t>should</w:t>
      </w:r>
      <w:r w:rsidRPr="004E28BB">
        <w:t xml:space="preserve"> consider individual resources and circumstances. Inpatient and outpatient settings may require one-on-one supervision at critical phases of recovery. Coordination of treatment resources and professionals are essential, as well as training the </w:t>
      </w:r>
      <w:r w:rsidR="00387A03">
        <w:t>family and/or support system</w:t>
      </w:r>
      <w:r w:rsidRPr="004E28BB">
        <w:t xml:space="preserve"> and other caregivers in the behavioral plan, as treatment consistency in all environments is an important variable in the behavioral treatment outcome. Analysis of the environment and personnel during periods of transition between treatment settings is generally essential to minimize the stress of change and to avoid the loss of critical environmental reinforcers </w:t>
      </w:r>
      <w:r w:rsidRPr="004E28BB">
        <w:rPr>
          <w:color w:val="000000"/>
        </w:rPr>
        <w:t>and learned behavior-reinforcer relations</w:t>
      </w:r>
      <w:r w:rsidRPr="004E28BB">
        <w:t>.</w:t>
      </w:r>
      <w:r w:rsidRPr="004E28BB">
        <w:br/>
      </w:r>
      <w:r w:rsidRPr="004E28BB">
        <w:br/>
        <w:t xml:space="preserve">In long-term maintenance programs, treatment may be appropriate on an episodic basis as follows: treatment may be ‘on hold’ for several weeks or months until certain goals are reached or until additional goals emerge. At such times, therapy may be restarted for a </w:t>
      </w:r>
      <w:r w:rsidR="00B05FF1">
        <w:t>time-limited</w:t>
      </w:r>
      <w:r w:rsidRPr="004E28BB">
        <w:t>, goal</w:t>
      </w:r>
      <w:r w:rsidR="007843ED">
        <w:t>-</w:t>
      </w:r>
      <w:r w:rsidRPr="004E28BB">
        <w:t>specific treatment as prescribed and routinely monitored by a neuropsychologist, psychologist, behavior analyst, or physician familiar with TBI. Progress should be re-evaluated and documented every four weeks (</w:t>
      </w:r>
      <w:r w:rsidR="00756447">
        <w:t>r</w:t>
      </w:r>
      <w:r w:rsidRPr="004E28BB">
        <w:t xml:space="preserve">efer to </w:t>
      </w:r>
      <w:r w:rsidR="00811C8B">
        <w:t>Section</w:t>
      </w:r>
      <w:r w:rsidRPr="004E28BB">
        <w:t xml:space="preserve"> </w:t>
      </w:r>
      <w:hyperlink w:anchor="TBIBGeneralGuidelinePrinciples" w:history="1">
        <w:r w:rsidRPr="004E28BB">
          <w:rPr>
            <w:rStyle w:val="Hyperlink"/>
          </w:rPr>
          <w:t>B. General Guideline Principles</w:t>
        </w:r>
      </w:hyperlink>
      <w:r w:rsidRPr="004E28BB">
        <w:t>).</w:t>
      </w:r>
    </w:p>
    <w:p w:rsidR="000408B7" w:rsidRPr="004E28BB" w:rsidRDefault="000408B7" w:rsidP="00D41D04">
      <w:pPr>
        <w:pStyle w:val="ListNumber2"/>
      </w:pPr>
      <w:bookmarkStart w:id="339" w:name="TBIG3Cognition"/>
      <w:bookmarkStart w:id="340" w:name="_Toc319922542"/>
      <w:bookmarkStart w:id="341" w:name="_Toc394643316"/>
      <w:bookmarkEnd w:id="339"/>
      <w:r w:rsidRPr="004E28BB">
        <w:rPr>
          <w:rStyle w:val="Guide2-123Char"/>
        </w:rPr>
        <w:t>COGNITION</w:t>
      </w:r>
      <w:bookmarkEnd w:id="340"/>
      <w:bookmarkEnd w:id="341"/>
      <w:r w:rsidR="007C4FC3" w:rsidRPr="004E28BB">
        <w:t>:</w:t>
      </w:r>
      <w:r w:rsidRPr="004E28BB">
        <w:t xml:space="preserve"> </w:t>
      </w:r>
      <w:r w:rsidR="007C4FC3">
        <w:t>T</w:t>
      </w:r>
      <w:r w:rsidRPr="004E28BB">
        <w:t xml:space="preserve">he “process of knowing” by which individuals: </w:t>
      </w:r>
      <w:r w:rsidR="001B3B4C">
        <w:t>(</w:t>
      </w:r>
      <w:r w:rsidRPr="004E28BB">
        <w:t xml:space="preserve">1) make decisions as to the most functional ways of interacting with their environment; </w:t>
      </w:r>
      <w:r w:rsidR="001B3B4C">
        <w:t>(</w:t>
      </w:r>
      <w:r w:rsidRPr="004E28BB">
        <w:t xml:space="preserve">2) execute those decisions; </w:t>
      </w:r>
      <w:r w:rsidR="001B3B4C">
        <w:t>(</w:t>
      </w:r>
      <w:r w:rsidRPr="004E28BB">
        <w:t xml:space="preserve">3) monitor their responses to determine appropriateness and accuracy of their decisions; and </w:t>
      </w:r>
      <w:r w:rsidR="001B3B4C">
        <w:t>(</w:t>
      </w:r>
      <w:r w:rsidRPr="004E28BB">
        <w:t>4) adjust their behavior if it is determined to be inappropriate and/or inaccurate. Deficits in cognition are a freq</w:t>
      </w:r>
      <w:r w:rsidR="00EC02AC" w:rsidRPr="004E28BB">
        <w:t>uent result of TBI, may persist</w:t>
      </w:r>
      <w:r w:rsidRPr="004E28BB">
        <w:t>, and may vary from mild to severe. Cognitive processes that are often impaired after TBI may include, but are not limited to:</w:t>
      </w:r>
    </w:p>
    <w:p w:rsidR="000408B7" w:rsidRPr="004E28BB" w:rsidRDefault="000408B7" w:rsidP="00D41D04">
      <w:pPr>
        <w:ind w:left="2160" w:hanging="360"/>
      </w:pPr>
      <w:r w:rsidRPr="004E28BB">
        <w:t>●</w:t>
      </w:r>
      <w:r w:rsidRPr="004E28BB">
        <w:tab/>
      </w:r>
      <w:r w:rsidR="007C4FC3">
        <w:t>I</w:t>
      </w:r>
      <w:r w:rsidRPr="004E28BB">
        <w:t>mpaired arousal and attention</w:t>
      </w:r>
      <w:r w:rsidR="007C4FC3">
        <w:t>.</w:t>
      </w:r>
      <w:r w:rsidRPr="004E28BB">
        <w:t xml:space="preserve"> </w:t>
      </w:r>
    </w:p>
    <w:p w:rsidR="000408B7" w:rsidRPr="004E28BB" w:rsidRDefault="000408B7" w:rsidP="00D41D04">
      <w:pPr>
        <w:ind w:left="2160" w:hanging="360"/>
      </w:pPr>
      <w:r w:rsidRPr="004E28BB">
        <w:t>●</w:t>
      </w:r>
      <w:r w:rsidRPr="004E28BB">
        <w:tab/>
      </w:r>
      <w:r w:rsidR="007C4FC3">
        <w:t>I</w:t>
      </w:r>
      <w:r w:rsidRPr="004E28BB">
        <w:t>nefficient processing of information (rate, amount</w:t>
      </w:r>
      <w:r w:rsidR="00911838">
        <w:t>,</w:t>
      </w:r>
      <w:r w:rsidRPr="004E28BB">
        <w:t xml:space="preserve"> and complexity)</w:t>
      </w:r>
      <w:r w:rsidR="007C4FC3">
        <w:t>.</w:t>
      </w:r>
      <w:r w:rsidRPr="004E28BB">
        <w:t xml:space="preserve"> </w:t>
      </w:r>
    </w:p>
    <w:p w:rsidR="000408B7" w:rsidRPr="004E28BB" w:rsidRDefault="000408B7" w:rsidP="00D41D04">
      <w:pPr>
        <w:ind w:left="2160" w:hanging="360"/>
      </w:pPr>
      <w:r w:rsidRPr="004E28BB">
        <w:t>●</w:t>
      </w:r>
      <w:r w:rsidRPr="004E28BB">
        <w:tab/>
      </w:r>
      <w:r w:rsidR="007C4FC3">
        <w:t>I</w:t>
      </w:r>
      <w:r w:rsidRPr="004E28BB">
        <w:t>mpaired perception of sensory (auditory, visual, olfactory, and tactile</w:t>
      </w:r>
      <w:r w:rsidR="004B0DE0" w:rsidRPr="004E28BB">
        <w:t>)</w:t>
      </w:r>
      <w:r w:rsidRPr="004E28BB">
        <w:t xml:space="preserve"> information</w:t>
      </w:r>
      <w:r w:rsidR="007C4FC3">
        <w:t>.</w:t>
      </w:r>
      <w:r w:rsidRPr="004E28BB">
        <w:t xml:space="preserve"> </w:t>
      </w:r>
    </w:p>
    <w:p w:rsidR="000408B7" w:rsidRPr="004E28BB" w:rsidRDefault="000408B7" w:rsidP="00D41D04">
      <w:pPr>
        <w:ind w:left="2160" w:hanging="360"/>
      </w:pPr>
      <w:r w:rsidRPr="004E28BB">
        <w:t>●</w:t>
      </w:r>
      <w:r w:rsidRPr="004E28BB">
        <w:tab/>
      </w:r>
      <w:r w:rsidR="007C4FC3">
        <w:t>I</w:t>
      </w:r>
      <w:r w:rsidRPr="004E28BB">
        <w:t>mpaired acquisition, retention</w:t>
      </w:r>
      <w:r w:rsidR="00911838">
        <w:t>,</w:t>
      </w:r>
      <w:r w:rsidRPr="004E28BB">
        <w:t xml:space="preserve"> and retrieval of verbal and visual information</w:t>
      </w:r>
      <w:r w:rsidR="00911838">
        <w:t>,</w:t>
      </w:r>
      <w:r w:rsidRPr="004E28BB">
        <w:t xml:space="preserve"> which </w:t>
      </w:r>
      <w:r w:rsidR="004B0DE0" w:rsidRPr="004E28BB">
        <w:t>impairs</w:t>
      </w:r>
      <w:r w:rsidRPr="004E28BB">
        <w:t xml:space="preserve"> new learning and memory skills</w:t>
      </w:r>
      <w:r w:rsidR="007C4FC3">
        <w:t>.</w:t>
      </w:r>
    </w:p>
    <w:p w:rsidR="000408B7" w:rsidRPr="004E28BB" w:rsidRDefault="000408B7" w:rsidP="00D41D04">
      <w:pPr>
        <w:ind w:left="2160" w:hanging="360"/>
      </w:pPr>
      <w:r w:rsidRPr="004E28BB">
        <w:t>●</w:t>
      </w:r>
      <w:r w:rsidRPr="004E28BB">
        <w:tab/>
      </w:r>
      <w:r w:rsidR="007C4FC3">
        <w:t>I</w:t>
      </w:r>
      <w:r w:rsidRPr="004E28BB">
        <w:t>mpaired executive functioning skills: problem solving, insight, reasoning and judgment, self-awareness and evaluation</w:t>
      </w:r>
      <w:r w:rsidR="00911838">
        <w:t xml:space="preserve"> (</w:t>
      </w:r>
      <w:r w:rsidRPr="004E28BB">
        <w:t xml:space="preserve">including </w:t>
      </w:r>
      <w:r w:rsidR="004B0DE0" w:rsidRPr="004E28BB">
        <w:t xml:space="preserve">awareness </w:t>
      </w:r>
      <w:r w:rsidRPr="004E28BB">
        <w:t>of strengths and weaknesses</w:t>
      </w:r>
      <w:r w:rsidR="00911838">
        <w:t>)</w:t>
      </w:r>
      <w:r w:rsidRPr="004E28BB">
        <w:t>, goal setting, planning, organizing, initiation , self-inhibiting (or disinhibition</w:t>
      </w:r>
      <w:r w:rsidR="006054C0" w:rsidRPr="004E28BB">
        <w:t xml:space="preserve"> </w:t>
      </w:r>
      <w:r w:rsidR="00EC02AC" w:rsidRPr="004E28BB">
        <w:t>and self-monitoring)</w:t>
      </w:r>
      <w:r w:rsidR="007C4FC3">
        <w:t>.</w:t>
      </w:r>
      <w:r w:rsidR="006054C0" w:rsidRPr="004E28BB">
        <w:t xml:space="preserve"> </w:t>
      </w:r>
    </w:p>
    <w:p w:rsidR="000408B7" w:rsidRPr="004E28BB" w:rsidRDefault="000408B7" w:rsidP="00D41D04">
      <w:pPr>
        <w:ind w:left="2160" w:hanging="360"/>
      </w:pPr>
      <w:r w:rsidRPr="004E28BB">
        <w:t>●</w:t>
      </w:r>
      <w:r w:rsidRPr="004E28BB">
        <w:tab/>
      </w:r>
      <w:r w:rsidR="007C4FC3">
        <w:t>I</w:t>
      </w:r>
      <w:r w:rsidRPr="004E28BB">
        <w:t>mpaired or inappropriate social awareness and behavior</w:t>
      </w:r>
      <w:r w:rsidR="007C4FC3">
        <w:t>.</w:t>
      </w:r>
    </w:p>
    <w:p w:rsidR="000408B7" w:rsidRPr="004E28BB" w:rsidRDefault="000408B7" w:rsidP="00D41D04">
      <w:pPr>
        <w:ind w:left="1440"/>
      </w:pPr>
      <w:r w:rsidRPr="004E28BB">
        <w:t>There is some evidence that a cognitive program aimed at high order reasoning instruction is likely to improve some aspects of executive function (e.g. working memory, inhibition, switching tasks)</w:t>
      </w:r>
      <w:r w:rsidR="006054C0" w:rsidRPr="004E28BB">
        <w:t xml:space="preserve"> </w:t>
      </w:r>
      <w:r w:rsidRPr="004E28BB">
        <w:t>for chronic TBI individuals</w:t>
      </w:r>
      <w:r w:rsidRPr="004E28BB">
        <w:rPr>
          <w:rStyle w:val="GuideCitesCharChar"/>
        </w:rPr>
        <w:t xml:space="preserve"> (</w:t>
      </w:r>
      <w:hyperlink w:anchor="Vas2011" w:history="1">
        <w:r w:rsidRPr="00497913">
          <w:rPr>
            <w:rStyle w:val="Hyperlink"/>
            <w:rFonts w:cs="Arial"/>
            <w:highlight w:val="yellow"/>
          </w:rPr>
          <w:t>Vas, 2011</w:t>
        </w:r>
      </w:hyperlink>
      <w:r w:rsidRPr="004E28BB">
        <w:rPr>
          <w:rStyle w:val="GuideCitesCharChar"/>
        </w:rPr>
        <w:t>)</w:t>
      </w:r>
      <w:r w:rsidR="00B30BDE" w:rsidRPr="004E28BB">
        <w:t xml:space="preserve">. </w:t>
      </w:r>
      <w:r w:rsidRPr="004E28BB">
        <w:t>There is some evidence that intensive therapy, 15 hours/week for 16 weeks in a group setting emphasizing integration of cognitive, interpersonal</w:t>
      </w:r>
      <w:r w:rsidR="00911838">
        <w:t>,</w:t>
      </w:r>
      <w:r w:rsidRPr="004E28BB">
        <w:t xml:space="preserve"> and functional gains, is superior to the same amount of therapy from multiple individual providers</w:t>
      </w:r>
      <w:r w:rsidR="00B30BDE" w:rsidRPr="004E28BB">
        <w:rPr>
          <w:rStyle w:val="GuideCitesCharChar"/>
        </w:rPr>
        <w:t xml:space="preserve"> </w:t>
      </w:r>
      <w:r w:rsidRPr="0068357E">
        <w:rPr>
          <w:rStyle w:val="GuideCitesCharChar"/>
          <w:highlight w:val="yellow"/>
        </w:rPr>
        <w:t>(</w:t>
      </w:r>
      <w:hyperlink w:anchor="Cicerone2008" w:history="1">
        <w:r w:rsidRPr="00497913">
          <w:rPr>
            <w:rStyle w:val="Hyperlink"/>
            <w:rFonts w:cs="Arial"/>
            <w:highlight w:val="yellow"/>
          </w:rPr>
          <w:t>Cicerone, 2008</w:t>
        </w:r>
      </w:hyperlink>
      <w:r w:rsidRPr="0068357E">
        <w:rPr>
          <w:rStyle w:val="GuideCitesCharChar"/>
          <w:highlight w:val="yellow"/>
        </w:rPr>
        <w:t>)</w:t>
      </w:r>
      <w:r w:rsidR="00B30BDE" w:rsidRPr="0068357E">
        <w:rPr>
          <w:highlight w:val="yellow"/>
        </w:rPr>
        <w:t>.</w:t>
      </w:r>
      <w:r w:rsidRPr="004E28BB">
        <w:br/>
      </w:r>
      <w:r w:rsidRPr="004E28BB">
        <w:br/>
      </w:r>
      <w:r w:rsidRPr="004E28BB">
        <w:lastRenderedPageBreak/>
        <w:t>There is good evidence that structured, goal-oriented, individualized multidisciplinary cognitive rehabilitation for patients requiring hospitalization improves mobility, personal care</w:t>
      </w:r>
      <w:r w:rsidR="00911838">
        <w:t>,</w:t>
      </w:r>
      <w:r w:rsidRPr="004E28BB">
        <w:t xml:space="preserve"> and independence in </w:t>
      </w:r>
      <w:r w:rsidR="0049733A">
        <w:t>ADLs</w:t>
      </w:r>
      <w:r w:rsidR="00B30BDE" w:rsidRPr="004E28BB">
        <w:t xml:space="preserve"> </w:t>
      </w:r>
      <w:r w:rsidR="00911838">
        <w:t>for</w:t>
      </w:r>
      <w:r w:rsidR="00B30BDE" w:rsidRPr="004E28BB">
        <w:t xml:space="preserve"> individuals with TBI</w:t>
      </w:r>
      <w:r w:rsidRPr="004E28BB">
        <w:rPr>
          <w:rStyle w:val="GuideCitesCharChar"/>
        </w:rPr>
        <w:t xml:space="preserve"> </w:t>
      </w:r>
      <w:hyperlink w:anchor="TurnerStokes2005" w:history="1">
        <w:r w:rsidRPr="00497913">
          <w:rPr>
            <w:rStyle w:val="Hyperlink"/>
            <w:rFonts w:cs="Arial"/>
            <w:highlight w:val="yellow"/>
          </w:rPr>
          <w:t>([Cochrane] Turner-Stokes, 2005</w:t>
        </w:r>
      </w:hyperlink>
      <w:r w:rsidRPr="00940B0D">
        <w:rPr>
          <w:rStyle w:val="GuideCitesCharChar"/>
          <w:highlight w:val="yellow"/>
        </w:rPr>
        <w:t>)</w:t>
      </w:r>
      <w:r w:rsidR="00B30BDE" w:rsidRPr="004E28BB">
        <w:t xml:space="preserve">. </w:t>
      </w:r>
      <w:r w:rsidRPr="004E28BB">
        <w:t xml:space="preserve">Improvement in mobility and independence significantly reduces indirect costs over a long period of time, which may not be measured </w:t>
      </w:r>
      <w:r w:rsidR="00911838">
        <w:t xml:space="preserve">accurately </w:t>
      </w:r>
      <w:r w:rsidRPr="004E28BB">
        <w:t>in the relatively short periods during which most clinical studies are conducted. Cognitive rehabilitation is recommended by the VADoD for treatment of individuals w</w:t>
      </w:r>
      <w:r w:rsidR="00B30BDE" w:rsidRPr="004E28BB">
        <w:t>ith TBI with cognitive deficits</w:t>
      </w:r>
      <w:r w:rsidRPr="004E28BB">
        <w:rPr>
          <w:rStyle w:val="GuideCitesCharChar"/>
        </w:rPr>
        <w:t xml:space="preserve"> (</w:t>
      </w:r>
      <w:hyperlink w:anchor="VetsDOD2009" w:history="1">
        <w:r w:rsidRPr="00497913">
          <w:rPr>
            <w:rStyle w:val="Hyperlink"/>
            <w:rFonts w:cs="Arial"/>
            <w:highlight w:val="yellow"/>
          </w:rPr>
          <w:t>VADoD, 2009</w:t>
        </w:r>
      </w:hyperlink>
      <w:r w:rsidRPr="004E28BB">
        <w:rPr>
          <w:rStyle w:val="GuideCitesCharChar"/>
        </w:rPr>
        <w:t>)</w:t>
      </w:r>
      <w:bookmarkStart w:id="342" w:name="_Toc319922543"/>
      <w:r w:rsidR="00B30BDE" w:rsidRPr="004E28BB">
        <w:t>.</w:t>
      </w:r>
    </w:p>
    <w:p w:rsidR="000408B7" w:rsidRPr="004E28BB" w:rsidRDefault="000408B7" w:rsidP="00D41D04">
      <w:pPr>
        <w:pStyle w:val="ListNumber3"/>
      </w:pPr>
      <w:bookmarkStart w:id="343" w:name="_Toc394643317"/>
      <w:r w:rsidRPr="004E28BB">
        <w:rPr>
          <w:rStyle w:val="Guide3-abcdChar"/>
        </w:rPr>
        <w:t>MTBI</w:t>
      </w:r>
      <w:bookmarkEnd w:id="342"/>
      <w:bookmarkEnd w:id="343"/>
      <w:r w:rsidRPr="004E28BB">
        <w:t>: In MTBI, acute cognitive deficits are common</w:t>
      </w:r>
      <w:r w:rsidR="00911838">
        <w:t>,</w:t>
      </w:r>
      <w:r w:rsidRPr="004E28BB">
        <w:t xml:space="preserve"> and spontaneous cognitive improvement is expected within the first three months, frequently within days or weeks, in the majority of injured individuals</w:t>
      </w:r>
      <w:r w:rsidRPr="004E28BB">
        <w:rPr>
          <w:rStyle w:val="GuideCitesCharChar"/>
        </w:rPr>
        <w:t xml:space="preserve"> </w:t>
      </w:r>
      <w:r w:rsidRPr="00940B0D">
        <w:rPr>
          <w:rStyle w:val="GuideCitesCharChar"/>
          <w:highlight w:val="yellow"/>
        </w:rPr>
        <w:t>(</w:t>
      </w:r>
      <w:hyperlink w:anchor="McCrea2009" w:history="1">
        <w:r w:rsidRPr="00497913">
          <w:rPr>
            <w:rStyle w:val="Hyperlink"/>
            <w:rFonts w:cs="Arial"/>
            <w:highlight w:val="yellow"/>
          </w:rPr>
          <w:t>McCrea, 200</w:t>
        </w:r>
        <w:r w:rsidR="00983A6D" w:rsidRPr="00497913">
          <w:rPr>
            <w:rStyle w:val="Hyperlink"/>
            <w:rFonts w:cs="Arial"/>
            <w:highlight w:val="yellow"/>
          </w:rPr>
          <w:t>9</w:t>
        </w:r>
      </w:hyperlink>
      <w:r w:rsidRPr="00940B0D">
        <w:rPr>
          <w:rStyle w:val="GuideCitesCharChar"/>
          <w:highlight w:val="yellow"/>
        </w:rPr>
        <w:t>)</w:t>
      </w:r>
      <w:r w:rsidR="00B30BDE" w:rsidRPr="00940B0D">
        <w:rPr>
          <w:highlight w:val="yellow"/>
        </w:rPr>
        <w:t>.</w:t>
      </w:r>
      <w:r w:rsidR="00B30BDE" w:rsidRPr="004E28BB">
        <w:t xml:space="preserve"> </w:t>
      </w:r>
      <w:r w:rsidRPr="004E28BB">
        <w:t>There is good evidence that MTBI without post</w:t>
      </w:r>
      <w:r w:rsidR="007843ED">
        <w:t>-</w:t>
      </w:r>
      <w:r w:rsidRPr="004E28BB">
        <w:t>traumatic amnesia does not routinely require m</w:t>
      </w:r>
      <w:r w:rsidR="00B30BDE" w:rsidRPr="004E28BB">
        <w:t>ultidisciplinary rehabilitation</w:t>
      </w:r>
      <w:r w:rsidRPr="004E28BB">
        <w:rPr>
          <w:rStyle w:val="GuideCitesCharChar"/>
        </w:rPr>
        <w:t xml:space="preserve"> </w:t>
      </w:r>
      <w:r w:rsidRPr="00940B0D">
        <w:rPr>
          <w:rStyle w:val="GuideCitesCharChar"/>
          <w:highlight w:val="yellow"/>
        </w:rPr>
        <w:t>(</w:t>
      </w:r>
      <w:hyperlink w:anchor="TurnerStokes2005" w:history="1">
        <w:r w:rsidRPr="00497913">
          <w:rPr>
            <w:rStyle w:val="Hyperlink"/>
            <w:rFonts w:cs="Arial"/>
            <w:highlight w:val="yellow"/>
          </w:rPr>
          <w:t>[Cochrane] Turner-Stokes, 2005</w:t>
        </w:r>
      </w:hyperlink>
      <w:r w:rsidRPr="00940B0D">
        <w:rPr>
          <w:rStyle w:val="GuideCitesCharChar"/>
          <w:highlight w:val="yellow"/>
        </w:rPr>
        <w:t>)</w:t>
      </w:r>
      <w:r w:rsidR="00B30BDE" w:rsidRPr="00940B0D">
        <w:rPr>
          <w:highlight w:val="yellow"/>
        </w:rPr>
        <w:t>.</w:t>
      </w:r>
      <w:r w:rsidR="00B30BDE" w:rsidRPr="004E28BB">
        <w:t xml:space="preserve"> </w:t>
      </w:r>
      <w:r w:rsidRPr="004E28BB">
        <w:t>There is some evidence that routine scheduling for cognitive rehabilitation for uncomplicated MTBI is not likely to improve outcomes and that MTBI cases with a psychiatric history are more likely to benefit from routine assessment for cognitive rehabilitation treatment</w:t>
      </w:r>
      <w:r w:rsidRPr="004E28BB">
        <w:rPr>
          <w:rStyle w:val="GuideCitesCharChar"/>
        </w:rPr>
        <w:t xml:space="preserve"> (</w:t>
      </w:r>
      <w:hyperlink w:anchor="Ghaffar2006" w:history="1">
        <w:r w:rsidRPr="00497913">
          <w:rPr>
            <w:rStyle w:val="Hyperlink"/>
            <w:rFonts w:cs="Arial"/>
            <w:highlight w:val="yellow"/>
          </w:rPr>
          <w:t>Ghaffar, 2006</w:t>
        </w:r>
      </w:hyperlink>
      <w:r w:rsidRPr="004E28BB">
        <w:rPr>
          <w:rStyle w:val="GuideCitesCharChar"/>
        </w:rPr>
        <w:t>)</w:t>
      </w:r>
      <w:r w:rsidR="00B30BDE" w:rsidRPr="004E28BB">
        <w:t>.</w:t>
      </w:r>
      <w:r w:rsidRPr="004E28BB">
        <w:t xml:space="preserve"> </w:t>
      </w:r>
      <w:r w:rsidR="00A5378A" w:rsidRPr="004E28BB">
        <w:t>Compensatory memory strategies are useful in this population</w:t>
      </w:r>
      <w:r w:rsidR="00A5378A" w:rsidRPr="004E28BB">
        <w:rPr>
          <w:rStyle w:val="GuideCitesCharChar"/>
        </w:rPr>
        <w:t xml:space="preserve"> </w:t>
      </w:r>
      <w:r w:rsidR="00A5378A" w:rsidRPr="00940B0D">
        <w:rPr>
          <w:rStyle w:val="GuideCitesCharChar"/>
          <w:highlight w:val="yellow"/>
        </w:rPr>
        <w:t>(</w:t>
      </w:r>
      <w:hyperlink w:anchor="Sohlberg1987" w:history="1">
        <w:r w:rsidR="00A5378A" w:rsidRPr="00497913">
          <w:rPr>
            <w:rStyle w:val="Hyperlink"/>
            <w:rFonts w:cs="Arial"/>
            <w:highlight w:val="yellow"/>
          </w:rPr>
          <w:t>Sohlberg, 1987</w:t>
        </w:r>
      </w:hyperlink>
      <w:r w:rsidR="00A5378A" w:rsidRPr="004E28BB">
        <w:rPr>
          <w:rStyle w:val="GuideCitesCharChar"/>
        </w:rPr>
        <w:t>)</w:t>
      </w:r>
      <w:r w:rsidR="00A5378A" w:rsidRPr="004E28BB">
        <w:t>.</w:t>
      </w:r>
      <w:r w:rsidRPr="004E28BB">
        <w:br/>
      </w:r>
      <w:r w:rsidRPr="004E28BB">
        <w:br/>
        <w:t>Rehabilitation of cognitive impairments should only be initiated if:</w:t>
      </w:r>
    </w:p>
    <w:p w:rsidR="000408B7" w:rsidRPr="004E28BB" w:rsidRDefault="000408B7" w:rsidP="00D41D04">
      <w:pPr>
        <w:ind w:left="2880" w:hanging="360"/>
      </w:pPr>
      <w:r w:rsidRPr="004E28BB">
        <w:t>●</w:t>
      </w:r>
      <w:r w:rsidRPr="004E28BB">
        <w:tab/>
        <w:t>The individual is not demonstrating the expected cognitive improvement</w:t>
      </w:r>
      <w:r w:rsidR="00911838">
        <w:t>.</w:t>
      </w:r>
    </w:p>
    <w:p w:rsidR="000408B7" w:rsidRPr="004E28BB" w:rsidRDefault="000408B7" w:rsidP="00D41D04">
      <w:pPr>
        <w:ind w:left="2880" w:hanging="360"/>
      </w:pPr>
      <w:r w:rsidRPr="004E28BB">
        <w:t>●</w:t>
      </w:r>
      <w:r w:rsidRPr="004E28BB">
        <w:tab/>
        <w:t>The individual exhibits more severe cognitive impairments on formal evaluation</w:t>
      </w:r>
      <w:r w:rsidR="00911838">
        <w:t>.</w:t>
      </w:r>
    </w:p>
    <w:p w:rsidR="000408B7" w:rsidRPr="004E28BB" w:rsidRDefault="000408B7" w:rsidP="00D41D04">
      <w:pPr>
        <w:ind w:left="2880" w:hanging="360"/>
      </w:pPr>
      <w:r w:rsidRPr="004E28BB">
        <w:t>●</w:t>
      </w:r>
      <w:r w:rsidRPr="004E28BB">
        <w:tab/>
        <w:t>The individual’s vocation or other life circumstances necessitate the learning of compensatory strategies</w:t>
      </w:r>
      <w:r w:rsidR="00911838">
        <w:t>.</w:t>
      </w:r>
      <w:r w:rsidRPr="004E28BB">
        <w:t xml:space="preserve"> </w:t>
      </w:r>
    </w:p>
    <w:p w:rsidR="000408B7" w:rsidRPr="004E28BB" w:rsidRDefault="000408B7" w:rsidP="00D41D04">
      <w:pPr>
        <w:ind w:left="2880" w:hanging="360"/>
      </w:pPr>
      <w:r w:rsidRPr="004E28BB">
        <w:t>●</w:t>
      </w:r>
      <w:r w:rsidRPr="004E28BB">
        <w:tab/>
        <w:t>There are safety issues in question (e.g. possible harm to self or others)</w:t>
      </w:r>
      <w:bookmarkStart w:id="344" w:name="_Toc319922544"/>
      <w:r w:rsidR="00911838">
        <w:t>.</w:t>
      </w:r>
    </w:p>
    <w:p w:rsidR="000408B7" w:rsidRPr="004E28BB" w:rsidRDefault="000408B7" w:rsidP="00D41D04">
      <w:pPr>
        <w:ind w:left="2160"/>
      </w:pPr>
      <w:r w:rsidRPr="004E28BB">
        <w:t>If therapy is required for these patients use the following timelines,</w:t>
      </w:r>
    </w:p>
    <w:p w:rsidR="000408B7" w:rsidRPr="004E28BB" w:rsidRDefault="000408B7" w:rsidP="00D41D04">
      <w:pPr>
        <w:ind w:left="2880" w:hanging="360"/>
      </w:pPr>
      <w:r w:rsidRPr="004E28BB">
        <w:sym w:font="Wingdings" w:char="F076"/>
      </w:r>
      <w:r w:rsidRPr="004E28BB">
        <w:tab/>
        <w:t xml:space="preserve">Frequency: </w:t>
      </w:r>
      <w:r w:rsidR="00911838">
        <w:t>Weekly o</w:t>
      </w:r>
      <w:r w:rsidRPr="004E28BB">
        <w:t>ne-hour sessions initially during the first month as part of the primary treatment and return</w:t>
      </w:r>
      <w:r w:rsidR="00911838">
        <w:t>-</w:t>
      </w:r>
      <w:r w:rsidRPr="004E28BB">
        <w:t>to</w:t>
      </w:r>
      <w:r w:rsidR="00911838">
        <w:t>-</w:t>
      </w:r>
      <w:r w:rsidRPr="004E28BB">
        <w:t xml:space="preserve">work evaluations. Once </w:t>
      </w:r>
      <w:r w:rsidR="00911838">
        <w:t xml:space="preserve">the </w:t>
      </w:r>
      <w:r w:rsidRPr="004E28BB">
        <w:t>patient has returned to normal function without impairing symptoms, visit frequency should decrease or treatment should be terminated.</w:t>
      </w:r>
    </w:p>
    <w:p w:rsidR="000408B7" w:rsidRPr="004E28BB" w:rsidRDefault="000408B7" w:rsidP="00D41D04">
      <w:pPr>
        <w:ind w:left="2880" w:hanging="360"/>
      </w:pPr>
      <w:r w:rsidRPr="004E28BB">
        <w:sym w:font="Wingdings" w:char="F076"/>
      </w:r>
      <w:r w:rsidRPr="004E28BB">
        <w:tab/>
        <w:t>Optimum duration: 1 to 3 months</w:t>
      </w:r>
      <w:r w:rsidR="00EC02AC" w:rsidRPr="004E28BB">
        <w:t>.</w:t>
      </w:r>
    </w:p>
    <w:p w:rsidR="000408B7" w:rsidRPr="004E28BB" w:rsidRDefault="000408B7" w:rsidP="00D41D04">
      <w:pPr>
        <w:ind w:left="2880" w:hanging="360"/>
      </w:pPr>
      <w:r w:rsidRPr="004E28BB">
        <w:sym w:font="Wingdings" w:char="F076"/>
      </w:r>
      <w:r w:rsidRPr="004E28BB">
        <w:tab/>
        <w:t>Maximum duration</w:t>
      </w:r>
      <w:r w:rsidR="00983A6D">
        <w:t>:</w:t>
      </w:r>
      <w:r w:rsidRPr="004E28BB">
        <w:t xml:space="preserve"> Additional sessions may be required as justified., For example in cases with complicated TBI or a number of co-morbid conditions treatment patterns may resemble that for moderate/severe injuries. </w:t>
      </w:r>
    </w:p>
    <w:p w:rsidR="000408B7" w:rsidRPr="004E28BB" w:rsidRDefault="000408B7" w:rsidP="00B30BDE">
      <w:pPr>
        <w:pStyle w:val="ListNumber3"/>
      </w:pPr>
      <w:bookmarkStart w:id="345" w:name="_Toc394643318"/>
      <w:r w:rsidRPr="004E28BB">
        <w:rPr>
          <w:rStyle w:val="Guide3-abcdChar"/>
        </w:rPr>
        <w:t>Moderate/Severe TBI</w:t>
      </w:r>
      <w:bookmarkEnd w:id="344"/>
      <w:bookmarkEnd w:id="345"/>
      <w:r w:rsidRPr="004E28BB">
        <w:t>: In individuals with moderate/severe TBI, rehabilitation of cognitive deficits is appropriate, clinically necessary</w:t>
      </w:r>
      <w:r w:rsidR="00911838">
        <w:t>,</w:t>
      </w:r>
      <w:r w:rsidRPr="004E28BB">
        <w:t xml:space="preserve"> and based on evidence. Rehabilitation is most beneficial when an individual demonstrates adequate arousal, appropriate responsiveness to stimulation and at least </w:t>
      </w:r>
      <w:r w:rsidR="00EC02AC" w:rsidRPr="004E28BB">
        <w:t>a</w:t>
      </w:r>
      <w:r w:rsidRPr="004E28BB">
        <w:t xml:space="preserve"> minimum ability to focus attention (e.g.</w:t>
      </w:r>
      <w:r w:rsidR="00EC02AC" w:rsidRPr="004E28BB">
        <w:t xml:space="preserve"> </w:t>
      </w:r>
      <w:r w:rsidRPr="004E28BB">
        <w:t>fully oriented)</w:t>
      </w:r>
      <w:r w:rsidR="00EC02AC" w:rsidRPr="004E28BB">
        <w:t>.</w:t>
      </w:r>
      <w:r w:rsidR="006054C0" w:rsidRPr="004E28BB">
        <w:t xml:space="preserve"> </w:t>
      </w:r>
      <w:r w:rsidRPr="004E28BB">
        <w:t>Prior to demonstration of these skills, rehabilitation efforts should focus on monitoring and attempting to elicit responses, environmental structuring (e.g. maintaining a normal sleep/wake cycle</w:t>
      </w:r>
      <w:r w:rsidR="00EC02AC" w:rsidRPr="004E28BB">
        <w:t>)</w:t>
      </w:r>
      <w:r w:rsidR="00911838">
        <w:t>,</w:t>
      </w:r>
      <w:r w:rsidRPr="004E28BB">
        <w:t xml:space="preserve"> and staff/family</w:t>
      </w:r>
      <w:r w:rsidR="005C7D65">
        <w:t xml:space="preserve"> and/or support system</w:t>
      </w:r>
      <w:r w:rsidRPr="004E28BB">
        <w:t xml:space="preserve"> education.</w:t>
      </w:r>
      <w:r w:rsidRPr="004E28BB">
        <w:br/>
      </w:r>
      <w:r w:rsidRPr="004E28BB">
        <w:br/>
      </w:r>
      <w:r w:rsidRPr="004E28BB">
        <w:lastRenderedPageBreak/>
        <w:t>Rehabilitation includes procedures designed to improve cognitive efficiency, develop specific cognitive skills, enhance awareness of impairments and skills, and develop appropriate compensation strategies for residual cognitive deficits. Individuals with MTBI and memory deficits are more likely to improve with compensatory memory strategies training than individuals with moderate/severe TBI who may require memory notebooks or other external aids to improve memory</w:t>
      </w:r>
      <w:r w:rsidRPr="004E28BB">
        <w:rPr>
          <w:rStyle w:val="GuideCitesCharChar"/>
        </w:rPr>
        <w:t xml:space="preserve"> </w:t>
      </w:r>
      <w:r w:rsidRPr="00940B0D">
        <w:rPr>
          <w:rStyle w:val="GuideCitesCharChar"/>
          <w:highlight w:val="yellow"/>
        </w:rPr>
        <w:t>(</w:t>
      </w:r>
      <w:hyperlink w:anchor="Sohlberg1987" w:history="1">
        <w:r w:rsidRPr="00497913">
          <w:rPr>
            <w:rStyle w:val="Hyperlink"/>
            <w:rFonts w:cs="Arial"/>
            <w:highlight w:val="yellow"/>
          </w:rPr>
          <w:t>Sohlberg,1987</w:t>
        </w:r>
      </w:hyperlink>
      <w:r w:rsidRPr="004E28BB">
        <w:rPr>
          <w:rStyle w:val="GuideCitesCharChar"/>
        </w:rPr>
        <w:t>)</w:t>
      </w:r>
      <w:r w:rsidR="00B30BDE" w:rsidRPr="004E28BB">
        <w:t>.</w:t>
      </w:r>
      <w:r w:rsidRPr="004E28BB">
        <w:br/>
      </w:r>
      <w:r w:rsidRPr="004E28BB">
        <w:br/>
        <w:t>Rehabilitation treatment for cognitive deficits may be provided by speech-language pathologists, neuropsychologists, occupational therapists,</w:t>
      </w:r>
      <w:r w:rsidR="00D64C30" w:rsidRPr="004E28BB">
        <w:t xml:space="preserve"> music therapists,</w:t>
      </w:r>
      <w:r w:rsidRPr="004E28BB">
        <w:t xml:space="preserve"> physical therapists</w:t>
      </w:r>
      <w:r w:rsidR="00E80A2B">
        <w:t>,</w:t>
      </w:r>
      <w:r w:rsidRPr="004E28BB">
        <w:t xml:space="preserve"> or paraprofessionals closely supervised by these professionals. It frequently may be necessary for other disciplines to apply cognitive rehabilitation techniques while addressing non-cognitive goals (i.e., mobility and daily nursing activities). A cognitive therapy plan should be approved and monitored by a speech-language pathologist, neuropsychologist or physician experienced with TBI. Physicians may also be involved in pharmacological treatment and management of cognitive disorders. </w:t>
      </w:r>
      <w:r w:rsidR="00387A03">
        <w:t>Family and/or support system</w:t>
      </w:r>
      <w:r w:rsidRPr="004E28BB">
        <w:t xml:space="preserve"> members, caregivers</w:t>
      </w:r>
      <w:r w:rsidR="00D43A3F">
        <w:t>,</w:t>
      </w:r>
      <w:r w:rsidRPr="004E28BB">
        <w:t xml:space="preserve"> and partners should always be included in the therapy plan. Thus, therapy is routinely multi-disciplinary for patients with moderate</w:t>
      </w:r>
      <w:r w:rsidR="00E80A2B">
        <w:t>/</w:t>
      </w:r>
      <w:r w:rsidRPr="004E28BB">
        <w:t xml:space="preserve">severe TBI. </w:t>
      </w:r>
      <w:r w:rsidRPr="004E28BB">
        <w:br/>
      </w:r>
      <w:r w:rsidRPr="004E28BB">
        <w:br/>
        <w:t>There is good evidence that this type of multi-disciplinary rehabilitation of moderate</w:t>
      </w:r>
      <w:r w:rsidR="00E80A2B">
        <w:t>/</w:t>
      </w:r>
      <w:r w:rsidRPr="004E28BB">
        <w:t>severe TBI patients is likely to provide functional and symptomatic benefit once the patient is able to participate</w:t>
      </w:r>
      <w:r w:rsidRPr="004E28BB">
        <w:rPr>
          <w:rStyle w:val="GuideCitesCharChar"/>
        </w:rPr>
        <w:t xml:space="preserve"> </w:t>
      </w:r>
      <w:r w:rsidRPr="00940B0D">
        <w:rPr>
          <w:rStyle w:val="GuideCitesCharChar"/>
          <w:highlight w:val="yellow"/>
        </w:rPr>
        <w:t>([</w:t>
      </w:r>
      <w:hyperlink w:anchor="TurnerStokes2005" w:history="1">
        <w:r w:rsidRPr="00497913">
          <w:rPr>
            <w:rStyle w:val="Hyperlink"/>
            <w:rFonts w:cs="Arial"/>
            <w:highlight w:val="yellow"/>
          </w:rPr>
          <w:t>Cochrane] Turner-Stokes, 2005</w:t>
        </w:r>
      </w:hyperlink>
      <w:r w:rsidRPr="00940B0D">
        <w:rPr>
          <w:rStyle w:val="GuideCitesCharChar"/>
          <w:highlight w:val="yellow"/>
        </w:rPr>
        <w:t>)</w:t>
      </w:r>
      <w:r w:rsidR="00B30BDE" w:rsidRPr="00940B0D">
        <w:rPr>
          <w:highlight w:val="yellow"/>
        </w:rPr>
        <w:t>.</w:t>
      </w:r>
      <w:r w:rsidRPr="004E28BB">
        <w:br/>
      </w:r>
      <w:r w:rsidRPr="004E28BB">
        <w:br/>
        <w:t>There is some evidence that a multi-faceted cognitive rehabilitative intervention focused on aspects of executive function can lead to lasting improvement</w:t>
      </w:r>
      <w:r w:rsidRPr="00773307">
        <w:rPr>
          <w:rStyle w:val="GuideCitesCharChar"/>
        </w:rPr>
        <w:t xml:space="preserve"> (</w:t>
      </w:r>
      <w:r w:rsidRPr="00940B0D">
        <w:rPr>
          <w:rStyle w:val="GuideCitesCharChar"/>
          <w:highlight w:val="yellow"/>
        </w:rPr>
        <w:t>Spikeman, 2010</w:t>
      </w:r>
      <w:r w:rsidRPr="00773307">
        <w:rPr>
          <w:rStyle w:val="GuideCitesCharChar"/>
        </w:rPr>
        <w:t>)</w:t>
      </w:r>
      <w:r w:rsidR="00B30BDE" w:rsidRPr="004E28BB">
        <w:t xml:space="preserve">. </w:t>
      </w:r>
      <w:r w:rsidRPr="004E28BB">
        <w:t xml:space="preserve">In this study, group treatment sessions </w:t>
      </w:r>
      <w:r w:rsidR="00E80A2B">
        <w:t xml:space="preserve">occurred twice per week for one hour over a period of three months and </w:t>
      </w:r>
      <w:r w:rsidR="00A5378A" w:rsidRPr="004E28BB">
        <w:t xml:space="preserve">were </w:t>
      </w:r>
      <w:r w:rsidRPr="004E28BB">
        <w:t xml:space="preserve">focused on self-awareness, self-initiation, goal setting, planning, flexibility, strategic behavior, self-monitoring, </w:t>
      </w:r>
      <w:r w:rsidR="00E80A2B">
        <w:t xml:space="preserve">and </w:t>
      </w:r>
      <w:r w:rsidRPr="004E28BB">
        <w:t xml:space="preserve">self-inhibition. </w:t>
      </w:r>
      <w:r w:rsidRPr="004E28BB">
        <w:br/>
      </w:r>
      <w:r w:rsidRPr="004E28BB">
        <w:br/>
        <w:t>Social communication skills training is also appropriate for moderate</w:t>
      </w:r>
      <w:r w:rsidR="00E80A2B">
        <w:t>/</w:t>
      </w:r>
      <w:r w:rsidRPr="004E28BB">
        <w:t>severe TBI. There is some evidence that group instruction, 90 minutes weekly over 12 weeks, by a skilled leader results in improved communication skills</w:t>
      </w:r>
      <w:r w:rsidRPr="004E28BB">
        <w:rPr>
          <w:rStyle w:val="GuideCitesCharChar"/>
        </w:rPr>
        <w:t xml:space="preserve"> </w:t>
      </w:r>
      <w:r w:rsidRPr="00940B0D">
        <w:rPr>
          <w:rStyle w:val="GuideCitesCharChar"/>
          <w:highlight w:val="yellow"/>
        </w:rPr>
        <w:t>(</w:t>
      </w:r>
      <w:hyperlink w:anchor="Dahlberg2007" w:history="1">
        <w:r w:rsidRPr="00497913">
          <w:rPr>
            <w:rStyle w:val="Hyperlink"/>
            <w:rFonts w:cs="Arial"/>
            <w:highlight w:val="yellow"/>
          </w:rPr>
          <w:t>Dahlberg, 2007</w:t>
        </w:r>
      </w:hyperlink>
      <w:r w:rsidRPr="00940B0D">
        <w:rPr>
          <w:rStyle w:val="GuideCitesCharChar"/>
          <w:highlight w:val="yellow"/>
        </w:rPr>
        <w:t>)</w:t>
      </w:r>
      <w:r w:rsidR="00B30BDE" w:rsidRPr="00940B0D">
        <w:rPr>
          <w:highlight w:val="yellow"/>
        </w:rPr>
        <w:t>.</w:t>
      </w:r>
      <w:r w:rsidRPr="004E28BB">
        <w:t xml:space="preserve"> Also refer to </w:t>
      </w:r>
      <w:r w:rsidR="00D43A3F">
        <w:t>S</w:t>
      </w:r>
      <w:r w:rsidR="00DD6E91" w:rsidRPr="004E28BB">
        <w:t xml:space="preserve">ection </w:t>
      </w:r>
      <w:hyperlink w:anchor="TBIJ4Communicaton" w:history="1">
        <w:r w:rsidR="00DD6E91" w:rsidRPr="004E28BB">
          <w:t>J.4. Communication</w:t>
        </w:r>
      </w:hyperlink>
      <w:r w:rsidRPr="004E28BB">
        <w:t xml:space="preserve"> for further information</w:t>
      </w:r>
      <w:r w:rsidR="00DD6E91" w:rsidRPr="004E28BB">
        <w:t>.</w:t>
      </w:r>
      <w:r w:rsidRPr="004E28BB">
        <w:br/>
      </w:r>
      <w:r w:rsidRPr="004E28BB">
        <w:br/>
        <w:t>There was some evidence from an older study of young military patients with moderate</w:t>
      </w:r>
      <w:r w:rsidR="00E80A2B">
        <w:t>/</w:t>
      </w:r>
      <w:r w:rsidRPr="004E28BB">
        <w:t xml:space="preserve">severe TBI who could safely live at </w:t>
      </w:r>
      <w:r w:rsidR="00DD6E91" w:rsidRPr="004E28BB">
        <w:t>home</w:t>
      </w:r>
      <w:r w:rsidRPr="004E28BB">
        <w:t xml:space="preserve"> without continual </w:t>
      </w:r>
      <w:r w:rsidR="00DD6E91" w:rsidRPr="004E28BB">
        <w:t>supervision</w:t>
      </w:r>
      <w:r w:rsidRPr="004E28BB">
        <w:t>, that psychological treatment in a supported home environment had similar results to inpatient multidisciplinary treatment</w:t>
      </w:r>
      <w:r w:rsidR="006054C0" w:rsidRPr="004E28BB">
        <w:rPr>
          <w:rStyle w:val="GuideCitesCharChar"/>
        </w:rPr>
        <w:t xml:space="preserve"> </w:t>
      </w:r>
      <w:r w:rsidRPr="00940B0D">
        <w:rPr>
          <w:rStyle w:val="GuideCitesCharChar"/>
          <w:highlight w:val="yellow"/>
        </w:rPr>
        <w:t>(</w:t>
      </w:r>
      <w:hyperlink w:anchor="Salazar2000" w:history="1">
        <w:r w:rsidRPr="00497913">
          <w:rPr>
            <w:rStyle w:val="Hyperlink"/>
            <w:rFonts w:cs="Arial"/>
            <w:highlight w:val="yellow"/>
          </w:rPr>
          <w:t>Salazar</w:t>
        </w:r>
        <w:r w:rsidR="004A6BFF" w:rsidRPr="00497913">
          <w:rPr>
            <w:rStyle w:val="Hyperlink"/>
            <w:rFonts w:cs="Arial"/>
            <w:highlight w:val="yellow"/>
          </w:rPr>
          <w:t>,</w:t>
        </w:r>
        <w:r w:rsidRPr="00497913">
          <w:rPr>
            <w:rStyle w:val="Hyperlink"/>
            <w:rFonts w:cs="Arial"/>
            <w:highlight w:val="yellow"/>
          </w:rPr>
          <w:t xml:space="preserve"> 2000</w:t>
        </w:r>
      </w:hyperlink>
      <w:r w:rsidRPr="00940B0D">
        <w:rPr>
          <w:rStyle w:val="GuideCitesCharChar"/>
          <w:highlight w:val="yellow"/>
        </w:rPr>
        <w:t>)</w:t>
      </w:r>
      <w:r w:rsidR="00B30BDE" w:rsidRPr="004E28BB">
        <w:t>.</w:t>
      </w:r>
      <w:r w:rsidRPr="004E28BB">
        <w:t xml:space="preserve"> The applicability of this evidence to those with work related injuries is questionable</w:t>
      </w:r>
      <w:r w:rsidR="00E80A2B">
        <w:t>,</w:t>
      </w:r>
      <w:r w:rsidRPr="004E28BB">
        <w:t xml:space="preserve"> and this guideline recommends that moderate</w:t>
      </w:r>
      <w:r w:rsidR="00E80A2B">
        <w:t>/</w:t>
      </w:r>
      <w:r w:rsidR="00FD0E20" w:rsidRPr="004E28BB">
        <w:t>s</w:t>
      </w:r>
      <w:r w:rsidRPr="004E28BB">
        <w:t xml:space="preserve">evere TBI cases receive interdisciplinary therapy as deemed appropriate for the individual rather than isolated home programs. </w:t>
      </w:r>
      <w:r w:rsidRPr="004E28BB">
        <w:br/>
      </w:r>
      <w:r w:rsidRPr="004E28BB">
        <w:br/>
        <w:t xml:space="preserve">Rehabilitative treatment is indicated following a neuropsychological and/or neurological evaluation that identifies cognitive impairments. The evaluation should include statements of TBI severity and prognosis for improvement, outline recommended goals/objectives </w:t>
      </w:r>
      <w:r w:rsidR="00E80A2B">
        <w:t xml:space="preserve">and </w:t>
      </w:r>
      <w:r w:rsidRPr="004E28BB">
        <w:t>methodologies of treatment</w:t>
      </w:r>
      <w:r w:rsidR="00E80A2B">
        <w:t>,</w:t>
      </w:r>
      <w:r w:rsidRPr="004E28BB">
        <w:t xml:space="preserve"> and establish frequency and duration parameters.</w:t>
      </w:r>
      <w:r w:rsidRPr="004E28BB">
        <w:br/>
      </w:r>
      <w:r w:rsidRPr="004E28BB">
        <w:br/>
        <w:t xml:space="preserve">A treatment plan outlining current goals is recommended with each evaluation. If documented improvement is not shown, the treatment goals and program should either be modified or discontinued. Periodic upgrading or consultation may be necessary throughout a lifetime following TBI. Therapy may be re-initiated for </w:t>
      </w:r>
      <w:r w:rsidRPr="004E28BB">
        <w:lastRenderedPageBreak/>
        <w:t>time</w:t>
      </w:r>
      <w:r w:rsidR="007843ED">
        <w:t xml:space="preserve"> </w:t>
      </w:r>
      <w:r w:rsidRPr="004E28BB">
        <w:t>limited, goal-specific treatment as new goals or TBI related problems develop.</w:t>
      </w:r>
    </w:p>
    <w:p w:rsidR="000408B7" w:rsidRPr="004E28BB" w:rsidRDefault="000408B7" w:rsidP="00D41D04">
      <w:pPr>
        <w:ind w:left="2880" w:hanging="360"/>
      </w:pPr>
      <w:r w:rsidRPr="004E28BB">
        <w:sym w:font="Wingdings" w:char="F076"/>
      </w:r>
      <w:r w:rsidRPr="004E28BB">
        <w:tab/>
        <w:t>Frequency: Acute and post-acute</w:t>
      </w:r>
      <w:r w:rsidR="00AF6D7E">
        <w:t xml:space="preserve"> – </w:t>
      </w:r>
      <w:r w:rsidRPr="004E28BB">
        <w:t>daily. Sub</w:t>
      </w:r>
      <w:r w:rsidR="007843ED">
        <w:t>-</w:t>
      </w:r>
      <w:r w:rsidRPr="004E28BB">
        <w:t>acute outpatient and home/community setting</w:t>
      </w:r>
      <w:r w:rsidR="00AF6D7E">
        <w:t xml:space="preserve"> –</w:t>
      </w:r>
      <w:r w:rsidRPr="004E28BB">
        <w:t xml:space="preserve"> daily</w:t>
      </w:r>
      <w:r w:rsidR="00AF6D7E">
        <w:t xml:space="preserve"> </w:t>
      </w:r>
      <w:r w:rsidRPr="004E28BB">
        <w:t>to</w:t>
      </w:r>
      <w:r w:rsidR="00AF6D7E">
        <w:t xml:space="preserve"> </w:t>
      </w:r>
      <w:r w:rsidRPr="004E28BB">
        <w:t>weekly</w:t>
      </w:r>
      <w:r w:rsidR="007C4FC3">
        <w:t>.</w:t>
      </w:r>
    </w:p>
    <w:p w:rsidR="000408B7" w:rsidRPr="004E28BB" w:rsidRDefault="000408B7" w:rsidP="00D41D04">
      <w:pPr>
        <w:ind w:left="2880" w:hanging="360"/>
      </w:pPr>
      <w:r w:rsidRPr="004E28BB">
        <w:sym w:font="Wingdings" w:char="F076"/>
      </w:r>
      <w:r w:rsidRPr="004E28BB">
        <w:tab/>
        <w:t xml:space="preserve">Optimum </w:t>
      </w:r>
      <w:r w:rsidR="007C4FC3">
        <w:t>D</w:t>
      </w:r>
      <w:r w:rsidRPr="004E28BB">
        <w:t>uration: Typically 8 weeks with evaluation</w:t>
      </w:r>
      <w:r w:rsidR="00D43A3F">
        <w:t xml:space="preserve"> at the 4-week mark</w:t>
      </w:r>
      <w:r w:rsidR="00AF6D7E">
        <w:t>.</w:t>
      </w:r>
    </w:p>
    <w:p w:rsidR="000408B7" w:rsidRPr="004E28BB" w:rsidRDefault="000408B7" w:rsidP="00D41D04">
      <w:pPr>
        <w:ind w:left="2880" w:hanging="360"/>
      </w:pPr>
      <w:r w:rsidRPr="004E28BB">
        <w:sym w:font="Wingdings" w:char="F076"/>
      </w:r>
      <w:r w:rsidRPr="004E28BB">
        <w:tab/>
        <w:t xml:space="preserve">Maximum </w:t>
      </w:r>
      <w:r w:rsidR="007C4FC3">
        <w:t>D</w:t>
      </w:r>
      <w:r w:rsidRPr="004E28BB">
        <w:t xml:space="preserve">uration: </w:t>
      </w:r>
      <w:r w:rsidR="007C4FC3">
        <w:t>B</w:t>
      </w:r>
      <w:r w:rsidRPr="004E28BB">
        <w:t>eyond 8 weeks requires documentation of progress with the exception of periodic consultations and new treatment goals</w:t>
      </w:r>
      <w:r w:rsidR="007C4FC3">
        <w:t>.</w:t>
      </w:r>
    </w:p>
    <w:p w:rsidR="000408B7" w:rsidRPr="004E28BB" w:rsidRDefault="000408B7" w:rsidP="00D41D04">
      <w:pPr>
        <w:pStyle w:val="ListNumber3"/>
      </w:pPr>
      <w:bookmarkStart w:id="346" w:name="_Toc319922545"/>
      <w:bookmarkStart w:id="347" w:name="_Toc394643319"/>
      <w:r w:rsidRPr="004E28BB">
        <w:rPr>
          <w:rStyle w:val="Guide3-abcdChar"/>
        </w:rPr>
        <w:t>Computer-Based Treatment</w:t>
      </w:r>
      <w:bookmarkEnd w:id="346"/>
      <w:bookmarkEnd w:id="347"/>
      <w:r w:rsidRPr="004E28BB">
        <w:t xml:space="preserve">: The use of computers as a primary and independent form of treatment in cognitive remediation has limited application because of: </w:t>
      </w:r>
      <w:r w:rsidR="001B3B4C">
        <w:t>(</w:t>
      </w:r>
      <w:r w:rsidRPr="004E28BB">
        <w:t xml:space="preserve">1) limitations in the rationale and specific application of software programs to address the needs of the individual with TBI and </w:t>
      </w:r>
      <w:r w:rsidR="001B3B4C">
        <w:t>(</w:t>
      </w:r>
      <w:r w:rsidRPr="004E28BB">
        <w:t xml:space="preserve">2) difficulty with generalization of learned computer skills into functional environments. Integrated computer-based treatment (i.e., both individualized cognitive and interpersonal therapies) may improve functioning within the context of an interdisciplinary, neuropsychological rehabilitation program. Computer-based interventions that include active therapist involvement to foster insight into cognitive strengths and weaknesses, development of compensatory strategies, and facilitation of transferring skills into real-life situations may be used as part of a multi-modal intervention for cognitive deficits. Sole reliance on repeated exposure and practice on computer-based tasks without extensive involvement and intervention by a therapist is not recommended. </w:t>
      </w:r>
    </w:p>
    <w:p w:rsidR="000408B7" w:rsidRPr="004E28BB" w:rsidRDefault="000408B7" w:rsidP="00D41D04">
      <w:pPr>
        <w:pStyle w:val="ListNumber3"/>
      </w:pPr>
      <w:bookmarkStart w:id="348" w:name="_Toc319922546"/>
      <w:bookmarkStart w:id="349" w:name="_Toc394643320"/>
      <w:r w:rsidRPr="004E28BB">
        <w:rPr>
          <w:rStyle w:val="Guide3-abcdChar"/>
        </w:rPr>
        <w:t>Assistive Technology</w:t>
      </w:r>
      <w:bookmarkEnd w:id="348"/>
      <w:bookmarkEnd w:id="349"/>
      <w:r w:rsidRPr="004E28BB">
        <w:t>: A variety of devices are available to assist individuals with language and</w:t>
      </w:r>
      <w:r w:rsidR="006054C0" w:rsidRPr="004E28BB">
        <w:t xml:space="preserve"> </w:t>
      </w:r>
      <w:r w:rsidRPr="004E28BB">
        <w:t>functional problems. These should be trialed within a rehabilitation therapy program</w:t>
      </w:r>
      <w:r w:rsidR="006659FE" w:rsidRPr="004E28BB">
        <w:t xml:space="preserve"> by physical therapists, occupational therapists and speech-language therapists,</w:t>
      </w:r>
      <w:r w:rsidRPr="004E28BB">
        <w:t xml:space="preserve"> to determine which tools are most suitable for individual cases.</w:t>
      </w:r>
    </w:p>
    <w:p w:rsidR="000408B7" w:rsidRPr="004E28BB" w:rsidRDefault="000408B7" w:rsidP="00D41D04">
      <w:pPr>
        <w:pStyle w:val="ListNumber2"/>
      </w:pPr>
      <w:bookmarkStart w:id="350" w:name="_Toc319922547"/>
      <w:bookmarkStart w:id="351" w:name="_Toc394643321"/>
      <w:r w:rsidRPr="004E28BB">
        <w:rPr>
          <w:rStyle w:val="Guide2-123Char"/>
        </w:rPr>
        <w:t>PSYCHOLOGICAL/EDUCATIONAL INTERVENTIONS</w:t>
      </w:r>
      <w:r w:rsidR="009E565B">
        <w:rPr>
          <w:rStyle w:val="Guide2-123Char"/>
        </w:rPr>
        <w:t>:</w:t>
      </w:r>
      <w:bookmarkEnd w:id="350"/>
      <w:bookmarkEnd w:id="351"/>
      <w:r w:rsidRPr="004E28BB">
        <w:t xml:space="preserve"> Psychological and educational interventions may include, or be performed in conjunction with, cognitive and beha</w:t>
      </w:r>
      <w:r w:rsidR="00DD6E91" w:rsidRPr="004E28BB">
        <w:t>vioral treatment.</w:t>
      </w:r>
      <w:r w:rsidRPr="004E28BB">
        <w:t xml:space="preserve"> Cognitive behavioral therapy (CBT) is a specialized goal</w:t>
      </w:r>
      <w:r w:rsidR="007843ED">
        <w:t>-</w:t>
      </w:r>
      <w:r w:rsidRPr="004E28BB">
        <w:t xml:space="preserve">oriented systematic process used to problem solve that focuses on changing thought processes and is usually provided by a trained therapist or psychologist. One study noted sustained improvement after </w:t>
      </w:r>
      <w:r w:rsidR="001B3B4C">
        <w:t>six</w:t>
      </w:r>
      <w:r w:rsidRPr="004E28BB">
        <w:t xml:space="preserve"> months with either face</w:t>
      </w:r>
      <w:r w:rsidR="001B3B4C">
        <w:t>-</w:t>
      </w:r>
      <w:r w:rsidRPr="004E28BB">
        <w:t>to</w:t>
      </w:r>
      <w:r w:rsidR="001B3B4C">
        <w:t>-</w:t>
      </w:r>
      <w:r w:rsidRPr="004E28BB">
        <w:t xml:space="preserve">face or telephone contact. This should always be performed within the </w:t>
      </w:r>
      <w:r w:rsidR="00B440B1" w:rsidRPr="004E28BB">
        <w:t>construct</w:t>
      </w:r>
      <w:r w:rsidRPr="004E28BB">
        <w:t xml:space="preserve"> of a fuller therapy program</w:t>
      </w:r>
      <w:r w:rsidR="00DD6E91" w:rsidRPr="004E28BB">
        <w:rPr>
          <w:rStyle w:val="GuideCitesCharChar"/>
        </w:rPr>
        <w:t xml:space="preserve"> </w:t>
      </w:r>
      <w:r w:rsidRPr="00940B0D">
        <w:rPr>
          <w:rStyle w:val="GuideCitesCharChar"/>
          <w:highlight w:val="yellow"/>
        </w:rPr>
        <w:t>(</w:t>
      </w:r>
      <w:hyperlink w:anchor="Arundine2012" w:history="1">
        <w:r w:rsidRPr="00497913">
          <w:rPr>
            <w:rStyle w:val="Hyperlink"/>
            <w:rFonts w:cs="Arial"/>
            <w:highlight w:val="yellow"/>
          </w:rPr>
          <w:t>Arundine, 2012</w:t>
        </w:r>
      </w:hyperlink>
      <w:r w:rsidRPr="00940B0D">
        <w:rPr>
          <w:rStyle w:val="GuideCitesCharChar"/>
          <w:highlight w:val="yellow"/>
        </w:rPr>
        <w:t>)</w:t>
      </w:r>
      <w:r w:rsidR="00B30BDE" w:rsidRPr="00940B0D">
        <w:rPr>
          <w:highlight w:val="yellow"/>
        </w:rPr>
        <w:t>.</w:t>
      </w:r>
      <w:r w:rsidR="006659FE" w:rsidRPr="004E28BB">
        <w:br/>
      </w:r>
      <w:r w:rsidR="006659FE" w:rsidRPr="004E28BB">
        <w:br/>
      </w:r>
      <w:r w:rsidR="006659FE" w:rsidRPr="004E28BB">
        <w:rPr>
          <w:color w:val="000000"/>
        </w:rPr>
        <w:t xml:space="preserve">The acute symptoms of </w:t>
      </w:r>
      <w:r w:rsidR="00FA0A79" w:rsidRPr="004E28BB">
        <w:rPr>
          <w:color w:val="000000"/>
        </w:rPr>
        <w:t>MTBI</w:t>
      </w:r>
      <w:r w:rsidR="006659FE" w:rsidRPr="004E28BB">
        <w:rPr>
          <w:color w:val="000000"/>
        </w:rPr>
        <w:t> (e.g. feeling dazed, disoriented, or confused) overlap with those of emotional trauma and acute stress disorder. Over the course of recovery, the symptoms of </w:t>
      </w:r>
      <w:r w:rsidR="00FA0A79" w:rsidRPr="004E28BB">
        <w:rPr>
          <w:color w:val="000000"/>
        </w:rPr>
        <w:t>MTBI</w:t>
      </w:r>
      <w:r w:rsidR="006659FE" w:rsidRPr="004E28BB">
        <w:rPr>
          <w:color w:val="000000"/>
        </w:rPr>
        <w:t xml:space="preserve"> also overlap with a variety of psychological conditions, such as depression, anxiety, insomnia and PTSD. Consequently, when the degree of cognitive symptoms exceeds what would be expected given objective findings, the mechanism of injury, or acute signs of </w:t>
      </w:r>
      <w:r w:rsidR="00FA0A79" w:rsidRPr="004E28BB">
        <w:rPr>
          <w:color w:val="000000"/>
        </w:rPr>
        <w:t>MTBI</w:t>
      </w:r>
      <w:r w:rsidR="006659FE" w:rsidRPr="004E28BB">
        <w:rPr>
          <w:color w:val="000000"/>
        </w:rPr>
        <w:t>, or if there is an unexplained, marked worsening of cognitive symptoms over time, the possibility that the symptoms are psychological rather than neuropsychological in origin should be evaluated. A psychological evaluation is especially important if the injury occurred in an emotionally traumatic context, or if there are clinical indications of another mental health disorder.</w:t>
      </w:r>
    </w:p>
    <w:p w:rsidR="000408B7" w:rsidRPr="004E28BB" w:rsidRDefault="000408B7" w:rsidP="00D41D04">
      <w:pPr>
        <w:pStyle w:val="ListNumber3"/>
      </w:pPr>
      <w:bookmarkStart w:id="352" w:name="_Toc319922548"/>
      <w:bookmarkStart w:id="353" w:name="_Toc394643322"/>
      <w:r w:rsidRPr="004E28BB">
        <w:rPr>
          <w:rStyle w:val="Guide3-abcdChar"/>
        </w:rPr>
        <w:t>Acute Psychological/Educational Interventions in MTBI</w:t>
      </w:r>
      <w:bookmarkEnd w:id="352"/>
      <w:bookmarkEnd w:id="353"/>
      <w:r w:rsidRPr="004E28BB">
        <w:t>: Early interventions that educate individuals, their family</w:t>
      </w:r>
      <w:r w:rsidR="00387A03">
        <w:t xml:space="preserve"> and</w:t>
      </w:r>
      <w:r w:rsidRPr="004E28BB">
        <w:t>/</w:t>
      </w:r>
      <w:r w:rsidR="00387A03">
        <w:t xml:space="preserve">or </w:t>
      </w:r>
      <w:r w:rsidRPr="004E28BB">
        <w:t xml:space="preserve">support system, or the employer about the symptoms, natural history, prognosis, and management of MTBI symptoms are very important. Psychological interventions to educate the </w:t>
      </w:r>
      <w:r w:rsidRPr="004E28BB">
        <w:lastRenderedPageBreak/>
        <w:t>individual and family</w:t>
      </w:r>
      <w:r w:rsidR="00387A03">
        <w:t xml:space="preserve"> and</w:t>
      </w:r>
      <w:r w:rsidRPr="004E28BB">
        <w:t>/</w:t>
      </w:r>
      <w:r w:rsidR="00387A03">
        <w:t xml:space="preserve">or </w:t>
      </w:r>
      <w:r w:rsidRPr="004E28BB">
        <w:t>support systems regarding coping may occur with the individual and family</w:t>
      </w:r>
      <w:r w:rsidR="00387A03">
        <w:t xml:space="preserve"> and</w:t>
      </w:r>
      <w:r w:rsidRPr="004E28BB">
        <w:t>/</w:t>
      </w:r>
      <w:r w:rsidR="00387A03">
        <w:t xml:space="preserve">or </w:t>
      </w:r>
      <w:r w:rsidRPr="004E28BB">
        <w:t>support system, or alternatively wit</w:t>
      </w:r>
      <w:r w:rsidR="00FD0E20" w:rsidRPr="004E28BB">
        <w:t>h close friends and co-workers.</w:t>
      </w:r>
      <w:r w:rsidR="00F64E42">
        <w:t xml:space="preserve"> </w:t>
      </w:r>
      <w:r w:rsidRPr="004E28BB">
        <w:br/>
      </w:r>
      <w:r w:rsidRPr="004E28BB">
        <w:br/>
        <w:t xml:space="preserve">When certain risk factors are present, psychological interventions are appropriate to promote positive coping skills and to manage symptoms. Risk factors include the following: </w:t>
      </w:r>
      <w:r w:rsidR="00D43A3F">
        <w:t xml:space="preserve">usual recovery does not occur, </w:t>
      </w:r>
      <w:r w:rsidRPr="004E28BB">
        <w:t xml:space="preserve">history of previous </w:t>
      </w:r>
      <w:r w:rsidR="0056633D">
        <w:t>TBI</w:t>
      </w:r>
      <w:r w:rsidRPr="004E28BB">
        <w:t xml:space="preserve">s, the desire to return to a highly demanding job, significant injury stress, pre-injury psychiatric disorder, pre-injury learning disability, </w:t>
      </w:r>
      <w:r w:rsidR="00FA2FC4">
        <w:t>PTA</w:t>
      </w:r>
      <w:r w:rsidRPr="004E28BB">
        <w:t xml:space="preserve"> greater than four to six hours, loss of consciousness greater than </w:t>
      </w:r>
      <w:r w:rsidR="00E2118C">
        <w:t>ten</w:t>
      </w:r>
      <w:r w:rsidRPr="004E28BB">
        <w:t xml:space="preserve"> minutes, chronic pain, substance abuse, poor psychosocial support, depression</w:t>
      </w:r>
      <w:r w:rsidR="00E2118C">
        <w:t>,</w:t>
      </w:r>
      <w:r w:rsidRPr="004E28BB">
        <w:t xml:space="preserve"> or</w:t>
      </w:r>
      <w:r w:rsidR="00B30BDE" w:rsidRPr="004E28BB">
        <w:t xml:space="preserve"> associated orthopedic injuries</w:t>
      </w:r>
      <w:r w:rsidRPr="004E28BB">
        <w:rPr>
          <w:rStyle w:val="GuideCitesCharChar"/>
        </w:rPr>
        <w:t xml:space="preserve"> </w:t>
      </w:r>
      <w:r w:rsidRPr="00940B0D">
        <w:rPr>
          <w:rStyle w:val="GuideCitesCharChar"/>
          <w:highlight w:val="yellow"/>
        </w:rPr>
        <w:t>(</w:t>
      </w:r>
      <w:hyperlink w:anchor="Ghaffar2006" w:history="1">
        <w:r w:rsidRPr="00497913">
          <w:rPr>
            <w:rStyle w:val="Hyperlink"/>
            <w:rFonts w:cs="Arial"/>
            <w:highlight w:val="yellow"/>
          </w:rPr>
          <w:t>Ghaffar, 2006</w:t>
        </w:r>
      </w:hyperlink>
      <w:r w:rsidRPr="00940B0D">
        <w:rPr>
          <w:rStyle w:val="GuideCitesCharChar"/>
          <w:highlight w:val="yellow"/>
        </w:rPr>
        <w:t>)</w:t>
      </w:r>
      <w:r w:rsidR="00B30BDE" w:rsidRPr="004E28BB">
        <w:t xml:space="preserve">. </w:t>
      </w:r>
      <w:r w:rsidRPr="004E28BB">
        <w:t>The presence of other injuries requiring medical attention should not exclude anyone from appropriate psychological treatment. When licensed mental health professionals other than psychologists or psychiatrists are providing treatment, their therapy plan should be overseen by a psychologist, neuropsychologist, or psychiatrist.</w:t>
      </w:r>
    </w:p>
    <w:p w:rsidR="000408B7" w:rsidRPr="004E28BB" w:rsidRDefault="000408B7" w:rsidP="00D41D04">
      <w:pPr>
        <w:pStyle w:val="ListNumber3"/>
      </w:pPr>
      <w:bookmarkStart w:id="354" w:name="_Toc319922549"/>
      <w:bookmarkStart w:id="355" w:name="_Toc394643323"/>
      <w:r w:rsidRPr="004E28BB">
        <w:rPr>
          <w:rStyle w:val="Guide3-abcdChar"/>
        </w:rPr>
        <w:t>Problem-Specific Referrals During the First Three Months Following MTBI</w:t>
      </w:r>
      <w:bookmarkEnd w:id="354"/>
      <w:bookmarkEnd w:id="355"/>
      <w:r w:rsidRPr="004E28BB">
        <w:t>: Mental health services are appropriate to address specific problems that are directly caused by the injury (e.g., memory deficits, slowed speed of thinking, difficulties with decision making, irritability and fatigue) or that are secondary to the injury (e.g., anxiety, depression, adjustment disorder, difficulties with self-acceptance</w:t>
      </w:r>
      <w:r w:rsidR="00E2118C">
        <w:t>,</w:t>
      </w:r>
      <w:r w:rsidRPr="004E28BB">
        <w:t xml:space="preserve"> and difficulties in adapting one’s work demands </w:t>
      </w:r>
      <w:r w:rsidR="00547839">
        <w:t xml:space="preserve">due </w:t>
      </w:r>
      <w:r w:rsidRPr="004E28BB">
        <w:t>to diminished cognitive capacity). Post</w:t>
      </w:r>
      <w:r w:rsidR="007843ED">
        <w:t>-</w:t>
      </w:r>
      <w:r w:rsidRPr="004E28BB">
        <w:t>traumatic stress disorder (PTSD) may be present</w:t>
      </w:r>
      <w:r w:rsidR="006054C0" w:rsidRPr="004E28BB">
        <w:t xml:space="preserve"> </w:t>
      </w:r>
      <w:r w:rsidRPr="004E28BB">
        <w:t>in a minority of MTBI patients and should be assessed</w:t>
      </w:r>
      <w:r w:rsidR="006054C0" w:rsidRPr="004E28BB">
        <w:t xml:space="preserve"> </w:t>
      </w:r>
      <w:r w:rsidRPr="004E28BB">
        <w:t>early on</w:t>
      </w:r>
      <w:r w:rsidR="006054C0" w:rsidRPr="004E28BB">
        <w:t xml:space="preserve"> </w:t>
      </w:r>
      <w:r w:rsidRPr="004E28BB">
        <w:t>and treated</w:t>
      </w:r>
      <w:r w:rsidRPr="004E28BB">
        <w:rPr>
          <w:rStyle w:val="GuideCitesCharChar"/>
        </w:rPr>
        <w:t xml:space="preserve"> (</w:t>
      </w:r>
      <w:hyperlink w:anchor="Hoffman2012" w:history="1">
        <w:r w:rsidRPr="00B2589B">
          <w:rPr>
            <w:rStyle w:val="Hyperlink"/>
            <w:rFonts w:cs="Arial"/>
            <w:highlight w:val="yellow"/>
          </w:rPr>
          <w:t>Hoffman, 2012</w:t>
        </w:r>
      </w:hyperlink>
      <w:r w:rsidRPr="004E28BB">
        <w:rPr>
          <w:rStyle w:val="GuideCitesCharChar"/>
        </w:rPr>
        <w:t>)</w:t>
      </w:r>
      <w:r w:rsidR="00B30BDE" w:rsidRPr="004E28BB">
        <w:t>.</w:t>
      </w:r>
      <w:r w:rsidR="006054C0" w:rsidRPr="004E28BB">
        <w:t xml:space="preserve"> </w:t>
      </w:r>
      <w:r w:rsidRPr="004E28BB">
        <w:t>Mental health interventions to address PTSD may include individual psychotherapy, cognitive/behavioral therapy, instructions in specific techniques such as relaxation training or biofeedback, instruction in symptom management, trauma resolution techniques (e.g., EMDR)</w:t>
      </w:r>
      <w:r w:rsidR="005A4E6D">
        <w:t>,</w:t>
      </w:r>
      <w:r w:rsidRPr="004E28BB">
        <w:t xml:space="preserve"> group therapy, medications, and interventions in the community.</w:t>
      </w:r>
      <w:r w:rsidRPr="004E28BB">
        <w:br/>
      </w:r>
      <w:r w:rsidRPr="004E28BB">
        <w:br/>
        <w:t>Therapists or speech-language pathologists may work with the individual with TBI in their own home or other community settings in order to teach individuals adaptive skills, compensatory techniques</w:t>
      </w:r>
      <w:r w:rsidR="005A4E6D">
        <w:t>,</w:t>
      </w:r>
      <w:r w:rsidRPr="004E28BB">
        <w:t xml:space="preserve"> or new ways of solving problems that assist them in coping more effectively during recovery. Treatment generally includes cognitive therapy to enhance attention</w:t>
      </w:r>
      <w:r w:rsidR="005A4E6D">
        <w:t>/</w:t>
      </w:r>
      <w:r w:rsidRPr="004E28BB">
        <w:t>concentration, reduce distractibility, improve confidence in cognitive abilities, and teach practical decision-making strategies to enhance coping and reduce stress. The interdisciplinary treatment team approach is particularly beneficial in these cases and it is strongly encouraged, especially during the first three months post-injury. Medications may be helpful to address the individual’s symptoms</w:t>
      </w:r>
      <w:r w:rsidR="00756447">
        <w:t xml:space="preserve"> (r</w:t>
      </w:r>
      <w:r w:rsidRPr="004E28BB">
        <w:t xml:space="preserve">efer to </w:t>
      </w:r>
      <w:r w:rsidR="00811C8B">
        <w:t>Section</w:t>
      </w:r>
      <w:r w:rsidRPr="004E28BB">
        <w:t xml:space="preserve"> </w:t>
      </w:r>
      <w:hyperlink w:anchor="TBIF4Medication" w:history="1">
        <w:r w:rsidRPr="004E28BB">
          <w:rPr>
            <w:rStyle w:val="Hyperlink"/>
            <w:rFonts w:cs="Arial"/>
          </w:rPr>
          <w:t>F.4. Medications</w:t>
        </w:r>
      </w:hyperlink>
      <w:r w:rsidR="00756447">
        <w:t>)</w:t>
      </w:r>
      <w:r w:rsidRPr="004E28BB">
        <w:t>.</w:t>
      </w:r>
    </w:p>
    <w:p w:rsidR="00223699" w:rsidRPr="004E28BB" w:rsidRDefault="000408B7" w:rsidP="00D41D04">
      <w:pPr>
        <w:pStyle w:val="ListNumber3"/>
      </w:pPr>
      <w:bookmarkStart w:id="356" w:name="_Toc319922550"/>
      <w:bookmarkStart w:id="357" w:name="_Toc394643324"/>
      <w:r w:rsidRPr="004E28BB">
        <w:rPr>
          <w:rStyle w:val="Guide3-abcdChar"/>
        </w:rPr>
        <w:t>Referrals Three or More Months Post-MTBI</w:t>
      </w:r>
      <w:bookmarkEnd w:id="356"/>
      <w:bookmarkEnd w:id="357"/>
      <w:r w:rsidRPr="004E28BB">
        <w:t>: A referral for psychological</w:t>
      </w:r>
      <w:r w:rsidR="00223699" w:rsidRPr="004E28BB">
        <w:t xml:space="preserve"> and/or psychiatric</w:t>
      </w:r>
      <w:r w:rsidRPr="004E28BB">
        <w:t xml:space="preserve"> services should strongly </w:t>
      </w:r>
      <w:r w:rsidR="005A4E6D">
        <w:t xml:space="preserve">be </w:t>
      </w:r>
      <w:r w:rsidRPr="004E28BB">
        <w:t>considered at three or more months post-injury when the individual is having difficulty coping with symptoms or stressors</w:t>
      </w:r>
      <w:r w:rsidR="005A4E6D">
        <w:t>,</w:t>
      </w:r>
      <w:r w:rsidRPr="004E28BB">
        <w:t xml:space="preserve"> or when secondary psychological symptoms such as intolerance to certain types of environmental stimuli or anxiety or depression are hindering recovery and return to pre-injury level of function. Pre-existing personality traits (e.g. perfectionism, dependency, overachiever or personality disorders)</w:t>
      </w:r>
      <w:r w:rsidR="005A4E6D">
        <w:t>,</w:t>
      </w:r>
      <w:r w:rsidRPr="004E28BB">
        <w:t xml:space="preserve"> demanding responsibilities</w:t>
      </w:r>
      <w:r w:rsidR="005A4E6D">
        <w:t>,</w:t>
      </w:r>
      <w:r w:rsidRPr="004E28BB">
        <w:t xml:space="preserve"> or lack of experience on the current job may also interact with cognitive deficits and other symptoms</w:t>
      </w:r>
      <w:r w:rsidR="006054C0" w:rsidRPr="004E28BB">
        <w:t xml:space="preserve"> </w:t>
      </w:r>
      <w:r w:rsidRPr="004E28BB">
        <w:t>to necessitate the provision of ongoing psychotherapeutic services. Treatment may include individual psychotherapy, marital/family therapy, group therapy, instruction in relaxation and related techniques, cognitive/behavioral therapy, medication management, social skills training</w:t>
      </w:r>
      <w:r w:rsidR="005A4E6D">
        <w:t>,</w:t>
      </w:r>
      <w:r w:rsidRPr="004E28BB">
        <w:t xml:space="preserve"> and interventions/consultation in the community.</w:t>
      </w:r>
    </w:p>
    <w:p w:rsidR="000408B7" w:rsidRPr="004E28BB" w:rsidRDefault="006A67D4" w:rsidP="00D41D04">
      <w:pPr>
        <w:pStyle w:val="ListNumber3"/>
      </w:pPr>
      <w:bookmarkStart w:id="358" w:name="_Toc394643325"/>
      <w:r w:rsidRPr="004E28BB">
        <w:rPr>
          <w:rStyle w:val="Guide3-abcdChar"/>
        </w:rPr>
        <w:lastRenderedPageBreak/>
        <w:t>Functional Gains</w:t>
      </w:r>
      <w:bookmarkEnd w:id="358"/>
      <w:r w:rsidRPr="004E28BB">
        <w:t xml:space="preserve">: </w:t>
      </w:r>
      <w:r w:rsidR="005A4E6D">
        <w:t>T</w:t>
      </w:r>
      <w:r w:rsidR="00FD0E20" w:rsidRPr="004E28BB">
        <w:t>o be documented and achieved with therapy</w:t>
      </w:r>
      <w:r w:rsidR="008568BE" w:rsidRPr="004E28BB">
        <w:t xml:space="preserve"> and </w:t>
      </w:r>
      <w:r w:rsidRPr="004E28BB">
        <w:t>may include</w:t>
      </w:r>
      <w:r w:rsidR="005A4E6D">
        <w:t>,</w:t>
      </w:r>
      <w:r w:rsidRPr="004E28BB">
        <w:t xml:space="preserve"> but are not limited to</w:t>
      </w:r>
      <w:r w:rsidR="005A4E6D">
        <w:t>,</w:t>
      </w:r>
      <w:r w:rsidRPr="004E28BB">
        <w:t xml:space="preserve"> improved mood, irritability, frustration tolerance, concentration, memory, sleep quality, and interpersonal skills such as empathy and capacity to effectively interact with </w:t>
      </w:r>
      <w:r w:rsidR="00387A03">
        <w:t>family and/or support system</w:t>
      </w:r>
      <w:r w:rsidRPr="004E28BB">
        <w:t xml:space="preserve"> members and co-workers.</w:t>
      </w:r>
      <w:r w:rsidR="000408B7" w:rsidRPr="004E28BB">
        <w:br/>
      </w:r>
      <w:r w:rsidR="000408B7" w:rsidRPr="004E28BB">
        <w:br/>
      </w:r>
      <w:r w:rsidR="000408B7" w:rsidRPr="004E28BB">
        <w:rPr>
          <w:rStyle w:val="Guide3-abcdChar"/>
        </w:rPr>
        <w:t>Time intervals for suggested treatment</w:t>
      </w:r>
    </w:p>
    <w:p w:rsidR="000408B7" w:rsidRPr="004E28BB" w:rsidRDefault="000408B7" w:rsidP="00D41D04">
      <w:pPr>
        <w:ind w:left="2880" w:hanging="360"/>
      </w:pPr>
      <w:r w:rsidRPr="004E28BB">
        <w:sym w:font="Wingdings" w:char="F076"/>
      </w:r>
      <w:r w:rsidRPr="004E28BB">
        <w:tab/>
        <w:t xml:space="preserve">Frequency: </w:t>
      </w:r>
      <w:r w:rsidR="005A4E6D">
        <w:t>Weekly o</w:t>
      </w:r>
      <w:r w:rsidRPr="004E28BB">
        <w:t>ne-hour sessions initially during the first month as part of the primary treatment and return to work evaluations. Once patient has returned to normal function without impairing symptoms, visit frequency should decrease or treatment should be terminated</w:t>
      </w:r>
      <w:r w:rsidR="00AF6D7E">
        <w:t>.</w:t>
      </w:r>
    </w:p>
    <w:p w:rsidR="000408B7" w:rsidRPr="004E28BB" w:rsidRDefault="000408B7" w:rsidP="00D41D04">
      <w:pPr>
        <w:ind w:left="2880" w:hanging="360"/>
      </w:pPr>
      <w:r w:rsidRPr="004E28BB">
        <w:sym w:font="Wingdings" w:char="F076"/>
      </w:r>
      <w:r w:rsidRPr="004E28BB">
        <w:tab/>
        <w:t xml:space="preserve">Optimum </w:t>
      </w:r>
      <w:r w:rsidR="00AF6D7E">
        <w:t>D</w:t>
      </w:r>
      <w:r w:rsidRPr="004E28BB">
        <w:t>uration: 1 to 3 months</w:t>
      </w:r>
      <w:r w:rsidR="00AF6D7E">
        <w:t>.</w:t>
      </w:r>
    </w:p>
    <w:p w:rsidR="000408B7" w:rsidRPr="004E28BB" w:rsidRDefault="000408B7" w:rsidP="00D41D04">
      <w:pPr>
        <w:ind w:left="2880" w:hanging="360"/>
      </w:pPr>
      <w:r w:rsidRPr="004E28BB">
        <w:sym w:font="Wingdings" w:char="F076"/>
      </w:r>
      <w:r w:rsidRPr="004E28BB">
        <w:tab/>
        <w:t>Additional sessions may be required as justified</w:t>
      </w:r>
      <w:r w:rsidR="00AF6D7E">
        <w:t>.</w:t>
      </w:r>
    </w:p>
    <w:p w:rsidR="000408B7" w:rsidRPr="004E28BB" w:rsidRDefault="000408B7" w:rsidP="00D41D04">
      <w:pPr>
        <w:pStyle w:val="ListNumber2"/>
      </w:pPr>
      <w:bookmarkStart w:id="359" w:name="_Toc319922551"/>
      <w:bookmarkStart w:id="360" w:name="_Toc394643326"/>
      <w:r w:rsidRPr="004E28BB">
        <w:rPr>
          <w:rStyle w:val="Guide2-123Char"/>
        </w:rPr>
        <w:t xml:space="preserve">PSYCHOLOGICAL INTERVENTIONS – MODERATE/SEVERE </w:t>
      </w:r>
      <w:bookmarkEnd w:id="359"/>
      <w:r w:rsidR="00AF6D7E">
        <w:rPr>
          <w:rStyle w:val="Guide2-123Char"/>
        </w:rPr>
        <w:t>TBI</w:t>
      </w:r>
      <w:bookmarkEnd w:id="360"/>
      <w:r w:rsidR="00AF6D7E" w:rsidRPr="004E28BB">
        <w:t xml:space="preserve">: </w:t>
      </w:r>
      <w:r w:rsidRPr="004E28BB">
        <w:t>Moderate/severe TBI may result in a variety of cognitive, psychological and/or behavioral symptoms which</w:t>
      </w:r>
      <w:r w:rsidR="005A4E6D">
        <w:t>, if left untreated,</w:t>
      </w:r>
      <w:r w:rsidRPr="004E28BB">
        <w:t xml:space="preserve"> can negatively impact each other, recovery from TBI, and</w:t>
      </w:r>
      <w:r w:rsidR="005A4E6D">
        <w:t>/or</w:t>
      </w:r>
      <w:r w:rsidRPr="004E28BB">
        <w:t xml:space="preserve"> functional outcomes; therefore, psychological treatment is recommended for pati</w:t>
      </w:r>
      <w:r w:rsidR="00B30BDE" w:rsidRPr="004E28BB">
        <w:t>ents with any of these symptoms</w:t>
      </w:r>
      <w:r w:rsidRPr="004E28BB">
        <w:rPr>
          <w:rStyle w:val="GuideCitesCharChar"/>
        </w:rPr>
        <w:t xml:space="preserve"> (</w:t>
      </w:r>
      <w:hyperlink w:anchor="Hudak2012" w:history="1">
        <w:r w:rsidRPr="00B2589B">
          <w:rPr>
            <w:rStyle w:val="Hyperlink"/>
            <w:rFonts w:cs="Arial"/>
            <w:highlight w:val="yellow"/>
          </w:rPr>
          <w:t>Hudak, 2012</w:t>
        </w:r>
      </w:hyperlink>
      <w:r w:rsidRPr="004E28BB">
        <w:rPr>
          <w:rStyle w:val="GuideCitesCharChar"/>
        </w:rPr>
        <w:t>)</w:t>
      </w:r>
      <w:r w:rsidR="00B30BDE" w:rsidRPr="004E28BB">
        <w:t>.</w:t>
      </w:r>
      <w:r w:rsidRPr="004E28BB">
        <w:t xml:space="preserve"> Psychological interventions may include, or be performed in conjunction with, cognitive and behavioral treatment. Although</w:t>
      </w:r>
      <w:r w:rsidR="006054C0" w:rsidRPr="004E28BB">
        <w:t xml:space="preserve"> </w:t>
      </w:r>
      <w:r w:rsidRPr="004E28BB">
        <w:t xml:space="preserve">the effect of this treatment for the brain injured population is unknown, psychological treatment is recommended for all patients with psychological symptoms. </w:t>
      </w:r>
    </w:p>
    <w:p w:rsidR="000408B7" w:rsidRPr="004E28BB" w:rsidRDefault="000408B7" w:rsidP="00D41D04">
      <w:pPr>
        <w:pStyle w:val="ListNumber3"/>
      </w:pPr>
      <w:bookmarkStart w:id="361" w:name="_Toc319922552"/>
      <w:bookmarkStart w:id="362" w:name="_Toc394643327"/>
      <w:r w:rsidRPr="004E28BB">
        <w:rPr>
          <w:rStyle w:val="Guide3-abcdChar"/>
        </w:rPr>
        <w:t>Acutely Symptomatic Phase</w:t>
      </w:r>
      <w:bookmarkEnd w:id="361"/>
      <w:bookmarkEnd w:id="362"/>
      <w:r w:rsidRPr="004E28BB">
        <w:t xml:space="preserve">: During the period of </w:t>
      </w:r>
      <w:r w:rsidR="00FA2FC4">
        <w:t>PTA</w:t>
      </w:r>
      <w:r w:rsidRPr="004E28BB">
        <w:t>, self-awareness is often compromised</w:t>
      </w:r>
      <w:r w:rsidR="00B65846">
        <w:t>,</w:t>
      </w:r>
      <w:r w:rsidRPr="004E28BB">
        <w:t xml:space="preserve"> and behavioral problems such as impulsivity, agitation, uninhibited behaviors, aggression</w:t>
      </w:r>
      <w:r w:rsidR="00B65846">
        <w:t>,</w:t>
      </w:r>
      <w:r w:rsidRPr="004E28BB">
        <w:t xml:space="preserve"> and confabulation may emerge. At this stage, psychological interventions are typically focused on: </w:t>
      </w:r>
      <w:r w:rsidR="001B3B4C">
        <w:t>(</w:t>
      </w:r>
      <w:r w:rsidRPr="004E28BB">
        <w:t xml:space="preserve">1) development of specific environmental strategies to manage problematic behaviors and increase the </w:t>
      </w:r>
      <w:r w:rsidR="00B1112D">
        <w:t xml:space="preserve">safety of the </w:t>
      </w:r>
      <w:r w:rsidRPr="004E28BB">
        <w:t xml:space="preserve">individual and staff; </w:t>
      </w:r>
      <w:r w:rsidR="001B3B4C">
        <w:t>(</w:t>
      </w:r>
      <w:r w:rsidRPr="004E28BB">
        <w:t>2) consultation with other team members, support of the nursing staff</w:t>
      </w:r>
      <w:r w:rsidR="00B1112D">
        <w:t>,</w:t>
      </w:r>
      <w:r w:rsidRPr="004E28BB">
        <w:t xml:space="preserve"> and ongoing contacts with the individual’s </w:t>
      </w:r>
      <w:r w:rsidR="00387A03">
        <w:t>family and/or support system</w:t>
      </w:r>
      <w:r w:rsidRPr="004E28BB">
        <w:t xml:space="preserve">; and </w:t>
      </w:r>
      <w:r w:rsidR="001B3B4C">
        <w:t>(</w:t>
      </w:r>
      <w:r w:rsidRPr="004E28BB">
        <w:t xml:space="preserve">3) education of the </w:t>
      </w:r>
      <w:r w:rsidR="00387A03">
        <w:t>family and/or support system</w:t>
      </w:r>
      <w:r w:rsidRPr="004E28BB">
        <w:t xml:space="preserve"> about the </w:t>
      </w:r>
      <w:r w:rsidR="0056633D">
        <w:t>TBI</w:t>
      </w:r>
      <w:r w:rsidRPr="004E28BB">
        <w:t xml:space="preserve"> and its behavioral manifestations. Cognitive status is monitored during this time period as the level of environmental stimuli is gradually and slowly increased. The psychological interventions described here typically occur throughout the period of </w:t>
      </w:r>
      <w:r w:rsidR="00FA2FC4">
        <w:t>PTA</w:t>
      </w:r>
      <w:r w:rsidRPr="004E28BB">
        <w:t>. Furthermore, psychological intervention to help manage problematic behaviors, such as perseveration, aggressive behaviors</w:t>
      </w:r>
      <w:r w:rsidR="00B1112D">
        <w:t>,</w:t>
      </w:r>
      <w:r w:rsidRPr="004E28BB">
        <w:t xml:space="preserve"> and disorders of memory, typically continues into the acute rehabilitation phase of treatment as</w:t>
      </w:r>
      <w:r w:rsidR="006054C0" w:rsidRPr="004E28BB">
        <w:t xml:space="preserve"> </w:t>
      </w:r>
      <w:r w:rsidR="00FA2FC4">
        <w:t>PTA</w:t>
      </w:r>
      <w:r w:rsidRPr="004E28BB">
        <w:t xml:space="preserve"> resolves. Behavior treatment, which may include applied behavior analysis and a focused behavioral plan based on the results of a functional analysis, is frequently used in these cases. Psychological interventions may be delivered by licensed mental health clinicians.</w:t>
      </w:r>
    </w:p>
    <w:p w:rsidR="000408B7" w:rsidRPr="004E28BB" w:rsidRDefault="000408B7" w:rsidP="00D41D04">
      <w:pPr>
        <w:pStyle w:val="ListNumber3"/>
      </w:pPr>
      <w:bookmarkStart w:id="363" w:name="_Toc319922553"/>
      <w:bookmarkStart w:id="364" w:name="_Toc394643328"/>
      <w:r w:rsidRPr="004E28BB">
        <w:rPr>
          <w:rStyle w:val="Guide3-abcdChar"/>
        </w:rPr>
        <w:t>Early Recovery Phase</w:t>
      </w:r>
      <w:bookmarkEnd w:id="363"/>
      <w:bookmarkEnd w:id="364"/>
      <w:r w:rsidRPr="004E28BB">
        <w:t>: Once PTA has completely resolved and the</w:t>
      </w:r>
      <w:r w:rsidR="006054C0" w:rsidRPr="004E28BB">
        <w:t xml:space="preserve"> </w:t>
      </w:r>
      <w:r w:rsidRPr="004E28BB">
        <w:t>TBI patient is fully oriented in all spheres, psychological clinical services are typically provided to educate him/her about the injury, increase insight into deficits and support the development of positive coping. Treatment also typically involves psychotherapeutic intervention to assist in dealing with feelings of anxiety, loss, frustration and grief. Psychological treatment is often required to address</w:t>
      </w:r>
      <w:r w:rsidR="006054C0" w:rsidRPr="004E28BB">
        <w:t xml:space="preserve"> </w:t>
      </w:r>
      <w:r w:rsidRPr="004E28BB">
        <w:t>depression, heightened irritability, sleep disturbance, and anxiety. Psychological interventions including psychotherapy, sleep hygiene, cognitive behavior modification</w:t>
      </w:r>
      <w:r w:rsidR="00B1112D">
        <w:t>,</w:t>
      </w:r>
      <w:r w:rsidRPr="004E28BB">
        <w:t xml:space="preserve"> and environmental restructuring may be required to address social skills, behavioral deficits</w:t>
      </w:r>
      <w:r w:rsidR="00B1112D">
        <w:t>,</w:t>
      </w:r>
      <w:r w:rsidRPr="004E28BB">
        <w:t xml:space="preserve"> and impulsivity excesses. In addition to psychological services provided directly to the individual, consultation by licensed mental health </w:t>
      </w:r>
      <w:r w:rsidRPr="004E28BB">
        <w:lastRenderedPageBreak/>
        <w:t xml:space="preserve">professionals with other team members is appropriate and encouraged </w:t>
      </w:r>
      <w:r w:rsidR="00B1112D">
        <w:t xml:space="preserve">in order </w:t>
      </w:r>
      <w:r w:rsidRPr="004E28BB">
        <w:t xml:space="preserve">to train team members and </w:t>
      </w:r>
      <w:r w:rsidR="00387A03">
        <w:t>family and/or support system</w:t>
      </w:r>
      <w:r w:rsidRPr="004E28BB">
        <w:t xml:space="preserve"> members to support the process of recovery. Family therapy</w:t>
      </w:r>
      <w:r w:rsidR="006054C0" w:rsidRPr="004E28BB">
        <w:t xml:space="preserve"> </w:t>
      </w:r>
      <w:r w:rsidRPr="004E28BB">
        <w:t>and educational sessions are often indicated.</w:t>
      </w:r>
    </w:p>
    <w:p w:rsidR="000408B7" w:rsidRPr="004E28BB" w:rsidRDefault="000408B7" w:rsidP="00D41D04">
      <w:pPr>
        <w:pStyle w:val="ListNumber3"/>
      </w:pPr>
      <w:bookmarkStart w:id="365" w:name="_Toc319922554"/>
      <w:bookmarkStart w:id="366" w:name="_Toc394643329"/>
      <w:r w:rsidRPr="004E28BB">
        <w:rPr>
          <w:rStyle w:val="Guide3-abcdChar"/>
        </w:rPr>
        <w:t>Stabilization Phase</w:t>
      </w:r>
      <w:bookmarkEnd w:id="365"/>
      <w:bookmarkEnd w:id="366"/>
      <w:r w:rsidRPr="004E28BB">
        <w:t>: Once the individual’s condition has stabilized, the goals of psychological treatment center on supporting the transition to, and functioning within</w:t>
      </w:r>
      <w:r w:rsidR="002843DC">
        <w:t>,</w:t>
      </w:r>
      <w:r w:rsidRPr="004E28BB">
        <w:t xml:space="preserve"> the community. Alterations in cognitive and emotional functioning (e.g., mood disorders, emotional lability, irritability, preservative and disinhibited impulsive behaviors, apathy, memory problems and disorders related to diminished or impaired judgment) may necessitate ongoing psychological treatment. Individuals with </w:t>
      </w:r>
      <w:r w:rsidR="0056633D">
        <w:t>TBI</w:t>
      </w:r>
      <w:r w:rsidRPr="004E28BB">
        <w:t xml:space="preserve"> typically receive psychological services before discharge from the hospital in order to address specific deficits and abilities that will play an important role in successful functioning in their home and community. Depression may be linked to permanent decrease</w:t>
      </w:r>
      <w:r w:rsidR="00B30BDE" w:rsidRPr="004E28BB">
        <w:t xml:space="preserve"> in functioning after treatment</w:t>
      </w:r>
      <w:r w:rsidRPr="004E28BB">
        <w:rPr>
          <w:rStyle w:val="GuideCitesCharChar"/>
        </w:rPr>
        <w:t xml:space="preserve"> (</w:t>
      </w:r>
      <w:hyperlink w:anchor="Hudak2012" w:history="1">
        <w:r w:rsidRPr="00B2589B">
          <w:rPr>
            <w:rStyle w:val="Hyperlink"/>
            <w:rFonts w:cs="Arial"/>
            <w:highlight w:val="yellow"/>
          </w:rPr>
          <w:t>Hudak, 2012</w:t>
        </w:r>
      </w:hyperlink>
      <w:r w:rsidRPr="004E28BB">
        <w:rPr>
          <w:rStyle w:val="GuideCitesCharChar"/>
        </w:rPr>
        <w:t>)</w:t>
      </w:r>
      <w:r w:rsidR="00B30BDE" w:rsidRPr="004E28BB">
        <w:t>.</w:t>
      </w:r>
      <w:r w:rsidRPr="004E28BB">
        <w:t xml:space="preserve"> These services are typically individualized and may take a variety of forms including individual psychotherapy, skills training (e.g., parenting), marital/family psychotherapy, medication management, and group psychotherapy.</w:t>
      </w:r>
      <w:r w:rsidRPr="004E28BB">
        <w:br/>
      </w:r>
      <w:r w:rsidRPr="004E28BB">
        <w:br/>
        <w:t>Treatment should be specially tailored to the needs of the individual and his/her cognitive deficits. For example, an individual with significant memory problems may need to have information from psychotherapy sessions video or audio recorded. Depending on the severity of the behavioral problems, outpatient psychotherapy may</w:t>
      </w:r>
      <w:r w:rsidR="00202675">
        <w:t xml:space="preserve"> </w:t>
      </w:r>
      <w:r w:rsidRPr="004E28BB">
        <w:t xml:space="preserve">be held </w:t>
      </w:r>
      <w:r w:rsidR="002843DC">
        <w:t xml:space="preserve">initially </w:t>
      </w:r>
      <w:r w:rsidRPr="004E28BB">
        <w:t>as frequently as once a day for severe problems (e.g., rage reactions, sexually disinhibited behaviors, or other behaviors that constitute safety risks). Sessions may occur several times a week to address adjustment issues in a psychotherapeutic approach.</w:t>
      </w:r>
      <w:r w:rsidRPr="004E28BB">
        <w:br/>
      </w:r>
      <w:r w:rsidRPr="004E28BB">
        <w:br/>
        <w:t xml:space="preserve">In view of the fact that deficits from moderate/severe </w:t>
      </w:r>
      <w:r w:rsidR="006E531F">
        <w:t>TBI</w:t>
      </w:r>
      <w:r w:rsidRPr="004E28BB">
        <w:t xml:space="preserve"> can persist throughout life, intermittent mental health interventions may be required during the course of the individual’s lifetime in order to address the behavioral problems and emotional distress that may arise secondary to developmental issues, the onset of medical/neurologic/psychiatric co</w:t>
      </w:r>
      <w:r w:rsidR="00B12D8D">
        <w:t>-</w:t>
      </w:r>
      <w:r w:rsidRPr="004E28BB">
        <w:t>morbidities</w:t>
      </w:r>
      <w:r w:rsidR="006E531F">
        <w:t>,</w:t>
      </w:r>
      <w:r w:rsidRPr="004E28BB">
        <w:t xml:space="preserve"> or changes in environmental structure. Periodic upgrading or consultation may also be necessary throughout a person’s lifetime following TBI. Therapy may be reinitiated for time</w:t>
      </w:r>
      <w:r w:rsidR="007843ED">
        <w:t xml:space="preserve"> </w:t>
      </w:r>
      <w:r w:rsidRPr="004E28BB">
        <w:t>limited, goal-specific treatment as new goals or TBI related problems develop.</w:t>
      </w:r>
    </w:p>
    <w:p w:rsidR="000408B7" w:rsidRPr="004E28BB" w:rsidRDefault="000408B7" w:rsidP="00D41D04">
      <w:pPr>
        <w:pStyle w:val="ListNumber3"/>
      </w:pPr>
      <w:bookmarkStart w:id="367" w:name="_Toc319922555"/>
      <w:bookmarkStart w:id="368" w:name="_Toc394643330"/>
      <w:r w:rsidRPr="004E28BB">
        <w:rPr>
          <w:rStyle w:val="Guide3-abcdChar"/>
        </w:rPr>
        <w:t>Consultation in Regard to Usage of Medications</w:t>
      </w:r>
      <w:bookmarkEnd w:id="367"/>
      <w:bookmarkEnd w:id="368"/>
      <w:r w:rsidRPr="004E28BB">
        <w:t>: Medication management for emotional, behavioral, cognitive and physical functioning, for moderate/severe TBI patients is often needed. An interdisciplinary team approach is beneficial and encouraged. Thus, attending physicians will often request consultation from other physicians, including psychiatrists, and non-physician team members, such as psychologists, social workers, and family service counselors</w:t>
      </w:r>
      <w:r w:rsidR="006E531F">
        <w:t>,</w:t>
      </w:r>
      <w:r w:rsidRPr="004E28BB">
        <w:t xml:space="preserve"> to provide data and input regarding behavioral observations that may assist in assessing how the person is responding to various medications. </w:t>
      </w:r>
    </w:p>
    <w:p w:rsidR="00830AA6" w:rsidRPr="004E28BB" w:rsidRDefault="00830AA6" w:rsidP="00830AA6">
      <w:pPr>
        <w:pStyle w:val="ListNumber2"/>
      </w:pPr>
      <w:bookmarkStart w:id="369" w:name="_Toc319922556"/>
      <w:bookmarkStart w:id="370" w:name="_Toc394643331"/>
      <w:r w:rsidRPr="004E28BB">
        <w:rPr>
          <w:rStyle w:val="Guide2-123Char"/>
        </w:rPr>
        <w:t>MEDICATION/Pharmacological Rehabilitation</w:t>
      </w:r>
      <w:bookmarkEnd w:id="370"/>
      <w:r w:rsidR="00AF6D7E" w:rsidRPr="004E28BB">
        <w:t>:</w:t>
      </w:r>
      <w:r w:rsidRPr="004E28BB">
        <w:t xml:space="preserve"> The use of medications requires careful monitoring and collaboration between the individual, physician, family</w:t>
      </w:r>
      <w:r w:rsidR="00387A03">
        <w:t xml:space="preserve"> and</w:t>
      </w:r>
      <w:r w:rsidRPr="004E28BB">
        <w:t>/</w:t>
      </w:r>
      <w:r w:rsidR="00387A03">
        <w:t xml:space="preserve">or </w:t>
      </w:r>
      <w:r w:rsidRPr="004E28BB">
        <w:t>support system</w:t>
      </w:r>
      <w:r w:rsidR="006E531F">
        <w:t>,</w:t>
      </w:r>
      <w:r w:rsidRPr="004E28BB">
        <w:t xml:space="preserve"> and other members of the interdisciplinary team. Common symptom categories targeted for medication treatment may include, but are not limited to:</w:t>
      </w:r>
    </w:p>
    <w:p w:rsidR="00830AA6" w:rsidRPr="004E28BB" w:rsidRDefault="00830AA6" w:rsidP="00F237CF">
      <w:pPr>
        <w:ind w:left="2160" w:hanging="360"/>
      </w:pPr>
      <w:r w:rsidRPr="004E28BB">
        <w:t>●</w:t>
      </w:r>
      <w:r w:rsidRPr="004E28BB">
        <w:tab/>
      </w:r>
      <w:r w:rsidR="006E531F">
        <w:t>P</w:t>
      </w:r>
      <w:r w:rsidRPr="004E28BB">
        <w:t xml:space="preserve">ain (headache, axial, soft tissue, etc.) </w:t>
      </w:r>
      <w:r w:rsidR="00756447">
        <w:t>(r</w:t>
      </w:r>
      <w:r w:rsidRPr="004E28BB">
        <w:t xml:space="preserve">efer to </w:t>
      </w:r>
      <w:r w:rsidR="00811C8B">
        <w:t>Section</w:t>
      </w:r>
      <w:r w:rsidRPr="004E28BB">
        <w:t xml:space="preserve"> </w:t>
      </w:r>
      <w:hyperlink w:anchor="TBIG7Headache" w:history="1">
        <w:r w:rsidRPr="00AF6D7E">
          <w:rPr>
            <w:color w:val="244061"/>
            <w:u w:val="single"/>
          </w:rPr>
          <w:t>G.7. Headache</w:t>
        </w:r>
      </w:hyperlink>
      <w:r w:rsidRPr="004E28BB">
        <w:t xml:space="preserve"> o</w:t>
      </w:r>
      <w:r w:rsidR="00AF6D7E">
        <w:t>f</w:t>
      </w:r>
      <w:r w:rsidRPr="004E28BB">
        <w:t xml:space="preserve"> </w:t>
      </w:r>
      <w:r w:rsidR="0069203C">
        <w:t xml:space="preserve">the </w:t>
      </w:r>
      <w:r w:rsidRPr="004E28BB">
        <w:t>Chronic Pain Guidelines</w:t>
      </w:r>
      <w:r w:rsidR="00756447">
        <w:t>)</w:t>
      </w:r>
      <w:r w:rsidR="00AF6D7E">
        <w:t>.</w:t>
      </w:r>
      <w:r w:rsidRPr="004E28BB">
        <w:t xml:space="preserve"> </w:t>
      </w:r>
    </w:p>
    <w:p w:rsidR="00830AA6" w:rsidRPr="004E28BB" w:rsidRDefault="00830AA6" w:rsidP="00F237CF">
      <w:pPr>
        <w:ind w:left="2160" w:hanging="360"/>
      </w:pPr>
      <w:r w:rsidRPr="004E28BB">
        <w:t>●</w:t>
      </w:r>
      <w:r w:rsidRPr="004E28BB">
        <w:tab/>
      </w:r>
      <w:r w:rsidR="006E531F">
        <w:t>S</w:t>
      </w:r>
      <w:r w:rsidRPr="004E28BB">
        <w:t>ensory alterations (dysesthesias)</w:t>
      </w:r>
      <w:r w:rsidR="00AF6D7E">
        <w:t>.</w:t>
      </w:r>
    </w:p>
    <w:p w:rsidR="00830AA6" w:rsidRPr="004E28BB" w:rsidRDefault="00830AA6" w:rsidP="00F237CF">
      <w:pPr>
        <w:ind w:left="2160" w:hanging="360"/>
      </w:pPr>
      <w:r w:rsidRPr="004E28BB">
        <w:lastRenderedPageBreak/>
        <w:t>●</w:t>
      </w:r>
      <w:r w:rsidRPr="004E28BB">
        <w:tab/>
      </w:r>
      <w:r w:rsidR="006E531F">
        <w:t>M</w:t>
      </w:r>
      <w:r w:rsidRPr="004E28BB">
        <w:t xml:space="preserve">otor symptoms (motor control, coordination, spasticity, weakness, </w:t>
      </w:r>
      <w:r w:rsidR="00AF6D7E">
        <w:t>P</w:t>
      </w:r>
      <w:r w:rsidRPr="004E28BB">
        <w:t>arkinsonism, tremor, etc.)</w:t>
      </w:r>
      <w:r w:rsidR="00AF6D7E">
        <w:t>.</w:t>
      </w:r>
    </w:p>
    <w:p w:rsidR="00830AA6" w:rsidRPr="004E28BB" w:rsidRDefault="00830AA6" w:rsidP="00F237CF">
      <w:pPr>
        <w:ind w:left="2160" w:hanging="360"/>
      </w:pPr>
      <w:r w:rsidRPr="004E28BB">
        <w:t>●</w:t>
      </w:r>
      <w:r w:rsidRPr="004E28BB">
        <w:tab/>
      </w:r>
      <w:r w:rsidR="006E531F">
        <w:t>E</w:t>
      </w:r>
      <w:r w:rsidRPr="004E28BB">
        <w:t>motional conditions (depression, lability, anxiety, etc.)</w:t>
      </w:r>
      <w:r w:rsidR="00AF6D7E">
        <w:t>.</w:t>
      </w:r>
    </w:p>
    <w:p w:rsidR="00830AA6" w:rsidRPr="004E28BB" w:rsidRDefault="00830AA6" w:rsidP="00F237CF">
      <w:pPr>
        <w:ind w:left="2160" w:hanging="360"/>
      </w:pPr>
      <w:r w:rsidRPr="004E28BB">
        <w:t>●</w:t>
      </w:r>
      <w:r w:rsidRPr="004E28BB">
        <w:tab/>
      </w:r>
      <w:r w:rsidR="006E531F">
        <w:t>B</w:t>
      </w:r>
      <w:r w:rsidRPr="004E28BB">
        <w:t>ehavioral problems (poor self-monitoring, dyscontrol, irritability, aggression, poor initiation, etc.)</w:t>
      </w:r>
      <w:r w:rsidR="00AF6D7E">
        <w:t>.</w:t>
      </w:r>
    </w:p>
    <w:p w:rsidR="00830AA6" w:rsidRPr="004E28BB" w:rsidRDefault="00830AA6" w:rsidP="00F237CF">
      <w:pPr>
        <w:ind w:left="2160" w:hanging="360"/>
      </w:pPr>
      <w:r w:rsidRPr="004E28BB">
        <w:t>●</w:t>
      </w:r>
      <w:r w:rsidRPr="004E28BB">
        <w:tab/>
      </w:r>
      <w:r w:rsidR="006E531F">
        <w:t>C</w:t>
      </w:r>
      <w:r w:rsidRPr="004E28BB">
        <w:t>ognitive issues (arousal, attention, speed of processing, memory, executive function, fatigue)</w:t>
      </w:r>
      <w:r w:rsidR="00AF6D7E">
        <w:t>.</w:t>
      </w:r>
    </w:p>
    <w:p w:rsidR="00830AA6" w:rsidRPr="004E28BB" w:rsidRDefault="00830AA6" w:rsidP="00F237CF">
      <w:pPr>
        <w:ind w:left="2160" w:hanging="360"/>
      </w:pPr>
      <w:r w:rsidRPr="004E28BB">
        <w:t>●</w:t>
      </w:r>
      <w:r w:rsidRPr="004E28BB">
        <w:tab/>
      </w:r>
      <w:r w:rsidR="006E531F">
        <w:t>P</w:t>
      </w:r>
      <w:r w:rsidRPr="004E28BB">
        <w:t>sychotic symptoms (disturbances of thought content such as hallucinations and delusions, thought process, and thought disorganization, which can contribute to behavioral problems)</w:t>
      </w:r>
      <w:r w:rsidR="00AF6D7E">
        <w:t>.</w:t>
      </w:r>
    </w:p>
    <w:p w:rsidR="00830AA6" w:rsidRPr="004E28BB" w:rsidRDefault="00830AA6" w:rsidP="00F237CF">
      <w:pPr>
        <w:ind w:left="2160" w:hanging="360"/>
      </w:pPr>
      <w:r w:rsidRPr="004E28BB">
        <w:t>●</w:t>
      </w:r>
      <w:r w:rsidRPr="004E28BB">
        <w:tab/>
      </w:r>
      <w:r w:rsidR="006E531F">
        <w:t>N</w:t>
      </w:r>
      <w:r w:rsidRPr="004E28BB">
        <w:t>eurological issues (seizures, paroxsysmal sympathetic hyperactivity, etc.)</w:t>
      </w:r>
      <w:r w:rsidR="00AF6D7E">
        <w:t>.</w:t>
      </w:r>
    </w:p>
    <w:p w:rsidR="00830AA6" w:rsidRPr="004E28BB" w:rsidRDefault="00830AA6" w:rsidP="00F237CF">
      <w:pPr>
        <w:ind w:left="2160" w:hanging="360"/>
      </w:pPr>
      <w:r w:rsidRPr="004E28BB">
        <w:t>●</w:t>
      </w:r>
      <w:r w:rsidRPr="004E28BB">
        <w:tab/>
      </w:r>
      <w:r w:rsidR="006E531F">
        <w:t>D</w:t>
      </w:r>
      <w:r w:rsidRPr="004E28BB">
        <w:t>isturbances of sleep (insomnia, hypersomnia, sleep-wake cycle reversals)</w:t>
      </w:r>
      <w:r w:rsidR="00AF6D7E">
        <w:t>.</w:t>
      </w:r>
    </w:p>
    <w:p w:rsidR="00795A8C" w:rsidRPr="004E28BB" w:rsidRDefault="00795A8C" w:rsidP="00F237CF">
      <w:pPr>
        <w:ind w:left="2160" w:hanging="360"/>
      </w:pPr>
      <w:r w:rsidRPr="004E28BB">
        <w:t>●</w:t>
      </w:r>
      <w:r w:rsidRPr="004E28BB">
        <w:tab/>
      </w:r>
      <w:r w:rsidR="006E531F">
        <w:t>E</w:t>
      </w:r>
      <w:r w:rsidRPr="004E28BB">
        <w:t>ndocrine dysfunction</w:t>
      </w:r>
      <w:r w:rsidR="00AF6D7E">
        <w:t>.</w:t>
      </w:r>
    </w:p>
    <w:p w:rsidR="00830AA6" w:rsidRPr="004E28BB" w:rsidRDefault="00830AA6" w:rsidP="00F237CF">
      <w:pPr>
        <w:ind w:left="1440"/>
      </w:pPr>
      <w:r w:rsidRPr="004E28BB">
        <w:t xml:space="preserve">There is no single formula for pharmacological treatment of patients with acute, </w:t>
      </w:r>
      <w:r w:rsidR="007843ED">
        <w:t>sub-</w:t>
      </w:r>
      <w:r w:rsidRPr="004E28BB">
        <w:t>acute, or chronic problems due to TBI of any level of severity. A thorough medication history, including use of alternative and over</w:t>
      </w:r>
      <w:r w:rsidR="006E531F">
        <w:t>-</w:t>
      </w:r>
      <w:r w:rsidRPr="004E28BB">
        <w:t>the</w:t>
      </w:r>
      <w:r w:rsidR="006E531F">
        <w:t>-</w:t>
      </w:r>
      <w:r w:rsidRPr="004E28BB">
        <w:t xml:space="preserve">counter medications, should be performed initially and when medication changes are made. The medication history may consist of gathering corroborating information from caregivers and prescribing pharmacies, particularly if the individual has memory or other deficits which may impair their ability to accurately report their medications and </w:t>
      </w:r>
      <w:r w:rsidR="000F5FCB" w:rsidRPr="004E28BB">
        <w:t xml:space="preserve">adherence </w:t>
      </w:r>
      <w:r w:rsidRPr="004E28BB">
        <w:t>to the prescriber. Appropriate application of pharmacological agents depends on the patient’s age, past history (including history of substance abuse), drug allergies</w:t>
      </w:r>
      <w:r w:rsidR="006E531F">
        <w:t>,</w:t>
      </w:r>
      <w:r w:rsidRPr="004E28BB">
        <w:t xml:space="preserve"> and all medical problems. It is incumbent upon the healthcare provider</w:t>
      </w:r>
      <w:r w:rsidRPr="004E28BB">
        <w:rPr>
          <w:b/>
          <w:bCs/>
        </w:rPr>
        <w:t> </w:t>
      </w:r>
      <w:r w:rsidRPr="004E28BB">
        <w:t xml:space="preserve">to thoroughly understand pharmacological principles when dealing with the different drug </w:t>
      </w:r>
      <w:r w:rsidR="005E2CC0" w:rsidRPr="004E28BB">
        <w:t>classes</w:t>
      </w:r>
      <w:r w:rsidRPr="004E28BB">
        <w:t>, their respective side effects, drug interactions</w:t>
      </w:r>
      <w:r w:rsidRPr="004E28BB">
        <w:rPr>
          <w:b/>
          <w:bCs/>
        </w:rPr>
        <w:t>, </w:t>
      </w:r>
      <w:r w:rsidRPr="004E28BB">
        <w:t xml:space="preserve">bioavailability profiles, and </w:t>
      </w:r>
      <w:r w:rsidR="006E531F">
        <w:t xml:space="preserve">the </w:t>
      </w:r>
      <w:r w:rsidRPr="004E28BB">
        <w:t xml:space="preserve">primary reason for each medication’s usage. Patients and their caretakers should be aware that medications alone are unlikely to provide complete symptom relief. A primary goal of drug treatment is to improve the patient’s function as measured behaviorally. </w:t>
      </w:r>
      <w:r w:rsidR="00D43A3F">
        <w:t>Essential elements of post-traumatic deficits require c</w:t>
      </w:r>
      <w:r w:rsidRPr="004E28BB">
        <w:t>ontinuing participation in rehabilitative programs appropriate to and consistent with the level of recovery and techniques such as cognitive behavioral therapy and other individualized physical and psychological practices, as described elsewhere in this guideline.</w:t>
      </w:r>
      <w:r w:rsidRPr="004E28BB">
        <w:br/>
      </w:r>
      <w:r w:rsidRPr="004E28BB">
        <w:br/>
        <w:t>Control of chronic post-traumatic deficits, particularly in moderate</w:t>
      </w:r>
      <w:r w:rsidR="00E55458">
        <w:t>/</w:t>
      </w:r>
      <w:r w:rsidRPr="004E28BB">
        <w:t>severe TBI, is expected to involve the use of medication. Strategies for pharmacological control of post-traumatic symptoms cannot be precisely specified in advance. Rather, drug treatment requires close monitoring of the patient’s response to therapy, flexibility on the part of the prescriber</w:t>
      </w:r>
      <w:r w:rsidR="00E55458">
        <w:t>,</w:t>
      </w:r>
      <w:r w:rsidRPr="004E28BB">
        <w:t xml:space="preserve"> and a willingness to change treatment when circumstances change; this includes lowering and/or discontinuing medications when symptoms improve and periodic trials of lowering medications when symptoms are stable. Many of the drugs discussed in the medication section are FDA approved for other indications but may appropriately be used for various aspects of TBI treatment and associated conditions. When prescribing off-label FDA use of a medication, indications and </w:t>
      </w:r>
      <w:r w:rsidR="00547839">
        <w:t xml:space="preserve">functional </w:t>
      </w:r>
      <w:r w:rsidRPr="004E28BB">
        <w:t xml:space="preserve">goals should be clearly stated as part of a </w:t>
      </w:r>
      <w:r w:rsidR="00AF2331" w:rsidRPr="004E28BB">
        <w:t>comprehensive, functionally</w:t>
      </w:r>
      <w:r w:rsidRPr="004E28BB">
        <w:t>-based treatment plan. It is generally wise to</w:t>
      </w:r>
      <w:r w:rsidRPr="004E28BB">
        <w:rPr>
          <w:b/>
          <w:bCs/>
        </w:rPr>
        <w:t xml:space="preserve"> </w:t>
      </w:r>
      <w:r w:rsidRPr="004E28BB">
        <w:t>begin management with lower</w:t>
      </w:r>
      <w:r w:rsidR="00E55458">
        <w:t xml:space="preserve"> </w:t>
      </w:r>
      <w:r w:rsidRPr="004E28BB">
        <w:t xml:space="preserve">cost medications whose </w:t>
      </w:r>
      <w:r w:rsidR="000F5FCB" w:rsidRPr="004E28BB">
        <w:t xml:space="preserve">safety and </w:t>
      </w:r>
      <w:r w:rsidRPr="004E28BB">
        <w:t xml:space="preserve">efficacy equals </w:t>
      </w:r>
      <w:r w:rsidR="00E55458">
        <w:t xml:space="preserve">that of </w:t>
      </w:r>
      <w:r w:rsidRPr="004E28BB">
        <w:t>higher</w:t>
      </w:r>
      <w:r w:rsidR="00E55458">
        <w:t xml:space="preserve"> </w:t>
      </w:r>
      <w:r w:rsidRPr="004E28BB">
        <w:t>cost medications</w:t>
      </w:r>
      <w:r w:rsidR="00A95C9B" w:rsidRPr="004E28BB">
        <w:t>,</w:t>
      </w:r>
      <w:r w:rsidRPr="004E28BB">
        <w:t xml:space="preserve"> and medications with a greater safety profile. Decisions to progress to more expensive, non-generic, and/or riskier medications are made based on the drug profile, patient/caregiver feedback, and improvement in function. The provider </w:t>
      </w:r>
      <w:r w:rsidR="007A4797" w:rsidRPr="004E28BB">
        <w:lastRenderedPageBreak/>
        <w:t>should</w:t>
      </w:r>
      <w:r w:rsidRPr="004E28BB">
        <w:t xml:space="preserve"> carefully balance the untoward side effects of the different drugs with therapeutic benefits,</w:t>
      </w:r>
      <w:r w:rsidRPr="004E28BB">
        <w:rPr>
          <w:b/>
          <w:bCs/>
        </w:rPr>
        <w:t> </w:t>
      </w:r>
      <w:r w:rsidRPr="004E28BB">
        <w:t>as well as monitoring for</w:t>
      </w:r>
      <w:r w:rsidRPr="004E28BB">
        <w:rPr>
          <w:b/>
          <w:bCs/>
        </w:rPr>
        <w:t> </w:t>
      </w:r>
      <w:r w:rsidRPr="004E28BB">
        <w:t>any drug interactions.</w:t>
      </w:r>
      <w:r w:rsidRPr="004E28BB">
        <w:br/>
      </w:r>
      <w:r w:rsidRPr="004E28BB">
        <w:br/>
        <w:t xml:space="preserve">Prescribed medications should be given an appropriate trial in order to test for therapeutic effect and tolerance to the medication. The length of an appropriate trial varies widely depending on the </w:t>
      </w:r>
      <w:r w:rsidR="000F5FCB" w:rsidRPr="004E28BB">
        <w:t xml:space="preserve">drug, as well as the </w:t>
      </w:r>
      <w:r w:rsidRPr="004E28BB">
        <w:t>individual and their response to the drug. Certain medications may take several weeks to months (e.g. antidepressants) to determine the efficacy, while others require only a few doses (e.g. psychostimulants). It is recommended that patients with chronic post-TBI symptoms who require maintenance medications use those that have the least serious side effects. </w:t>
      </w:r>
      <w:r w:rsidRPr="004E28BB">
        <w:br/>
      </w:r>
      <w:r w:rsidRPr="004E28BB">
        <w:br/>
        <w:t>Drugs of potential abuse, such as sedative/hypnotics or benzodiazepines, should be used sparingly in properly selected patients</w:t>
      </w:r>
      <w:r w:rsidR="00F523FE" w:rsidRPr="004E28BB">
        <w:t xml:space="preserve">, e.g. for refractory insomnia, </w:t>
      </w:r>
      <w:r w:rsidRPr="004E28BB">
        <w:t>although total elimination of these medications is desirable whenever clinically feasible. It is strongly recommended that such pharmacological management be monitored or managed by an experienced physician</w:t>
      </w:r>
      <w:r w:rsidR="000F595E">
        <w:t>,</w:t>
      </w:r>
      <w:r w:rsidRPr="004E28BB">
        <w:t xml:space="preserve"> and referral to a specialist experienced in TBI may be necessary. Non-pharmacologic interventions should be used in combination with pharmacologic treatments to minimize the amount of medication necessary in patients with all levels of severity of TBI. </w:t>
      </w:r>
      <w:r w:rsidR="00A95C9B" w:rsidRPr="004E28BB">
        <w:t>Clinical pharmacologist can provide useful guidance in medication selection.</w:t>
      </w:r>
      <w:r w:rsidRPr="004E28BB">
        <w:br/>
      </w:r>
      <w:r w:rsidRPr="004E28BB">
        <w:br/>
        <w:t xml:space="preserve">Problems associated with mild, moderate, and severe TBI can be treated with a variety of medications; however, all have specific side effects and interactions of which clinicians </w:t>
      </w:r>
      <w:r w:rsidR="00CE22B1" w:rsidRPr="004E28BB">
        <w:t>should</w:t>
      </w:r>
      <w:r w:rsidRPr="004E28BB">
        <w:t xml:space="preserve"> be mindful. Persons who sustain a TBI, particularly moderate</w:t>
      </w:r>
      <w:r w:rsidR="000F595E">
        <w:t>/</w:t>
      </w:r>
      <w:r w:rsidRPr="004E28BB">
        <w:t>severe TBI, are particularly sensitive to central nervous system side effects, such as sedation, dizziness, cognitive impairment, and motor impairment. Starting doses and titration of medications will usually need to start lower and go slower, respectively</w:t>
      </w:r>
      <w:r w:rsidR="00F523FE" w:rsidRPr="004E28BB">
        <w:t xml:space="preserve">; </w:t>
      </w:r>
      <w:r w:rsidRPr="004E28BB">
        <w:t xml:space="preserve">target doses may also be lower than when using these medications in a person without a TBI. Mild TBI cases are less likely to require medication as the majority of cases do well without prescription medications. When medication is used </w:t>
      </w:r>
      <w:r w:rsidR="00816243" w:rsidRPr="004E28BB">
        <w:t>for MTBI</w:t>
      </w:r>
      <w:r w:rsidR="00A95C9B" w:rsidRPr="004E28BB">
        <w:t>, it</w:t>
      </w:r>
      <w:r w:rsidRPr="004E28BB">
        <w:t xml:space="preserve"> is reasonable to consider a trial of tapering at 1</w:t>
      </w:r>
      <w:r w:rsidR="00677439">
        <w:t>–</w:t>
      </w:r>
      <w:r w:rsidRPr="004E28BB">
        <w:t>2 years post</w:t>
      </w:r>
      <w:r w:rsidR="007843ED">
        <w:t>-</w:t>
      </w:r>
      <w:r w:rsidRPr="004E28BB">
        <w:t>injury.</w:t>
      </w:r>
      <w:r w:rsidRPr="004E28BB">
        <w:br/>
      </w:r>
      <w:r w:rsidRPr="004E28BB">
        <w:br/>
        <w:t>For the clinician to interpret the following material, it should be noted that: (1) drug profiles listed are not complete; (2) dosing of drugs will depend upon the specific drug, especially for off-label use; (3) not all drugs within each class are listed, and</w:t>
      </w:r>
      <w:r w:rsidR="00A95C9B" w:rsidRPr="004E28BB">
        <w:t xml:space="preserve"> (4)</w:t>
      </w:r>
      <w:r w:rsidRPr="004E28BB">
        <w:t xml:space="preserve"> other drugs within the class may be appropriate for individual cases. Clinicians should refer to informational texts or consult a pharmacist before prescribing unfamiliar medications or when there is a concern for drug interactions.</w:t>
      </w:r>
      <w:r w:rsidRPr="004E28BB">
        <w:br/>
      </w:r>
      <w:r w:rsidRPr="004E28BB">
        <w:br/>
        <w:t>The following drug classes are listed in alphabetical order, not in order of suggested use.</w:t>
      </w:r>
    </w:p>
    <w:p w:rsidR="00F8152B" w:rsidRPr="004E28BB" w:rsidRDefault="00830AA6" w:rsidP="00830AA6">
      <w:pPr>
        <w:pStyle w:val="ListNumber3"/>
      </w:pPr>
      <w:bookmarkStart w:id="371" w:name="_Toc394643332"/>
      <w:r w:rsidRPr="004E28BB">
        <w:rPr>
          <w:rStyle w:val="Guide3-abcdChar"/>
        </w:rPr>
        <w:t xml:space="preserve">Affective </w:t>
      </w:r>
      <w:r w:rsidR="008132CD">
        <w:rPr>
          <w:rStyle w:val="Guide3-abcdChar"/>
        </w:rPr>
        <w:t>D</w:t>
      </w:r>
      <w:r w:rsidRPr="004E28BB">
        <w:rPr>
          <w:rStyle w:val="Guide3-abcdChar"/>
        </w:rPr>
        <w:t xml:space="preserve">isorders </w:t>
      </w:r>
      <w:r w:rsidR="008132CD">
        <w:rPr>
          <w:rStyle w:val="Guide3-abcdChar"/>
        </w:rPr>
        <w:t>M</w:t>
      </w:r>
      <w:r w:rsidRPr="004E28BB">
        <w:rPr>
          <w:rStyle w:val="Guide3-abcdChar"/>
        </w:rPr>
        <w:t>edications</w:t>
      </w:r>
      <w:bookmarkEnd w:id="371"/>
      <w:r w:rsidR="00AF6D7E" w:rsidRPr="004E28BB">
        <w:t>:</w:t>
      </w:r>
      <w:r w:rsidRPr="004E28BB">
        <w:t xml:space="preserve"> </w:t>
      </w:r>
      <w:r w:rsidR="00DB1052">
        <w:t>C</w:t>
      </w:r>
      <w:r w:rsidRPr="004E28BB">
        <w:t>lassified into a number of categories based on their chemical structure and their effects on neurotransmitter systems. Their effects on depression are attributed to their actions on norepinephrine, serotonin, and dopamine at the level of the synapse; although these synaptic actions are immediate, the symptomatic response in depression is delayed by several weeks. Selective Serotonin Reuptake Inhibitors (SSRIs) or Serotonin-Norepinephrine Reuptake Inhibitors (SNRI</w:t>
      </w:r>
      <w:r w:rsidR="00381476" w:rsidRPr="004E28BB">
        <w:t>s</w:t>
      </w:r>
      <w:r w:rsidRPr="004E28BB">
        <w:t>) may be used first line, although there is more data to support the use of SSRIs as first line intervention</w:t>
      </w:r>
      <w:r w:rsidRPr="004E28BB">
        <w:rPr>
          <w:rStyle w:val="GuideCitesCharChar"/>
        </w:rPr>
        <w:t xml:space="preserve"> (</w:t>
      </w:r>
      <w:hyperlink w:anchor="Fann2009" w:history="1">
        <w:r w:rsidRPr="00B2589B">
          <w:rPr>
            <w:rStyle w:val="Hyperlink"/>
            <w:rFonts w:cs="Arial"/>
            <w:highlight w:val="yellow"/>
          </w:rPr>
          <w:t>Fann, 2009</w:t>
        </w:r>
      </w:hyperlink>
      <w:r w:rsidRPr="00F201EA">
        <w:rPr>
          <w:rStyle w:val="GuideCitesCharChar"/>
          <w:highlight w:val="yellow"/>
        </w:rPr>
        <w:t>)</w:t>
      </w:r>
      <w:r w:rsidR="00B30BDE" w:rsidRPr="004E28BB">
        <w:t>.</w:t>
      </w:r>
      <w:r w:rsidRPr="004E28BB">
        <w:t xml:space="preserve"> Doses should be started low and slowly increased with attention to any fatigue, headache, insomnia, or drowsiness</w:t>
      </w:r>
      <w:r w:rsidR="00D1473C">
        <w:t>,</w:t>
      </w:r>
      <w:r w:rsidRPr="004E28BB">
        <w:t xml:space="preserve"> which could impede cognitive progress. Several sources recommend citalopram or sertraline as they may </w:t>
      </w:r>
      <w:r w:rsidR="00B30BDE" w:rsidRPr="004E28BB">
        <w:t>also have a dopaminergic effect</w:t>
      </w:r>
      <w:r w:rsidRPr="00773307">
        <w:rPr>
          <w:rStyle w:val="GuideCitesCharChar"/>
        </w:rPr>
        <w:t xml:space="preserve"> (</w:t>
      </w:r>
      <w:hyperlink w:anchor="Fann2009" w:history="1">
        <w:r w:rsidRPr="00B2589B">
          <w:rPr>
            <w:rStyle w:val="Hyperlink"/>
            <w:rFonts w:cs="Arial"/>
            <w:highlight w:val="yellow"/>
          </w:rPr>
          <w:t>Fann, 2009</w:t>
        </w:r>
      </w:hyperlink>
      <w:r w:rsidRPr="00F201EA">
        <w:rPr>
          <w:rStyle w:val="GuideCitesCharChar"/>
          <w:highlight w:val="yellow"/>
        </w:rPr>
        <w:t xml:space="preserve">; </w:t>
      </w:r>
      <w:hyperlink w:anchor="VetsDOD2009" w:history="1">
        <w:r w:rsidRPr="00B2589B">
          <w:rPr>
            <w:rStyle w:val="Hyperlink"/>
            <w:rFonts w:cs="Arial"/>
            <w:highlight w:val="yellow"/>
          </w:rPr>
          <w:t>VADoD, 2009</w:t>
        </w:r>
      </w:hyperlink>
      <w:r w:rsidR="004A6BFF" w:rsidRPr="00F201EA">
        <w:rPr>
          <w:rStyle w:val="GuideCitesCharChar"/>
          <w:highlight w:val="yellow"/>
        </w:rPr>
        <w:t>;</w:t>
      </w:r>
      <w:r w:rsidRPr="00F201EA">
        <w:rPr>
          <w:rStyle w:val="GuideCitesCharChar"/>
          <w:highlight w:val="yellow"/>
        </w:rPr>
        <w:t xml:space="preserve"> </w:t>
      </w:r>
      <w:hyperlink w:anchor="Warden2006" w:history="1">
        <w:r w:rsidRPr="00B2589B">
          <w:rPr>
            <w:rStyle w:val="Hyperlink"/>
            <w:rFonts w:cs="Arial"/>
            <w:highlight w:val="yellow"/>
          </w:rPr>
          <w:t>Warden</w:t>
        </w:r>
        <w:r w:rsidR="004A6BFF" w:rsidRPr="00B2589B">
          <w:rPr>
            <w:rStyle w:val="Hyperlink"/>
            <w:rFonts w:cs="Arial"/>
            <w:highlight w:val="yellow"/>
          </w:rPr>
          <w:t>,</w:t>
        </w:r>
        <w:r w:rsidRPr="00B2589B">
          <w:rPr>
            <w:rStyle w:val="Hyperlink"/>
            <w:rFonts w:cs="Arial"/>
            <w:highlight w:val="yellow"/>
          </w:rPr>
          <w:t xml:space="preserve"> 2006</w:t>
        </w:r>
      </w:hyperlink>
      <w:r w:rsidRPr="00773307">
        <w:rPr>
          <w:rStyle w:val="GuideCitesCharChar"/>
        </w:rPr>
        <w:t>)</w:t>
      </w:r>
      <w:r w:rsidRPr="004E28BB">
        <w:t>.</w:t>
      </w:r>
      <w:r w:rsidR="000F5FCB" w:rsidRPr="004E28BB">
        <w:t>These drugs have fewer drug interactions and are likely better tolerated.</w:t>
      </w:r>
      <w:r w:rsidRPr="004E28BB">
        <w:t xml:space="preserve"> Tricyclic antidepressants (TCAs) </w:t>
      </w:r>
      <w:r w:rsidR="00CE22B1" w:rsidRPr="004E28BB">
        <w:t>may also be used, however some have sedating qualities.</w:t>
      </w:r>
      <w:r w:rsidR="00F8152B" w:rsidRPr="004E28BB">
        <w:t xml:space="preserve"> </w:t>
      </w:r>
      <w:r w:rsidRPr="004E28BB">
        <w:t xml:space="preserve">(Refer to </w:t>
      </w:r>
      <w:r w:rsidR="0069203C">
        <w:t xml:space="preserve">the </w:t>
      </w:r>
      <w:r w:rsidRPr="004E28BB">
        <w:t xml:space="preserve">Chronic Pain </w:t>
      </w:r>
      <w:r w:rsidR="0069203C">
        <w:t>G</w:t>
      </w:r>
      <w:r w:rsidRPr="004E28BB">
        <w:t>uideline</w:t>
      </w:r>
      <w:r w:rsidR="0069203C">
        <w:t>s</w:t>
      </w:r>
      <w:r w:rsidRPr="004E28BB">
        <w:t xml:space="preserve"> for detail</w:t>
      </w:r>
      <w:r w:rsidR="00AC652C" w:rsidRPr="004E28BB">
        <w:t>s</w:t>
      </w:r>
      <w:r w:rsidRPr="004E28BB">
        <w:t>)</w:t>
      </w:r>
      <w:r w:rsidR="00F8152B" w:rsidRPr="004E28BB">
        <w:rPr>
          <w:i/>
        </w:rPr>
        <w:t>.</w:t>
      </w:r>
      <w:r w:rsidR="00DD531A" w:rsidRPr="004E28BB">
        <w:rPr>
          <w:i/>
        </w:rPr>
        <w:t xml:space="preserve"> </w:t>
      </w:r>
      <w:r w:rsidR="00F8152B" w:rsidRPr="004E28BB">
        <w:t xml:space="preserve">A </w:t>
      </w:r>
      <w:r w:rsidRPr="004E28BB">
        <w:t xml:space="preserve">combination of </w:t>
      </w:r>
      <w:r w:rsidRPr="004E28BB">
        <w:lastRenderedPageBreak/>
        <w:t>dextromethorphan and quinidine may be used for patients suffering from pseudobulbar affect, which manifests as frequent, involuntary</w:t>
      </w:r>
      <w:r w:rsidR="00DB1052">
        <w:t>,</w:t>
      </w:r>
      <w:r w:rsidRPr="004E28BB">
        <w:t xml:space="preserve"> and sudden episodes of crying or laughing. This can be seen in TBI and should be distinguished from depression and mania/hypomania to assure that the correct medication is used. There is no generic brand of this medication at </w:t>
      </w:r>
      <w:r w:rsidR="00221A7D">
        <w:t>the</w:t>
      </w:r>
      <w:r w:rsidR="00221A7D" w:rsidRPr="004E28BB">
        <w:t xml:space="preserve"> </w:t>
      </w:r>
      <w:r w:rsidRPr="004E28BB">
        <w:t>time</w:t>
      </w:r>
      <w:r w:rsidR="00221A7D">
        <w:t xml:space="preserve"> of this guideline</w:t>
      </w:r>
      <w:r w:rsidR="00CE22B1" w:rsidRPr="004E28BB">
        <w:t>.</w:t>
      </w:r>
      <w:r w:rsidRPr="004E28BB">
        <w:t xml:space="preserve"> </w:t>
      </w:r>
    </w:p>
    <w:p w:rsidR="00830AA6" w:rsidRPr="004E28BB" w:rsidRDefault="00830AA6" w:rsidP="00830AA6">
      <w:pPr>
        <w:pStyle w:val="ListNumber3"/>
      </w:pPr>
      <w:bookmarkStart w:id="372" w:name="_Toc394643333"/>
      <w:r w:rsidRPr="004E28BB">
        <w:rPr>
          <w:rStyle w:val="Guide3-abcdChar"/>
        </w:rPr>
        <w:t xml:space="preserve">Behavior/ Aggression </w:t>
      </w:r>
      <w:r w:rsidR="00DB1052">
        <w:rPr>
          <w:rStyle w:val="Guide3-abcdChar"/>
        </w:rPr>
        <w:t>M</w:t>
      </w:r>
      <w:r w:rsidRPr="004E28BB">
        <w:rPr>
          <w:rStyle w:val="Guide3-abcdChar"/>
        </w:rPr>
        <w:t>edications</w:t>
      </w:r>
      <w:bookmarkEnd w:id="372"/>
      <w:r w:rsidR="00AF6D7E" w:rsidRPr="004E28BB">
        <w:t>:</w:t>
      </w:r>
      <w:r w:rsidR="00C1071A" w:rsidRPr="004E28BB">
        <w:t xml:space="preserve"> There are no FDA</w:t>
      </w:r>
      <w:r w:rsidR="00740C00">
        <w:t xml:space="preserve"> </w:t>
      </w:r>
      <w:r w:rsidR="00C1071A" w:rsidRPr="004E28BB">
        <w:t xml:space="preserve">approved drugs for the treatment of aggression in TBI, but many agents have been shown </w:t>
      </w:r>
      <w:r w:rsidR="00DB1052">
        <w:t xml:space="preserve">possibly </w:t>
      </w:r>
      <w:r w:rsidR="00C1071A" w:rsidRPr="004E28BB">
        <w:t>to possibly have efficacy, including antipsychotics, antidepressants, mood stabilizers, anticonvulsants, and beta</w:t>
      </w:r>
      <w:r w:rsidR="00DB1052">
        <w:t xml:space="preserve"> </w:t>
      </w:r>
      <w:r w:rsidR="00C1071A" w:rsidRPr="004E28BB">
        <w:t>blockers. Beta</w:t>
      </w:r>
      <w:r w:rsidR="00DB1052">
        <w:t xml:space="preserve"> </w:t>
      </w:r>
      <w:r w:rsidR="00C1071A" w:rsidRPr="004E28BB">
        <w:t xml:space="preserve">blockers are relatively contraindicated in patients with asthma, heat block, or diabetes. Although there is some data suggesting that conventional and atypical antipsychotics can slow recovery from </w:t>
      </w:r>
      <w:r w:rsidR="0056633D">
        <w:t>TBI</w:t>
      </w:r>
      <w:r w:rsidR="00C1071A" w:rsidRPr="004E28BB">
        <w:t>, they may assist in the management of highly agitated or psychotic patients and those patients with co-morbid mood disorders. Use of these drugs should include careful monitoring for the development of tardive dyskinesia, weight gain, impaired cognition or coordination, hyperlipidemia</w:t>
      </w:r>
      <w:r w:rsidR="00DB1052">
        <w:t>,</w:t>
      </w:r>
      <w:r w:rsidR="00C1071A" w:rsidRPr="004E28BB">
        <w:t xml:space="preserve"> and glucose intolerance. An attempt to periodically reduce the dose or completely eliminate the drug should be made once the patient has stabilized, and clinicians should have a low threshold for consulting a psychiatrist if prolonged use of the class of medication appears likely. </w:t>
      </w:r>
      <w:r w:rsidRPr="004E28BB">
        <w:t>All medication use should consider the effects on cognition and interaction with other medication.</w:t>
      </w:r>
      <w:r w:rsidR="00DD531A" w:rsidRPr="004E28BB">
        <w:t xml:space="preserve"> </w:t>
      </w:r>
      <w:r w:rsidRPr="004E28BB">
        <w:t>Anti-epileptic medications, such as carbamazepine and valproate and other antihypertensive medications, such as clonidine, may also be beneficial.</w:t>
      </w:r>
      <w:r w:rsidR="00DD531A" w:rsidRPr="004E28BB">
        <w:t xml:space="preserve"> </w:t>
      </w:r>
    </w:p>
    <w:p w:rsidR="00830AA6" w:rsidRPr="004E28BB" w:rsidRDefault="00830AA6" w:rsidP="00B30BDE">
      <w:pPr>
        <w:pStyle w:val="ListNumber3"/>
      </w:pPr>
      <w:bookmarkStart w:id="373" w:name="_Toc394643334"/>
      <w:r w:rsidRPr="004E28BB">
        <w:rPr>
          <w:rStyle w:val="Guide3-abcdChar"/>
        </w:rPr>
        <w:t>Cognitive Enhancers</w:t>
      </w:r>
      <w:bookmarkEnd w:id="373"/>
      <w:r w:rsidR="00AF6D7E" w:rsidRPr="004E28BB">
        <w:t>:</w:t>
      </w:r>
      <w:r w:rsidRPr="004E28BB">
        <w:t xml:space="preserve"> Several areas are addressed by these agents</w:t>
      </w:r>
      <w:r w:rsidR="009474A3">
        <w:t>:</w:t>
      </w:r>
      <w:r w:rsidRPr="004E28BB">
        <w:t xml:space="preserve"> memory, attention, speed of information processing, executive function, and other general cognitive domains. Many of the medications are off-label use</w:t>
      </w:r>
      <w:r w:rsidR="009474A3">
        <w:t>,</w:t>
      </w:r>
      <w:r w:rsidRPr="004E28BB">
        <w:t xml:space="preserve"> and all should be carefully followed for side effects that may interfere with recovery. </w:t>
      </w:r>
      <w:r w:rsidR="0004650B" w:rsidRPr="004E28BB">
        <w:t>M</w:t>
      </w:r>
      <w:r w:rsidRPr="004E28BB">
        <w:t>edications given to improve cognition</w:t>
      </w:r>
      <w:r w:rsidR="0004650B" w:rsidRPr="004E28BB">
        <w:t xml:space="preserve"> </w:t>
      </w:r>
      <w:r w:rsidRPr="004E28BB">
        <w:t>should be monitored with periodic neuropsychological assessment or cognitive screening to confirm positive response and the need to continue the medication. These medications should also have trial decreases periodically for eventual weaning. Most cognitive enhancers fall into the general categories of stimulants, cholinesterase inhibitors, or dopamine enhancers</w:t>
      </w:r>
      <w:r w:rsidR="006A6605" w:rsidRPr="004E28BB">
        <w:t>. The VADoD</w:t>
      </w:r>
      <w:r w:rsidRPr="004E28BB">
        <w:t xml:space="preserve"> and other studies support the use of methylphenidate, modafanil</w:t>
      </w:r>
      <w:r w:rsidR="009474A3">
        <w:t>,</w:t>
      </w:r>
      <w:r w:rsidRPr="004E28BB">
        <w:t xml:space="preserve"> or amantadine in some cases w</w:t>
      </w:r>
      <w:r w:rsidR="006968C9" w:rsidRPr="004E28BB">
        <w:t>ith impaired cognitive function</w:t>
      </w:r>
      <w:r w:rsidRPr="004E28BB">
        <w:rPr>
          <w:rStyle w:val="GuideCitesCharChar"/>
        </w:rPr>
        <w:t xml:space="preserve"> (</w:t>
      </w:r>
      <w:hyperlink w:anchor="VetsDOD2009" w:history="1">
        <w:r w:rsidR="006A6605" w:rsidRPr="00B2589B">
          <w:rPr>
            <w:rStyle w:val="Hyperlink"/>
            <w:rFonts w:cs="Arial"/>
            <w:highlight w:val="yellow"/>
          </w:rPr>
          <w:t>VADoD</w:t>
        </w:r>
        <w:r w:rsidR="004A6BFF" w:rsidRPr="00B2589B">
          <w:rPr>
            <w:rStyle w:val="Hyperlink"/>
            <w:rFonts w:cs="Arial"/>
            <w:highlight w:val="yellow"/>
          </w:rPr>
          <w:t>, 2009</w:t>
        </w:r>
      </w:hyperlink>
      <w:r w:rsidRPr="004E28BB">
        <w:rPr>
          <w:rStyle w:val="GuideCitesCharChar"/>
        </w:rPr>
        <w:t>)</w:t>
      </w:r>
      <w:r w:rsidR="006968C9" w:rsidRPr="004E28BB">
        <w:t>.</w:t>
      </w:r>
      <w:r w:rsidRPr="004E28BB">
        <w:t xml:space="preserve"> </w:t>
      </w:r>
      <w:r w:rsidRPr="004E28BB">
        <w:br/>
      </w:r>
      <w:r w:rsidRPr="004E28BB">
        <w:br/>
        <w:t>Moderate/severe TBI cases will require individual management due to the number of issues being addressed, cognitive changes over time, and drug interactions. Considering these issues and the limited number of adequate studies in this area</w:t>
      </w:r>
      <w:r w:rsidR="00963B88" w:rsidRPr="004E28BB">
        <w:t xml:space="preserve">, with many published articles having small case sizes or non-randomized controls, </w:t>
      </w:r>
      <w:r w:rsidRPr="004E28BB">
        <w:t xml:space="preserve">medication regimes for moderate/severe TBI patients have wide variation. </w:t>
      </w:r>
      <w:r w:rsidRPr="004E28BB">
        <w:br/>
      </w:r>
      <w:r w:rsidRPr="004E28BB">
        <w:br/>
        <w:t xml:space="preserve">The alphabetical following list is neither exhaustive nor complete regarding side effects, drug interactions, or studies not included in this review. Providers are advised to seek other sources for detailed drug prescribing information. </w:t>
      </w:r>
    </w:p>
    <w:p w:rsidR="00830AA6" w:rsidRPr="004E28BB" w:rsidRDefault="00830AA6">
      <w:pPr>
        <w:numPr>
          <w:ilvl w:val="3"/>
          <w:numId w:val="9"/>
        </w:numPr>
        <w:rPr>
          <w:u w:val="single"/>
        </w:rPr>
      </w:pPr>
      <w:r w:rsidRPr="00AF6D7E">
        <w:rPr>
          <w:u w:val="single"/>
        </w:rPr>
        <w:t>Amantadine</w:t>
      </w:r>
      <w:r w:rsidR="00AF6D7E" w:rsidRPr="004E28BB">
        <w:t>:</w:t>
      </w:r>
    </w:p>
    <w:p w:rsidR="00830AA6" w:rsidRPr="004E28BB" w:rsidRDefault="00830AA6" w:rsidP="00B30BDE">
      <w:pPr>
        <w:pStyle w:val="ListNumber5"/>
      </w:pPr>
      <w:r w:rsidRPr="004E28BB">
        <w:t>Description</w:t>
      </w:r>
      <w:r w:rsidR="00FD3712">
        <w:t>:</w:t>
      </w:r>
      <w:r w:rsidRPr="004E28BB">
        <w:t xml:space="preserve"> A non</w:t>
      </w:r>
      <w:r w:rsidR="0053165C">
        <w:t>-</w:t>
      </w:r>
      <w:r w:rsidRPr="004E28BB">
        <w:t xml:space="preserve">competitive antagonist at NMDA receptors </w:t>
      </w:r>
      <w:r w:rsidR="00FD3712">
        <w:t>that</w:t>
      </w:r>
      <w:r w:rsidRPr="004E28BB">
        <w:t xml:space="preserve"> enhances dopamine. Amantadine stimulates dopamine receptors, increases dopamine release, decreases presynaptic dopamine reuptake, and/or enhances post</w:t>
      </w:r>
      <w:r w:rsidR="007843ED">
        <w:t>-</w:t>
      </w:r>
      <w:r w:rsidRPr="004E28BB">
        <w:t>synaptic dopamine receptor sensitivity. There is some evidence that amantadine in doses of 100</w:t>
      </w:r>
      <w:r w:rsidR="00FD3712">
        <w:t>–</w:t>
      </w:r>
      <w:r w:rsidRPr="004E28BB">
        <w:t xml:space="preserve">200 mg/ day can improve the performance of </w:t>
      </w:r>
      <w:r w:rsidRPr="004E28BB">
        <w:lastRenderedPageBreak/>
        <w:t>severe TBI patients who are in a minimally conscious state during the time period of drug delivery. Long</w:t>
      </w:r>
      <w:r w:rsidR="00FD3712">
        <w:t>-</w:t>
      </w:r>
      <w:r w:rsidRPr="004E28BB">
        <w:t>term usage and benefits w</w:t>
      </w:r>
      <w:r w:rsidR="00B30BDE" w:rsidRPr="004E28BB">
        <w:t>ere not addressed in this study</w:t>
      </w:r>
      <w:r w:rsidRPr="004E28BB">
        <w:rPr>
          <w:rStyle w:val="GuideCitesCharChar"/>
        </w:rPr>
        <w:t xml:space="preserve"> (</w:t>
      </w:r>
      <w:hyperlink w:anchor="Giacino2012a" w:history="1">
        <w:r w:rsidRPr="00B2589B">
          <w:rPr>
            <w:rStyle w:val="Hyperlink"/>
            <w:rFonts w:cs="Arial"/>
            <w:highlight w:val="yellow"/>
          </w:rPr>
          <w:t>Giacino, 2012a</w:t>
        </w:r>
      </w:hyperlink>
      <w:r w:rsidRPr="00F201EA">
        <w:rPr>
          <w:rStyle w:val="GuideCitesCharChar"/>
          <w:highlight w:val="yellow"/>
        </w:rPr>
        <w:t>,</w:t>
      </w:r>
      <w:hyperlink w:anchor="Giacino2012b" w:history="1">
        <w:r w:rsidRPr="00B2589B">
          <w:rPr>
            <w:rStyle w:val="Hyperlink"/>
            <w:rFonts w:cs="Arial"/>
            <w:highlight w:val="yellow"/>
          </w:rPr>
          <w:t>b</w:t>
        </w:r>
      </w:hyperlink>
      <w:r w:rsidRPr="00F201EA">
        <w:rPr>
          <w:rStyle w:val="GuideCitesCharChar"/>
          <w:highlight w:val="yellow"/>
        </w:rPr>
        <w:t>,</w:t>
      </w:r>
      <w:hyperlink w:anchor="Giacino2012c" w:history="1">
        <w:r w:rsidRPr="00B2589B">
          <w:rPr>
            <w:rStyle w:val="Hyperlink"/>
            <w:rFonts w:cs="Arial"/>
            <w:highlight w:val="yellow"/>
          </w:rPr>
          <w:t>c</w:t>
        </w:r>
      </w:hyperlink>
      <w:r w:rsidRPr="004E28BB">
        <w:rPr>
          <w:rStyle w:val="GuideCitesCharChar"/>
        </w:rPr>
        <w:t>)</w:t>
      </w:r>
      <w:r w:rsidR="00B30BDE" w:rsidRPr="004E28BB">
        <w:t>.</w:t>
      </w:r>
    </w:p>
    <w:p w:rsidR="00830AA6" w:rsidRPr="004E28BB" w:rsidRDefault="00830AA6">
      <w:pPr>
        <w:numPr>
          <w:ilvl w:val="4"/>
          <w:numId w:val="9"/>
        </w:numPr>
      </w:pPr>
      <w:r w:rsidRPr="004E28BB">
        <w:t>Indications</w:t>
      </w:r>
      <w:r w:rsidR="00FD3712">
        <w:t>:</w:t>
      </w:r>
      <w:r w:rsidR="00DD531A" w:rsidRPr="004E28BB">
        <w:t xml:space="preserve"> </w:t>
      </w:r>
      <w:r w:rsidRPr="004E28BB">
        <w:t>FDA approved for Parkinson’s</w:t>
      </w:r>
      <w:r w:rsidR="00A95C9B" w:rsidRPr="004E28BB">
        <w:t>.</w:t>
      </w:r>
      <w:r w:rsidRPr="004E28BB">
        <w:t xml:space="preserve"> </w:t>
      </w:r>
      <w:r w:rsidR="00A95C9B" w:rsidRPr="004E28BB">
        <w:t>M</w:t>
      </w:r>
      <w:r w:rsidRPr="004E28BB">
        <w:t>ay be used for cognitive fatigue, general cognitive deficits, arousal and attention deficits, initiation, speed of processing, emerging disorders of consciousness, and intractable motor disturbances</w:t>
      </w:r>
      <w:r w:rsidRPr="004E28BB">
        <w:rPr>
          <w:rStyle w:val="GuideCitesCharChar"/>
        </w:rPr>
        <w:t xml:space="preserve"> </w:t>
      </w:r>
      <w:hyperlink w:anchor="Warden2006" w:history="1">
        <w:r w:rsidRPr="00B2589B">
          <w:rPr>
            <w:rStyle w:val="Hyperlink"/>
            <w:rFonts w:cs="Arial"/>
          </w:rPr>
          <w:t>(</w:t>
        </w:r>
        <w:r w:rsidRPr="00B2589B">
          <w:rPr>
            <w:rStyle w:val="Hyperlink"/>
            <w:rFonts w:cs="Arial"/>
            <w:highlight w:val="yellow"/>
          </w:rPr>
          <w:t>Warden</w:t>
        </w:r>
        <w:r w:rsidR="004A6BFF" w:rsidRPr="00B2589B">
          <w:rPr>
            <w:rStyle w:val="Hyperlink"/>
            <w:rFonts w:cs="Arial"/>
            <w:highlight w:val="yellow"/>
          </w:rPr>
          <w:t>,</w:t>
        </w:r>
        <w:r w:rsidR="00F64E42" w:rsidRPr="00B2589B">
          <w:rPr>
            <w:rStyle w:val="Hyperlink"/>
            <w:rFonts w:cs="Arial"/>
            <w:highlight w:val="yellow"/>
          </w:rPr>
          <w:t xml:space="preserve"> </w:t>
        </w:r>
        <w:r w:rsidRPr="00B2589B">
          <w:rPr>
            <w:rStyle w:val="Hyperlink"/>
            <w:rFonts w:cs="Arial"/>
            <w:highlight w:val="yellow"/>
          </w:rPr>
          <w:t>2006</w:t>
        </w:r>
      </w:hyperlink>
      <w:r w:rsidRPr="004E28BB">
        <w:rPr>
          <w:rStyle w:val="GuideCitesCharChar"/>
        </w:rPr>
        <w:t>)</w:t>
      </w:r>
      <w:r w:rsidR="00B30BDE" w:rsidRPr="004E28BB">
        <w:t>.</w:t>
      </w:r>
      <w:r w:rsidRPr="004E28BB">
        <w:t xml:space="preserve"> </w:t>
      </w:r>
    </w:p>
    <w:p w:rsidR="00830AA6" w:rsidRPr="004E28BB" w:rsidRDefault="00830AA6">
      <w:pPr>
        <w:numPr>
          <w:ilvl w:val="4"/>
          <w:numId w:val="9"/>
        </w:numPr>
      </w:pPr>
      <w:r w:rsidRPr="004E28BB">
        <w:t>Contraindications</w:t>
      </w:r>
      <w:r w:rsidR="00FD3712">
        <w:t>:</w:t>
      </w:r>
      <w:r w:rsidRPr="004E28BB">
        <w:t xml:space="preserve"> </w:t>
      </w:r>
      <w:r w:rsidR="00FD3712">
        <w:t>H</w:t>
      </w:r>
      <w:r w:rsidRPr="004E28BB">
        <w:t>ypertension or hypersensitivity reaction</w:t>
      </w:r>
      <w:r w:rsidR="00FD3712">
        <w:t>.</w:t>
      </w:r>
    </w:p>
    <w:p w:rsidR="00830AA6" w:rsidRPr="004E28BB" w:rsidRDefault="00830AA6">
      <w:pPr>
        <w:numPr>
          <w:ilvl w:val="4"/>
          <w:numId w:val="9"/>
        </w:numPr>
      </w:pPr>
      <w:r w:rsidRPr="004E28BB">
        <w:t>Dosing and Time to Therapeutic Effect</w:t>
      </w:r>
      <w:r w:rsidR="00FD3712">
        <w:t>:</w:t>
      </w:r>
      <w:r w:rsidRPr="004E28BB">
        <w:t xml:space="preserve"> Dosage begins at 50 mg twice a day may increase to 100</w:t>
      </w:r>
      <w:r w:rsidR="00FD3712">
        <w:t>–</w:t>
      </w:r>
      <w:r w:rsidRPr="004E28BB">
        <w:t>200mg</w:t>
      </w:r>
      <w:r w:rsidR="00FD3712">
        <w:t>.</w:t>
      </w:r>
      <w:r w:rsidRPr="004E28BB">
        <w:t xml:space="preserve"> </w:t>
      </w:r>
    </w:p>
    <w:p w:rsidR="00830AA6" w:rsidRPr="004E28BB" w:rsidRDefault="00830AA6">
      <w:pPr>
        <w:numPr>
          <w:ilvl w:val="4"/>
          <w:numId w:val="9"/>
        </w:numPr>
      </w:pPr>
      <w:r w:rsidRPr="004E28BB">
        <w:t>Major Side Effects</w:t>
      </w:r>
      <w:r w:rsidR="00FD3712">
        <w:t>:</w:t>
      </w:r>
      <w:r w:rsidRPr="004E28BB">
        <w:t xml:space="preserve"> </w:t>
      </w:r>
      <w:r w:rsidR="00FD3712">
        <w:t>D</w:t>
      </w:r>
      <w:r w:rsidRPr="004E28BB">
        <w:t>rowsiness, dizziness, insomnia, nausea, abdominal cramps, may lower seizure threshold, may increase psychological problems including suicide attempts and manic</w:t>
      </w:r>
      <w:r w:rsidR="00DD531A" w:rsidRPr="004E28BB">
        <w:t xml:space="preserve"> </w:t>
      </w:r>
      <w:r w:rsidRPr="004E28BB">
        <w:t>behavior, dysrhythmias, and rare neuroleptic malignant syndrome associated with abrupt withdrawal of amantadine</w:t>
      </w:r>
      <w:r w:rsidRPr="004E28BB">
        <w:rPr>
          <w:i/>
        </w:rPr>
        <w:t>.</w:t>
      </w:r>
    </w:p>
    <w:p w:rsidR="00830AA6" w:rsidRPr="004E28BB" w:rsidRDefault="00830AA6">
      <w:pPr>
        <w:numPr>
          <w:ilvl w:val="4"/>
          <w:numId w:val="9"/>
        </w:numPr>
      </w:pPr>
      <w:r w:rsidRPr="004E28BB">
        <w:t>Drug Interactions</w:t>
      </w:r>
      <w:r w:rsidR="004A329A">
        <w:t>:</w:t>
      </w:r>
      <w:r w:rsidRPr="004E28BB">
        <w:t xml:space="preserve"> </w:t>
      </w:r>
      <w:r w:rsidR="004A329A">
        <w:t>U</w:t>
      </w:r>
      <w:r w:rsidRPr="004E28BB">
        <w:t>se cautiously with other sympathetic agents</w:t>
      </w:r>
      <w:r w:rsidR="004A329A">
        <w:t>.</w:t>
      </w:r>
    </w:p>
    <w:p w:rsidR="00830AA6" w:rsidRPr="00AF6D7E" w:rsidRDefault="00830AA6">
      <w:pPr>
        <w:numPr>
          <w:ilvl w:val="3"/>
          <w:numId w:val="9"/>
        </w:numPr>
      </w:pPr>
      <w:r w:rsidRPr="00AF6D7E">
        <w:rPr>
          <w:u w:val="single"/>
        </w:rPr>
        <w:t>Bromocriptine</w:t>
      </w:r>
      <w:r w:rsidR="00AF6D7E" w:rsidRPr="004E28BB">
        <w:t>:</w:t>
      </w:r>
      <w:r w:rsidRPr="00AF6D7E">
        <w:tab/>
      </w:r>
    </w:p>
    <w:p w:rsidR="00830AA6" w:rsidRPr="004E28BB" w:rsidRDefault="00830AA6">
      <w:pPr>
        <w:numPr>
          <w:ilvl w:val="4"/>
          <w:numId w:val="9"/>
        </w:numPr>
      </w:pPr>
      <w:r w:rsidRPr="004E28BB">
        <w:t>Description</w:t>
      </w:r>
      <w:r w:rsidR="004A329A">
        <w:t>:</w:t>
      </w:r>
      <w:r w:rsidRPr="004E28BB">
        <w:t xml:space="preserve"> </w:t>
      </w:r>
      <w:r w:rsidR="004A329A">
        <w:t>A</w:t>
      </w:r>
      <w:r w:rsidRPr="004E28BB">
        <w:t>ugments dopaminergic effects at the pre</w:t>
      </w:r>
      <w:r w:rsidR="004A329A">
        <w:t xml:space="preserve"> </w:t>
      </w:r>
      <w:r w:rsidRPr="004E28BB">
        <w:t>and post</w:t>
      </w:r>
      <w:r w:rsidR="007843ED">
        <w:t>-</w:t>
      </w:r>
      <w:r w:rsidRPr="004E28BB">
        <w:t>synaptic level</w:t>
      </w:r>
      <w:r w:rsidR="004A329A">
        <w:t>.</w:t>
      </w:r>
      <w:r w:rsidRPr="004E28BB">
        <w:t xml:space="preserve"> </w:t>
      </w:r>
    </w:p>
    <w:p w:rsidR="00830AA6" w:rsidRPr="004E28BB" w:rsidRDefault="00830AA6">
      <w:pPr>
        <w:numPr>
          <w:ilvl w:val="4"/>
          <w:numId w:val="9"/>
        </w:numPr>
      </w:pPr>
      <w:r w:rsidRPr="004E28BB">
        <w:t>Indications</w:t>
      </w:r>
      <w:r w:rsidR="004A329A">
        <w:t>:</w:t>
      </w:r>
      <w:r w:rsidRPr="004E28BB">
        <w:t xml:space="preserve"> FDA approved for acromegaly, hyperprolactemia, and Parkinson’s. Indicated for longer term moderate/severe TBI cases with arousal, attention, initiative, and executive function problems or motor control dysfunction. Studies are conflicting regarding effectiveness</w:t>
      </w:r>
      <w:r w:rsidR="004A329A">
        <w:t>,</w:t>
      </w:r>
      <w:r w:rsidRPr="004E28BB">
        <w:t xml:space="preserve"> and</w:t>
      </w:r>
      <w:r w:rsidR="00B30BDE" w:rsidRPr="004E28BB">
        <w:t xml:space="preserve"> </w:t>
      </w:r>
      <w:r w:rsidR="004A329A">
        <w:t xml:space="preserve">the </w:t>
      </w:r>
      <w:r w:rsidR="00B30BDE" w:rsidRPr="004E28BB">
        <w:t xml:space="preserve">longevity of </w:t>
      </w:r>
      <w:r w:rsidR="004A329A">
        <w:t xml:space="preserve">the </w:t>
      </w:r>
      <w:r w:rsidR="00B30BDE" w:rsidRPr="004E28BB">
        <w:t>effect is unclear</w:t>
      </w:r>
      <w:r w:rsidRPr="004E28BB">
        <w:rPr>
          <w:rStyle w:val="GuideCitesCharChar"/>
        </w:rPr>
        <w:t xml:space="preserve"> (</w:t>
      </w:r>
      <w:hyperlink w:anchor="McDowell1998" w:history="1">
        <w:r w:rsidRPr="00B2589B">
          <w:rPr>
            <w:rStyle w:val="Hyperlink"/>
            <w:rFonts w:cs="Arial"/>
            <w:highlight w:val="yellow"/>
          </w:rPr>
          <w:t>McDowell, 1998</w:t>
        </w:r>
      </w:hyperlink>
      <w:r w:rsidRPr="00F201EA">
        <w:rPr>
          <w:rStyle w:val="GuideCitesCharChar"/>
          <w:highlight w:val="yellow"/>
        </w:rPr>
        <w:t xml:space="preserve">; </w:t>
      </w:r>
      <w:hyperlink w:anchor="Whyte2004" w:history="1">
        <w:r w:rsidRPr="00B2589B">
          <w:rPr>
            <w:rStyle w:val="Hyperlink"/>
            <w:rFonts w:cs="Arial"/>
            <w:highlight w:val="yellow"/>
          </w:rPr>
          <w:t>Whyte, 2008</w:t>
        </w:r>
      </w:hyperlink>
      <w:r w:rsidRPr="004E28BB">
        <w:rPr>
          <w:rStyle w:val="GuideCitesCharChar"/>
        </w:rPr>
        <w:t>)</w:t>
      </w:r>
      <w:r w:rsidR="00B30BDE" w:rsidRPr="004E28BB">
        <w:t>.</w:t>
      </w:r>
    </w:p>
    <w:p w:rsidR="00830AA6" w:rsidRPr="004E28BB" w:rsidRDefault="00830AA6">
      <w:pPr>
        <w:numPr>
          <w:ilvl w:val="4"/>
          <w:numId w:val="9"/>
        </w:numPr>
      </w:pPr>
      <w:r w:rsidRPr="004E28BB">
        <w:t>Contraindications</w:t>
      </w:r>
      <w:r w:rsidR="004A329A">
        <w:t>:</w:t>
      </w:r>
      <w:r w:rsidRPr="004E28BB">
        <w:t xml:space="preserve"> </w:t>
      </w:r>
      <w:r w:rsidR="004A329A">
        <w:t>H</w:t>
      </w:r>
      <w:r w:rsidRPr="004E28BB">
        <w:t>ypertension or hypersensitivity reaction, hypersensitivity to ergot alkaloid drugs, women who are breastfeeding</w:t>
      </w:r>
      <w:r w:rsidR="004A329A">
        <w:t>.</w:t>
      </w:r>
      <w:r w:rsidRPr="004E28BB">
        <w:t xml:space="preserve"> </w:t>
      </w:r>
    </w:p>
    <w:p w:rsidR="00830AA6" w:rsidRPr="004E28BB" w:rsidRDefault="00830AA6">
      <w:pPr>
        <w:numPr>
          <w:ilvl w:val="4"/>
          <w:numId w:val="9"/>
        </w:numPr>
      </w:pPr>
      <w:r w:rsidRPr="004E28BB">
        <w:t>Dosing and Time to Therapeutic Effect</w:t>
      </w:r>
      <w:r w:rsidR="004A329A">
        <w:t>:</w:t>
      </w:r>
      <w:r w:rsidRPr="004E28BB">
        <w:t xml:space="preserve"> Dosage is usually 0.1</w:t>
      </w:r>
      <w:r w:rsidR="004A329A">
        <w:t>–</w:t>
      </w:r>
      <w:r w:rsidRPr="004E28BB">
        <w:t>0.2 mg per kg twice a day</w:t>
      </w:r>
      <w:r w:rsidR="004A329A">
        <w:t>.</w:t>
      </w:r>
    </w:p>
    <w:p w:rsidR="00830AA6" w:rsidRPr="004E28BB" w:rsidRDefault="00830AA6">
      <w:pPr>
        <w:numPr>
          <w:ilvl w:val="4"/>
          <w:numId w:val="9"/>
        </w:numPr>
      </w:pPr>
      <w:r w:rsidRPr="004E28BB">
        <w:t>Major Side Effects</w:t>
      </w:r>
      <w:r w:rsidR="004A329A">
        <w:t>:</w:t>
      </w:r>
      <w:r w:rsidRPr="004E28BB">
        <w:t xml:space="preserve"> </w:t>
      </w:r>
      <w:r w:rsidR="004A329A">
        <w:t>H</w:t>
      </w:r>
      <w:r w:rsidRPr="004E28BB">
        <w:t xml:space="preserve">eadache, dizziness, nausea and other </w:t>
      </w:r>
      <w:r w:rsidR="008A3536">
        <w:t>gastrointestinal (</w:t>
      </w:r>
      <w:r w:rsidRPr="004E28BB">
        <w:t>GI</w:t>
      </w:r>
      <w:r w:rsidR="008A3536">
        <w:t>)</w:t>
      </w:r>
      <w:r w:rsidRPr="004E28BB">
        <w:t xml:space="preserve"> side effects, light headedness, syncope, and</w:t>
      </w:r>
      <w:r w:rsidR="004A329A">
        <w:t>, at higher doses,</w:t>
      </w:r>
      <w:r w:rsidRPr="004E28BB">
        <w:t xml:space="preserve"> hallucinations or psychosis</w:t>
      </w:r>
      <w:r w:rsidR="004A329A">
        <w:t>.</w:t>
      </w:r>
    </w:p>
    <w:p w:rsidR="00830AA6" w:rsidRPr="004E28BB" w:rsidRDefault="00830AA6">
      <w:pPr>
        <w:numPr>
          <w:ilvl w:val="4"/>
          <w:numId w:val="9"/>
        </w:numPr>
      </w:pPr>
      <w:r w:rsidRPr="004E28BB">
        <w:t>Drug Interactions</w:t>
      </w:r>
      <w:r w:rsidR="004A329A">
        <w:t>:</w:t>
      </w:r>
      <w:r w:rsidRPr="004E28BB">
        <w:t xml:space="preserve"> Multiple</w:t>
      </w:r>
      <w:r w:rsidR="00AF6D7E">
        <w:t xml:space="preserve">, </w:t>
      </w:r>
      <w:r w:rsidR="00AF6D7E" w:rsidRPr="00D0495F">
        <w:rPr>
          <w:color w:val="222222"/>
          <w:shd w:val="clear" w:color="auto" w:fill="FFFFFF"/>
        </w:rPr>
        <w:t>including use with ergot alkaloids, macrolide antibiotics,</w:t>
      </w:r>
      <w:r w:rsidR="00F64E42">
        <w:rPr>
          <w:color w:val="222222"/>
          <w:shd w:val="clear" w:color="auto" w:fill="FFFFFF"/>
        </w:rPr>
        <w:t xml:space="preserve"> </w:t>
      </w:r>
      <w:r w:rsidR="00AF6D7E" w:rsidRPr="00D0495F">
        <w:rPr>
          <w:color w:val="222222"/>
          <w:shd w:val="clear" w:color="auto" w:fill="FFFFFF"/>
        </w:rPr>
        <w:t>other dopamine agonists, or ergot alkaloids</w:t>
      </w:r>
      <w:r w:rsidR="00AF6D7E">
        <w:rPr>
          <w:color w:val="222222"/>
          <w:shd w:val="clear" w:color="auto" w:fill="FFFFFF"/>
        </w:rPr>
        <w:t>.</w:t>
      </w:r>
      <w:r w:rsidRPr="004E28BB">
        <w:t xml:space="preserve"> </w:t>
      </w:r>
    </w:p>
    <w:p w:rsidR="00830AA6" w:rsidRPr="004E28BB" w:rsidRDefault="00830AA6">
      <w:pPr>
        <w:numPr>
          <w:ilvl w:val="3"/>
          <w:numId w:val="9"/>
        </w:numPr>
        <w:rPr>
          <w:u w:val="single"/>
        </w:rPr>
      </w:pPr>
      <w:r w:rsidRPr="00AF6D7E">
        <w:rPr>
          <w:u w:val="single"/>
        </w:rPr>
        <w:t>Carbidopa/L-Dopa</w:t>
      </w:r>
      <w:r w:rsidR="00AF6D7E">
        <w:t>:</w:t>
      </w:r>
    </w:p>
    <w:p w:rsidR="00830AA6" w:rsidRPr="004E28BB" w:rsidRDefault="00830AA6">
      <w:pPr>
        <w:numPr>
          <w:ilvl w:val="4"/>
          <w:numId w:val="9"/>
        </w:numPr>
      </w:pPr>
      <w:r w:rsidRPr="004E28BB">
        <w:t>Description</w:t>
      </w:r>
      <w:r w:rsidR="004A329A">
        <w:t>:</w:t>
      </w:r>
      <w:r w:rsidRPr="004E28BB">
        <w:t xml:space="preserve"> </w:t>
      </w:r>
      <w:r w:rsidR="004A329A">
        <w:t>A</w:t>
      </w:r>
      <w:r w:rsidRPr="004E28BB">
        <w:t>ugments dopaminergic effects</w:t>
      </w:r>
      <w:r w:rsidR="004A329A">
        <w:t>.</w:t>
      </w:r>
      <w:r w:rsidRPr="004E28BB">
        <w:t xml:space="preserve"> </w:t>
      </w:r>
    </w:p>
    <w:p w:rsidR="00830AA6" w:rsidRPr="004E28BB" w:rsidRDefault="00830AA6">
      <w:pPr>
        <w:numPr>
          <w:ilvl w:val="4"/>
          <w:numId w:val="9"/>
        </w:numPr>
      </w:pPr>
      <w:r w:rsidRPr="004E28BB">
        <w:lastRenderedPageBreak/>
        <w:t>Indications</w:t>
      </w:r>
      <w:r w:rsidR="004A329A">
        <w:t xml:space="preserve">: </w:t>
      </w:r>
      <w:r w:rsidRPr="004E28BB">
        <w:t>FDA approved for use in Parkinson’s</w:t>
      </w:r>
      <w:r w:rsidR="00A95C9B" w:rsidRPr="004E28BB">
        <w:t>.</w:t>
      </w:r>
      <w:r w:rsidRPr="004E28BB">
        <w:t xml:space="preserve"> </w:t>
      </w:r>
      <w:r w:rsidR="00A95C9B" w:rsidRPr="004E28BB">
        <w:t>M</w:t>
      </w:r>
      <w:r w:rsidRPr="004E28BB">
        <w:t>ay be used in TBI for hypoarousal, fatigue</w:t>
      </w:r>
      <w:r w:rsidR="00F50D42" w:rsidRPr="004E28BB">
        <w:t xml:space="preserve">, </w:t>
      </w:r>
      <w:r w:rsidRPr="004E28BB">
        <w:t>disturbances of initiation, or motor control</w:t>
      </w:r>
      <w:r w:rsidR="004A329A">
        <w:t>.</w:t>
      </w:r>
    </w:p>
    <w:p w:rsidR="00830AA6" w:rsidRPr="004E28BB" w:rsidRDefault="00830AA6">
      <w:pPr>
        <w:numPr>
          <w:ilvl w:val="4"/>
          <w:numId w:val="9"/>
        </w:numPr>
      </w:pPr>
      <w:r w:rsidRPr="004E28BB">
        <w:t>Contraindications</w:t>
      </w:r>
      <w:r w:rsidR="004A329A">
        <w:t>:</w:t>
      </w:r>
      <w:r w:rsidRPr="004E28BB">
        <w:t xml:space="preserve"> </w:t>
      </w:r>
      <w:r w:rsidR="004A329A">
        <w:t>H</w:t>
      </w:r>
      <w:r w:rsidRPr="004E28BB">
        <w:t>ypertension or hypersensitivity reaction, neuroleptic malignant syndrome history</w:t>
      </w:r>
      <w:r w:rsidR="004A329A">
        <w:t>,</w:t>
      </w:r>
      <w:r w:rsidRPr="004E28BB">
        <w:t xml:space="preserve"> psychosis</w:t>
      </w:r>
      <w:r w:rsidR="004A329A">
        <w:t>.</w:t>
      </w:r>
    </w:p>
    <w:p w:rsidR="00830AA6" w:rsidRPr="004E28BB" w:rsidRDefault="00830AA6">
      <w:pPr>
        <w:numPr>
          <w:ilvl w:val="4"/>
          <w:numId w:val="9"/>
        </w:numPr>
      </w:pPr>
      <w:r w:rsidRPr="004E28BB">
        <w:t>Dosing and Time to Therapeutic Effect</w:t>
      </w:r>
      <w:r w:rsidR="004A329A">
        <w:t>:</w:t>
      </w:r>
      <w:r w:rsidRPr="004E28BB">
        <w:t xml:space="preserve"> Dosage begins at 25/100mg twice a day may increase to 50/250 four times a day</w:t>
      </w:r>
      <w:r w:rsidR="004A329A">
        <w:t>.</w:t>
      </w:r>
      <w:r w:rsidRPr="004E28BB">
        <w:t xml:space="preserve"> </w:t>
      </w:r>
    </w:p>
    <w:p w:rsidR="00830AA6" w:rsidRPr="004E28BB" w:rsidRDefault="00830AA6">
      <w:pPr>
        <w:numPr>
          <w:ilvl w:val="4"/>
          <w:numId w:val="9"/>
        </w:numPr>
      </w:pPr>
      <w:r w:rsidRPr="004E28BB">
        <w:t>Major Side Effects</w:t>
      </w:r>
      <w:r w:rsidR="004A329A">
        <w:t>:</w:t>
      </w:r>
      <w:r w:rsidRPr="004E28BB">
        <w:t xml:space="preserve"> </w:t>
      </w:r>
      <w:r w:rsidR="00685F98">
        <w:t>S</w:t>
      </w:r>
      <w:r w:rsidRPr="004E28BB">
        <w:t>omnolence, increased intraocular pressure, nausea, dyskinesia, hallucinations</w:t>
      </w:r>
      <w:r w:rsidR="00685F98">
        <w:t xml:space="preserve"> (</w:t>
      </w:r>
      <w:r w:rsidRPr="004E28BB">
        <w:t>usually visual</w:t>
      </w:r>
      <w:r w:rsidR="00685F98">
        <w:t>)</w:t>
      </w:r>
      <w:r w:rsidRPr="004E28BB">
        <w:t xml:space="preserve">, paranoia, dizziness, abdominal cramps, </w:t>
      </w:r>
      <w:r w:rsidR="00A95C9B" w:rsidRPr="004E28BB">
        <w:t xml:space="preserve">manic behavior, </w:t>
      </w:r>
      <w:r w:rsidRPr="004E28BB">
        <w:t>may lower</w:t>
      </w:r>
      <w:r w:rsidR="00A95C9B" w:rsidRPr="004E28BB">
        <w:t xml:space="preserve"> seizure threshold</w:t>
      </w:r>
      <w:r w:rsidR="00685F98">
        <w:t>.</w:t>
      </w:r>
    </w:p>
    <w:p w:rsidR="00830AA6" w:rsidRPr="004E28BB" w:rsidRDefault="00830AA6">
      <w:pPr>
        <w:numPr>
          <w:ilvl w:val="4"/>
          <w:numId w:val="9"/>
        </w:numPr>
        <w:rPr>
          <w:i/>
        </w:rPr>
      </w:pPr>
      <w:r w:rsidRPr="004E28BB">
        <w:t>Drug Interactions</w:t>
      </w:r>
      <w:r w:rsidR="00685F98">
        <w:t>:</w:t>
      </w:r>
      <w:r w:rsidRPr="004E28BB">
        <w:t xml:space="preserve"> MAO inhibitors and others</w:t>
      </w:r>
      <w:r w:rsidR="00685F98">
        <w:t>.</w:t>
      </w:r>
    </w:p>
    <w:p w:rsidR="00830AA6" w:rsidRPr="004E28BB" w:rsidRDefault="00830AA6">
      <w:pPr>
        <w:numPr>
          <w:ilvl w:val="3"/>
          <w:numId w:val="9"/>
        </w:numPr>
        <w:rPr>
          <w:u w:val="single"/>
        </w:rPr>
      </w:pPr>
      <w:r w:rsidRPr="00AF6D7E">
        <w:rPr>
          <w:u w:val="single"/>
        </w:rPr>
        <w:t>Dextroamphetamine</w:t>
      </w:r>
      <w:r w:rsidR="002523D1" w:rsidRPr="00AF6D7E">
        <w:rPr>
          <w:u w:val="single"/>
        </w:rPr>
        <w:t xml:space="preserve"> and Mixed Amphetamine Salts</w:t>
      </w:r>
      <w:r w:rsidR="00AF6D7E">
        <w:t>:</w:t>
      </w:r>
    </w:p>
    <w:p w:rsidR="00830AA6" w:rsidRPr="004E28BB" w:rsidRDefault="00830AA6">
      <w:pPr>
        <w:numPr>
          <w:ilvl w:val="4"/>
          <w:numId w:val="9"/>
        </w:numPr>
      </w:pPr>
      <w:r w:rsidRPr="004E28BB">
        <w:t>Description</w:t>
      </w:r>
      <w:r w:rsidR="00685F98">
        <w:t>:</w:t>
      </w:r>
      <w:r w:rsidRPr="004E28BB">
        <w:t xml:space="preserve"> </w:t>
      </w:r>
      <w:r w:rsidR="00685F98">
        <w:t>A</w:t>
      </w:r>
      <w:r w:rsidRPr="004E28BB">
        <w:t xml:space="preserve"> central nervous system stimulant (also called psychostimulant)</w:t>
      </w:r>
      <w:r w:rsidR="002523D1" w:rsidRPr="004E28BB">
        <w:t>. Mixed amphetamine salts include both levoamphetamine and dextroamphetamine.</w:t>
      </w:r>
    </w:p>
    <w:p w:rsidR="00830AA6" w:rsidRPr="004E28BB" w:rsidRDefault="00830AA6">
      <w:pPr>
        <w:numPr>
          <w:ilvl w:val="4"/>
          <w:numId w:val="9"/>
        </w:numPr>
      </w:pPr>
      <w:r w:rsidRPr="004E28BB">
        <w:t>Indications</w:t>
      </w:r>
      <w:r w:rsidR="00685F98">
        <w:t>:</w:t>
      </w:r>
      <w:r w:rsidRPr="004E28BB">
        <w:t xml:space="preserve"> FDA approved for use in patients with attention deficit disorder and narcolepsy. </w:t>
      </w:r>
      <w:r w:rsidR="00A95C9B" w:rsidRPr="004E28BB">
        <w:t xml:space="preserve">May </w:t>
      </w:r>
      <w:r w:rsidRPr="004E28BB">
        <w:t>improve attention, arousal, speed of processing</w:t>
      </w:r>
      <w:r w:rsidR="00685F98">
        <w:t>,</w:t>
      </w:r>
      <w:r w:rsidRPr="004E28BB">
        <w:t xml:space="preserve"> and memory</w:t>
      </w:r>
      <w:r w:rsidRPr="004E28BB">
        <w:rPr>
          <w:rStyle w:val="GuideCitesCharChar"/>
        </w:rPr>
        <w:t xml:space="preserve"> (</w:t>
      </w:r>
      <w:hyperlink w:anchor="Warden2006" w:history="1">
        <w:r w:rsidRPr="00B2589B">
          <w:rPr>
            <w:rStyle w:val="Hyperlink"/>
            <w:rFonts w:cs="Arial"/>
            <w:highlight w:val="yellow"/>
          </w:rPr>
          <w:t>Warden</w:t>
        </w:r>
        <w:r w:rsidR="004A6BFF" w:rsidRPr="00B2589B">
          <w:rPr>
            <w:rStyle w:val="Hyperlink"/>
            <w:rFonts w:cs="Arial"/>
            <w:highlight w:val="yellow"/>
          </w:rPr>
          <w:t>,</w:t>
        </w:r>
        <w:r w:rsidRPr="00B2589B">
          <w:rPr>
            <w:rStyle w:val="Hyperlink"/>
            <w:rFonts w:cs="Arial"/>
            <w:highlight w:val="yellow"/>
          </w:rPr>
          <w:t xml:space="preserve"> 2006</w:t>
        </w:r>
      </w:hyperlink>
      <w:r w:rsidRPr="004E28BB">
        <w:rPr>
          <w:rStyle w:val="GuideCitesCharChar"/>
        </w:rPr>
        <w:t>)</w:t>
      </w:r>
      <w:r w:rsidRPr="004E28BB">
        <w:t>.</w:t>
      </w:r>
    </w:p>
    <w:p w:rsidR="00830AA6" w:rsidRPr="004E28BB" w:rsidRDefault="00830AA6">
      <w:pPr>
        <w:numPr>
          <w:ilvl w:val="4"/>
          <w:numId w:val="9"/>
        </w:numPr>
      </w:pPr>
      <w:r w:rsidRPr="004E28BB">
        <w:t>Contraindications</w:t>
      </w:r>
      <w:r w:rsidR="00685F98">
        <w:t>:</w:t>
      </w:r>
      <w:r w:rsidRPr="004E28BB">
        <w:t xml:space="preserve"> </w:t>
      </w:r>
      <w:r w:rsidR="00685F98">
        <w:t>M</w:t>
      </w:r>
      <w:r w:rsidRPr="004E28BB">
        <w:t xml:space="preserve">arked anxiety, tension or agitation, history of drug abuse, </w:t>
      </w:r>
      <w:r w:rsidR="00C1071A" w:rsidRPr="004E28BB">
        <w:t xml:space="preserve">closed angle </w:t>
      </w:r>
      <w:r w:rsidRPr="004E28BB">
        <w:t xml:space="preserve">glaucoma, </w:t>
      </w:r>
      <w:r w:rsidR="00C1071A" w:rsidRPr="004E28BB">
        <w:t xml:space="preserve">uncontrolled </w:t>
      </w:r>
      <w:r w:rsidRPr="004E28BB">
        <w:t>hypertension, cardiovascular disease or arrhythmia, use of MAO inhibitors, hypersensitivity reaction</w:t>
      </w:r>
      <w:r w:rsidR="00685F98">
        <w:t>.</w:t>
      </w:r>
    </w:p>
    <w:p w:rsidR="00830AA6" w:rsidRPr="004E28BB" w:rsidRDefault="00830AA6">
      <w:pPr>
        <w:numPr>
          <w:ilvl w:val="4"/>
          <w:numId w:val="9"/>
        </w:numPr>
      </w:pPr>
      <w:r w:rsidRPr="004E28BB">
        <w:t>Dosing and Time to Therapeutic Effect</w:t>
      </w:r>
      <w:r w:rsidR="00685F98">
        <w:t>:</w:t>
      </w:r>
      <w:r w:rsidRPr="004E28BB">
        <w:t xml:space="preserve"> Dosage is usually 0.1</w:t>
      </w:r>
      <w:r w:rsidR="00685F98">
        <w:t>–</w:t>
      </w:r>
      <w:r w:rsidRPr="004E28BB">
        <w:t>0.2 mg per kg twice a day</w:t>
      </w:r>
      <w:r w:rsidR="00685F98">
        <w:t>.</w:t>
      </w:r>
    </w:p>
    <w:p w:rsidR="00830AA6" w:rsidRPr="004E28BB" w:rsidRDefault="00830AA6">
      <w:pPr>
        <w:numPr>
          <w:ilvl w:val="4"/>
          <w:numId w:val="9"/>
        </w:numPr>
      </w:pPr>
      <w:r w:rsidRPr="004E28BB">
        <w:t>Major Side Effects</w:t>
      </w:r>
      <w:r w:rsidR="00685F98">
        <w:t>:</w:t>
      </w:r>
      <w:r w:rsidRPr="004E28BB">
        <w:t xml:space="preserve"> There is a warning for drug dependence for patients with a history of alcohol addiction or drug dependence. Precautions exist for the possibility of serious psychiatric conditions with pre-existing manic or psychotic behavior. Those with serious cardiovascular disease are at risk for sudden death, stroke, or myocardial infarction. Common minor side effects include insomnia, agitation, dry mouth, anorexia</w:t>
      </w:r>
      <w:r w:rsidR="003710B5" w:rsidRPr="004E28BB">
        <w:t xml:space="preserve">, </w:t>
      </w:r>
      <w:r w:rsidRPr="004E28BB">
        <w:t>weight loss</w:t>
      </w:r>
      <w:r w:rsidR="003710B5" w:rsidRPr="004E28BB">
        <w:t xml:space="preserve">, </w:t>
      </w:r>
      <w:r w:rsidR="002523D1" w:rsidRPr="004E28BB">
        <w:t>bruxism</w:t>
      </w:r>
      <w:r w:rsidR="00685F98">
        <w:t>,</w:t>
      </w:r>
      <w:r w:rsidR="002523D1" w:rsidRPr="004E28BB">
        <w:t xml:space="preserve"> </w:t>
      </w:r>
      <w:r w:rsidR="003710B5" w:rsidRPr="004E28BB">
        <w:t>and increased sweating with exertion.</w:t>
      </w:r>
    </w:p>
    <w:p w:rsidR="00830AA6" w:rsidRPr="004E28BB" w:rsidRDefault="00830AA6">
      <w:pPr>
        <w:numPr>
          <w:ilvl w:val="4"/>
          <w:numId w:val="9"/>
        </w:numPr>
      </w:pPr>
      <w:r w:rsidRPr="004E28BB">
        <w:t>Drug Interactions</w:t>
      </w:r>
      <w:r w:rsidR="00685F98">
        <w:t>:</w:t>
      </w:r>
      <w:r w:rsidRPr="004E28BB">
        <w:t xml:space="preserve"> Multiple</w:t>
      </w:r>
      <w:r w:rsidR="00685F98">
        <w:t>,</w:t>
      </w:r>
      <w:r w:rsidRPr="004E28BB">
        <w:t xml:space="preserve"> including some anticonvulsants and antidepressants</w:t>
      </w:r>
      <w:r w:rsidR="00685F98">
        <w:t>.</w:t>
      </w:r>
    </w:p>
    <w:p w:rsidR="00830AA6" w:rsidRPr="000B3579" w:rsidRDefault="00830AA6">
      <w:pPr>
        <w:numPr>
          <w:ilvl w:val="3"/>
          <w:numId w:val="9"/>
        </w:numPr>
        <w:rPr>
          <w:u w:val="single"/>
        </w:rPr>
      </w:pPr>
      <w:r w:rsidRPr="000B3579">
        <w:rPr>
          <w:u w:val="single"/>
        </w:rPr>
        <w:t>Donepezil</w:t>
      </w:r>
      <w:r w:rsidR="000B3579">
        <w:t>:</w:t>
      </w:r>
    </w:p>
    <w:p w:rsidR="00830AA6" w:rsidRPr="004E28BB" w:rsidRDefault="00830AA6">
      <w:pPr>
        <w:numPr>
          <w:ilvl w:val="4"/>
          <w:numId w:val="9"/>
        </w:numPr>
      </w:pPr>
      <w:r w:rsidRPr="004E28BB">
        <w:t>Description</w:t>
      </w:r>
      <w:r w:rsidR="00685F98">
        <w:t>:</w:t>
      </w:r>
      <w:r w:rsidRPr="004E28BB">
        <w:t xml:space="preserve"> </w:t>
      </w:r>
      <w:r w:rsidR="00685F98">
        <w:t>A</w:t>
      </w:r>
      <w:r w:rsidRPr="004E28BB">
        <w:t>cetylcholinesterase inhibitor</w:t>
      </w:r>
      <w:r w:rsidR="00685F98">
        <w:t>.</w:t>
      </w:r>
    </w:p>
    <w:p w:rsidR="00830AA6" w:rsidRPr="004E28BB" w:rsidRDefault="00830AA6">
      <w:pPr>
        <w:numPr>
          <w:ilvl w:val="4"/>
          <w:numId w:val="9"/>
        </w:numPr>
      </w:pPr>
      <w:r w:rsidRPr="004E28BB">
        <w:t>Indications</w:t>
      </w:r>
      <w:r w:rsidR="00685F98">
        <w:t>:</w:t>
      </w:r>
      <w:r w:rsidRPr="004E28BB">
        <w:t xml:space="preserve"> FDA approved for use in patients with Alzheimer’s dementia. Recommended for moderate/severe TBI in the </w:t>
      </w:r>
      <w:r w:rsidR="007843ED">
        <w:t>sub-</w:t>
      </w:r>
      <w:r w:rsidRPr="004E28BB">
        <w:t xml:space="preserve">acute phases to improve attention and memory. There is some evidence </w:t>
      </w:r>
      <w:r w:rsidR="00685F98" w:rsidRPr="004E28BB">
        <w:t>from a small study of sub</w:t>
      </w:r>
      <w:r w:rsidR="00685F98">
        <w:t xml:space="preserve">-acute patients with </w:t>
      </w:r>
      <w:r w:rsidR="00685F98">
        <w:lastRenderedPageBreak/>
        <w:t>moderate/</w:t>
      </w:r>
      <w:r w:rsidR="00685F98" w:rsidRPr="004E28BB">
        <w:t xml:space="preserve">severe TBI </w:t>
      </w:r>
      <w:r w:rsidRPr="004E28BB">
        <w:t>of improve</w:t>
      </w:r>
      <w:r w:rsidR="00A95C9B" w:rsidRPr="004E28BB">
        <w:t>ment</w:t>
      </w:r>
      <w:r w:rsidRPr="004E28BB">
        <w:t xml:space="preserve"> in working memory, retrieval of declarative information, sustained attention, and the rate of cognitive recovery with use of donepezil. The effect was evident at </w:t>
      </w:r>
      <w:r w:rsidR="001B3B4C">
        <w:t>ten</w:t>
      </w:r>
      <w:r w:rsidRPr="004E28BB">
        <w:t xml:space="preserve"> weeks and may persis</w:t>
      </w:r>
      <w:r w:rsidR="007A5DB9" w:rsidRPr="004E28BB">
        <w:t>t after stopping the medication</w:t>
      </w:r>
      <w:r w:rsidRPr="004E28BB">
        <w:rPr>
          <w:rStyle w:val="GuideCitesCharChar"/>
        </w:rPr>
        <w:t xml:space="preserve"> (</w:t>
      </w:r>
      <w:hyperlink w:anchor="Zhang2004" w:history="1">
        <w:r w:rsidRPr="005A2AC1">
          <w:rPr>
            <w:rStyle w:val="Hyperlink"/>
            <w:rFonts w:cs="Arial"/>
            <w:highlight w:val="yellow"/>
          </w:rPr>
          <w:t>Zhang, 2004</w:t>
        </w:r>
      </w:hyperlink>
      <w:r w:rsidRPr="004E28BB">
        <w:rPr>
          <w:rStyle w:val="GuideCitesCharChar"/>
        </w:rPr>
        <w:t>)</w:t>
      </w:r>
      <w:r w:rsidR="007A5DB9" w:rsidRPr="004E28BB">
        <w:t>.</w:t>
      </w:r>
    </w:p>
    <w:p w:rsidR="00830AA6" w:rsidRPr="004E28BB" w:rsidRDefault="00830AA6">
      <w:pPr>
        <w:numPr>
          <w:ilvl w:val="4"/>
          <w:numId w:val="9"/>
        </w:numPr>
      </w:pPr>
      <w:r w:rsidRPr="004E28BB">
        <w:t>Contraindications</w:t>
      </w:r>
      <w:r w:rsidR="00685F98">
        <w:t>:</w:t>
      </w:r>
      <w:r w:rsidRPr="004E28BB">
        <w:t xml:space="preserve"> </w:t>
      </w:r>
      <w:r w:rsidR="00685F98">
        <w:t>H</w:t>
      </w:r>
      <w:r w:rsidRPr="004E28BB">
        <w:t>ypersensitivity reaction, women who are pregnant or breast feeding</w:t>
      </w:r>
      <w:r w:rsidR="00685F98">
        <w:t>,</w:t>
      </w:r>
      <w:r w:rsidRPr="004E28BB">
        <w:t xml:space="preserve"> cardiac conduction abnormalities (first-degree A-V block)</w:t>
      </w:r>
      <w:r w:rsidR="00685F98">
        <w:t>,</w:t>
      </w:r>
      <w:r w:rsidRPr="004E28BB">
        <w:t xml:space="preserve"> and symptomatic bradycardia</w:t>
      </w:r>
      <w:r w:rsidR="00685F98">
        <w:t>.</w:t>
      </w:r>
      <w:r w:rsidRPr="004E28BB">
        <w:t xml:space="preserve"> </w:t>
      </w:r>
    </w:p>
    <w:p w:rsidR="00830AA6" w:rsidRPr="004E28BB" w:rsidRDefault="00830AA6">
      <w:pPr>
        <w:numPr>
          <w:ilvl w:val="4"/>
          <w:numId w:val="9"/>
        </w:numPr>
      </w:pPr>
      <w:r w:rsidRPr="004E28BB">
        <w:t>Dosing and Time to Therapeutic Effect</w:t>
      </w:r>
      <w:r w:rsidR="00685F98">
        <w:t>:</w:t>
      </w:r>
      <w:r w:rsidRPr="004E28BB">
        <w:t xml:space="preserve"> Dosage is titrated </w:t>
      </w:r>
      <w:r w:rsidR="003710B5" w:rsidRPr="004E28BB">
        <w:t>carefully over weeks from 2.5 mg per day</w:t>
      </w:r>
      <w:r w:rsidR="002523D1" w:rsidRPr="004E28BB">
        <w:t>.</w:t>
      </w:r>
      <w:r w:rsidR="003710B5" w:rsidRPr="004E28BB">
        <w:t xml:space="preserve"> </w:t>
      </w:r>
      <w:r w:rsidRPr="004E28BB">
        <w:t>Continual use of the medication requires documentation of improved function. Duration of treatment for this population is unknown.</w:t>
      </w:r>
    </w:p>
    <w:p w:rsidR="00830AA6" w:rsidRPr="004E28BB" w:rsidRDefault="00830AA6">
      <w:pPr>
        <w:numPr>
          <w:ilvl w:val="4"/>
          <w:numId w:val="9"/>
        </w:numPr>
      </w:pPr>
      <w:r w:rsidRPr="004E28BB">
        <w:t>Possible Side Effects</w:t>
      </w:r>
      <w:r w:rsidR="00685F98">
        <w:t>:</w:t>
      </w:r>
      <w:r w:rsidRPr="004E28BB">
        <w:t xml:space="preserve"> Bradycardia, nausea, peptic ulcer disease, GI </w:t>
      </w:r>
      <w:r w:rsidR="00D16BB6">
        <w:t>b</w:t>
      </w:r>
      <w:r w:rsidRPr="004E28BB">
        <w:t>leeding, weight loss, difficulty voiding, seizures, exacerbations of pulmonary disease.</w:t>
      </w:r>
    </w:p>
    <w:p w:rsidR="00830AA6" w:rsidRPr="004E28BB" w:rsidRDefault="00830AA6">
      <w:pPr>
        <w:numPr>
          <w:ilvl w:val="4"/>
          <w:numId w:val="9"/>
        </w:numPr>
      </w:pPr>
      <w:r w:rsidRPr="004E28BB">
        <w:t>Drug Interactions</w:t>
      </w:r>
      <w:r w:rsidR="00685F98">
        <w:t>:</w:t>
      </w:r>
      <w:r w:rsidRPr="004E28BB">
        <w:t xml:space="preserve"> </w:t>
      </w:r>
      <w:r w:rsidR="00685F98">
        <w:t>A</w:t>
      </w:r>
      <w:r w:rsidRPr="004E28BB">
        <w:t xml:space="preserve">nticholinergic medications, concurrent administration of </w:t>
      </w:r>
      <w:r w:rsidR="00402CC8">
        <w:t xml:space="preserve">quindine and </w:t>
      </w:r>
      <w:r w:rsidRPr="004E28BB">
        <w:t>medications that inhibit hepatic metabolism CYP450 (isoenzymes 3A4,and 2D6)</w:t>
      </w:r>
      <w:r w:rsidR="00402CC8">
        <w:t>,</w:t>
      </w:r>
      <w:r w:rsidRPr="004E28BB">
        <w:t xml:space="preserve"> such as ketoconazole</w:t>
      </w:r>
      <w:r w:rsidR="00402CC8">
        <w:t>,</w:t>
      </w:r>
      <w:r w:rsidRPr="004E28BB">
        <w:t xml:space="preserve"> may increase blood levels of donepezil. Inducers of hepatic metabolism (phenobarbital, phenytoin, carbamazepine, dexamethasone, rifampin) may decrease therapeutic blood levels.</w:t>
      </w:r>
    </w:p>
    <w:p w:rsidR="00830AA6" w:rsidRPr="004E28BB" w:rsidRDefault="00830AA6">
      <w:pPr>
        <w:numPr>
          <w:ilvl w:val="3"/>
          <w:numId w:val="9"/>
        </w:numPr>
        <w:rPr>
          <w:u w:val="single"/>
        </w:rPr>
      </w:pPr>
      <w:r w:rsidRPr="000B3579">
        <w:rPr>
          <w:u w:val="single"/>
        </w:rPr>
        <w:t>Methylphenidate</w:t>
      </w:r>
      <w:r w:rsidR="000B3579">
        <w:t>:</w:t>
      </w:r>
      <w:r w:rsidRPr="004E28BB">
        <w:rPr>
          <w:b/>
          <w:u w:val="single"/>
        </w:rPr>
        <w:t xml:space="preserve"> </w:t>
      </w:r>
    </w:p>
    <w:p w:rsidR="00830AA6" w:rsidRPr="004E28BB" w:rsidRDefault="00830AA6">
      <w:pPr>
        <w:numPr>
          <w:ilvl w:val="4"/>
          <w:numId w:val="9"/>
        </w:numPr>
      </w:pPr>
      <w:r w:rsidRPr="004E28BB">
        <w:t>Description</w:t>
      </w:r>
      <w:r w:rsidR="00402CC8">
        <w:t>:</w:t>
      </w:r>
      <w:r w:rsidRPr="004E28BB">
        <w:t xml:space="preserve"> </w:t>
      </w:r>
      <w:r w:rsidR="00402CC8">
        <w:t>A</w:t>
      </w:r>
      <w:r w:rsidRPr="004E28BB">
        <w:t xml:space="preserve"> central nervous system stimulant</w:t>
      </w:r>
    </w:p>
    <w:p w:rsidR="00830AA6" w:rsidRPr="004E28BB" w:rsidRDefault="00830AA6">
      <w:pPr>
        <w:numPr>
          <w:ilvl w:val="4"/>
          <w:numId w:val="9"/>
        </w:numPr>
      </w:pPr>
      <w:r w:rsidRPr="004E28BB">
        <w:t>Indications</w:t>
      </w:r>
      <w:r w:rsidR="00402CC8">
        <w:t>:</w:t>
      </w:r>
      <w:r w:rsidRPr="004E28BB">
        <w:t xml:space="preserve"> FDA approved for use in patients with attention deficit disorder. There is </w:t>
      </w:r>
      <w:r w:rsidR="00E000CA">
        <w:t>good</w:t>
      </w:r>
      <w:r w:rsidR="00E000CA" w:rsidRPr="004E28BB">
        <w:t xml:space="preserve"> </w:t>
      </w:r>
      <w:r w:rsidRPr="004E28BB">
        <w:t>evidence that it has a short-term effect on improving test performance on standardized measures of attention in patie</w:t>
      </w:r>
      <w:r w:rsidR="007A5DB9" w:rsidRPr="004E28BB">
        <w:t>nts with moderate</w:t>
      </w:r>
      <w:r w:rsidR="00402CC8">
        <w:t>/</w:t>
      </w:r>
      <w:r w:rsidR="007A5DB9" w:rsidRPr="004E28BB">
        <w:t>severe TBI</w:t>
      </w:r>
      <w:r w:rsidRPr="004E28BB">
        <w:rPr>
          <w:rStyle w:val="GuideCitesCharChar"/>
        </w:rPr>
        <w:t xml:space="preserve"> (</w:t>
      </w:r>
      <w:hyperlink w:anchor="Whyte2004" w:history="1">
        <w:r w:rsidRPr="005A2AC1">
          <w:rPr>
            <w:rStyle w:val="Hyperlink"/>
            <w:rFonts w:cs="Arial"/>
            <w:highlight w:val="yellow"/>
          </w:rPr>
          <w:t>Whyte, 2004</w:t>
        </w:r>
      </w:hyperlink>
      <w:r w:rsidRPr="004E28BB">
        <w:rPr>
          <w:rStyle w:val="GuideCitesCharChar"/>
        </w:rPr>
        <w:t xml:space="preserve">; </w:t>
      </w:r>
      <w:hyperlink w:anchor="Willmott2009" w:history="1">
        <w:r w:rsidRPr="005A2AC1">
          <w:rPr>
            <w:rStyle w:val="Hyperlink"/>
            <w:rFonts w:cs="Arial"/>
            <w:highlight w:val="yellow"/>
          </w:rPr>
          <w:t>Willmott, 2009</w:t>
        </w:r>
      </w:hyperlink>
      <w:r w:rsidRPr="004E28BB">
        <w:rPr>
          <w:rStyle w:val="GuideCitesCharChar"/>
        </w:rPr>
        <w:t>)</w:t>
      </w:r>
      <w:r w:rsidRPr="004E28BB">
        <w:t>. Also used in TBI for hypoarousal, attention, memory</w:t>
      </w:r>
      <w:r w:rsidR="00402CC8">
        <w:t>,</w:t>
      </w:r>
      <w:r w:rsidRPr="004E28BB">
        <w:t xml:space="preserve"> a</w:t>
      </w:r>
      <w:r w:rsidR="007A5DB9" w:rsidRPr="004E28BB">
        <w:t>nd speed of processing problems</w:t>
      </w:r>
      <w:r w:rsidRPr="004E28BB">
        <w:rPr>
          <w:rStyle w:val="GuideCitesCharChar"/>
        </w:rPr>
        <w:t xml:space="preserve"> (</w:t>
      </w:r>
      <w:hyperlink w:anchor="Warden2006" w:history="1">
        <w:r w:rsidRPr="005A2AC1">
          <w:rPr>
            <w:rStyle w:val="Hyperlink"/>
            <w:rFonts w:cs="Arial"/>
            <w:highlight w:val="yellow"/>
          </w:rPr>
          <w:t>Warden, 2006</w:t>
        </w:r>
      </w:hyperlink>
      <w:r w:rsidRPr="004E28BB">
        <w:rPr>
          <w:rStyle w:val="GuideCitesCharChar"/>
        </w:rPr>
        <w:t>)</w:t>
      </w:r>
      <w:r w:rsidR="007A5DB9" w:rsidRPr="004E28BB">
        <w:t>.</w:t>
      </w:r>
    </w:p>
    <w:p w:rsidR="00830AA6" w:rsidRPr="004E28BB" w:rsidRDefault="00830AA6">
      <w:pPr>
        <w:numPr>
          <w:ilvl w:val="4"/>
          <w:numId w:val="9"/>
        </w:numPr>
      </w:pPr>
      <w:r w:rsidRPr="004E28BB">
        <w:t>Contraindications</w:t>
      </w:r>
      <w:r w:rsidR="00402CC8">
        <w:t>:</w:t>
      </w:r>
      <w:r w:rsidRPr="004E28BB">
        <w:t xml:space="preserve"> </w:t>
      </w:r>
      <w:r w:rsidR="00402CC8">
        <w:t>M</w:t>
      </w:r>
      <w:r w:rsidRPr="004E28BB">
        <w:t>arked anxiety, tension or agitation, hypersensitivity reaction, psychosis, anorexia nervosa, hyperthyroidism, glaucoma, MAOI use</w:t>
      </w:r>
      <w:r w:rsidR="00402CC8">
        <w:t>.</w:t>
      </w:r>
    </w:p>
    <w:p w:rsidR="00830AA6" w:rsidRPr="004E28BB" w:rsidRDefault="00830AA6">
      <w:pPr>
        <w:numPr>
          <w:ilvl w:val="4"/>
          <w:numId w:val="9"/>
        </w:numPr>
      </w:pPr>
      <w:r w:rsidRPr="004E28BB">
        <w:t>Dosing and Time to Therapeutic Effect</w:t>
      </w:r>
      <w:r w:rsidR="00402CC8">
        <w:t>:</w:t>
      </w:r>
      <w:r w:rsidRPr="004E28BB">
        <w:t xml:space="preserve"> Dosage in studies was 0.3 mg per kg twice a day</w:t>
      </w:r>
      <w:r w:rsidR="00402CC8">
        <w:t>.</w:t>
      </w:r>
    </w:p>
    <w:p w:rsidR="00830AA6" w:rsidRPr="004E28BB" w:rsidRDefault="00830AA6">
      <w:pPr>
        <w:numPr>
          <w:ilvl w:val="4"/>
          <w:numId w:val="9"/>
        </w:numPr>
      </w:pPr>
      <w:r w:rsidRPr="004E28BB">
        <w:t>Major Side Effects</w:t>
      </w:r>
      <w:r w:rsidR="00402CC8">
        <w:t>:</w:t>
      </w:r>
      <w:r w:rsidRPr="004E28BB">
        <w:t xml:space="preserve"> There is a warning for drug dependence for patients with a history of alcohol addiction or drug dependence. Precautions exist for the possibility of serious psychiatric conditions </w:t>
      </w:r>
      <w:r w:rsidR="00402CC8">
        <w:t xml:space="preserve">in patients </w:t>
      </w:r>
      <w:r w:rsidRPr="004E28BB">
        <w:t xml:space="preserve">with pre-existing manic or psychotic behavior. Those with serious cardiovascular disease </w:t>
      </w:r>
      <w:r w:rsidR="00402CC8">
        <w:t xml:space="preserve">or </w:t>
      </w:r>
      <w:r w:rsidRPr="004E28BB">
        <w:t>structural cardiac abnormalities are at risk for sudden death, stroke, or myocardial infarction. Common minor side effects include insomnia, agitation, dry mouth, anorexia</w:t>
      </w:r>
      <w:r w:rsidR="00402CC8">
        <w:t>,</w:t>
      </w:r>
      <w:r w:rsidRPr="004E28BB">
        <w:t xml:space="preserve"> and weight loss</w:t>
      </w:r>
      <w:r w:rsidR="00402CC8">
        <w:t>.</w:t>
      </w:r>
    </w:p>
    <w:p w:rsidR="00830AA6" w:rsidRPr="004E28BB" w:rsidRDefault="00830AA6">
      <w:pPr>
        <w:numPr>
          <w:ilvl w:val="4"/>
          <w:numId w:val="9"/>
        </w:numPr>
      </w:pPr>
      <w:r w:rsidRPr="004E28BB">
        <w:lastRenderedPageBreak/>
        <w:t>Drug Interactions</w:t>
      </w:r>
      <w:r w:rsidR="00402CC8">
        <w:t>:</w:t>
      </w:r>
      <w:r w:rsidRPr="004E28BB">
        <w:t xml:space="preserve"> Multiple</w:t>
      </w:r>
      <w:r w:rsidR="00402CC8">
        <w:t>,</w:t>
      </w:r>
      <w:r w:rsidRPr="004E28BB">
        <w:t xml:space="preserve"> including some anticonvulsants and antidepressants</w:t>
      </w:r>
      <w:r w:rsidR="00402CC8">
        <w:t>.</w:t>
      </w:r>
    </w:p>
    <w:p w:rsidR="00830AA6" w:rsidRPr="004E28BB" w:rsidRDefault="00830AA6">
      <w:pPr>
        <w:numPr>
          <w:ilvl w:val="3"/>
          <w:numId w:val="9"/>
        </w:numPr>
        <w:rPr>
          <w:u w:val="single"/>
        </w:rPr>
      </w:pPr>
      <w:r w:rsidRPr="000B3579">
        <w:rPr>
          <w:u w:val="single"/>
        </w:rPr>
        <w:t>Modafinil &amp; Armodafinil</w:t>
      </w:r>
      <w:r w:rsidR="000B3579">
        <w:t>:</w:t>
      </w:r>
    </w:p>
    <w:p w:rsidR="00830AA6" w:rsidRPr="004E28BB" w:rsidRDefault="00830AA6">
      <w:pPr>
        <w:numPr>
          <w:ilvl w:val="4"/>
          <w:numId w:val="9"/>
        </w:numPr>
      </w:pPr>
      <w:r w:rsidRPr="004E28BB">
        <w:t>Description</w:t>
      </w:r>
      <w:r w:rsidR="00402CC8">
        <w:t>:</w:t>
      </w:r>
      <w:r w:rsidRPr="004E28BB">
        <w:t xml:space="preserve"> </w:t>
      </w:r>
      <w:r w:rsidR="00402CC8">
        <w:t>S</w:t>
      </w:r>
      <w:r w:rsidRPr="004E28BB">
        <w:t>ympathomimetic /stimulant increases dopamine level</w:t>
      </w:r>
      <w:r w:rsidR="00005D80">
        <w:t>s, but also has e</w:t>
      </w:r>
      <w:r w:rsidRPr="004E28BB">
        <w:t>ffects on serotonin, glutamate</w:t>
      </w:r>
      <w:r w:rsidR="00402CC8">
        <w:t>,</w:t>
      </w:r>
      <w:r w:rsidRPr="004E28BB">
        <w:t xml:space="preserve"> and GABA</w:t>
      </w:r>
    </w:p>
    <w:p w:rsidR="00830AA6" w:rsidRPr="004E28BB" w:rsidRDefault="00830AA6">
      <w:pPr>
        <w:numPr>
          <w:ilvl w:val="4"/>
          <w:numId w:val="9"/>
        </w:numPr>
      </w:pPr>
      <w:r w:rsidRPr="004E28BB">
        <w:t>Indications</w:t>
      </w:r>
      <w:r w:rsidR="00402CC8">
        <w:t>:</w:t>
      </w:r>
      <w:r w:rsidRPr="004E28BB">
        <w:t xml:space="preserve"> FDA approved for narcolepsy, obstructive sleep apnea</w:t>
      </w:r>
      <w:r w:rsidR="00402CC8">
        <w:t>,</w:t>
      </w:r>
      <w:r w:rsidRPr="004E28BB">
        <w:t xml:space="preserve"> and shift work disorder. May be used for hypoarousal, daytime sleepiness</w:t>
      </w:r>
      <w:r w:rsidR="00402CC8">
        <w:t>,</w:t>
      </w:r>
      <w:r w:rsidRPr="004E28BB">
        <w:t xml:space="preserve"> or fatigue following TBI</w:t>
      </w:r>
      <w:r w:rsidR="00402CC8">
        <w:t>.</w:t>
      </w:r>
    </w:p>
    <w:p w:rsidR="00830AA6" w:rsidRPr="004E28BB" w:rsidRDefault="00830AA6">
      <w:pPr>
        <w:numPr>
          <w:ilvl w:val="4"/>
          <w:numId w:val="9"/>
        </w:numPr>
      </w:pPr>
      <w:r w:rsidRPr="004E28BB">
        <w:t>Contraindications</w:t>
      </w:r>
      <w:r w:rsidR="00402CC8">
        <w:t>:</w:t>
      </w:r>
      <w:r w:rsidRPr="004E28BB">
        <w:t xml:space="preserve"> </w:t>
      </w:r>
      <w:r w:rsidR="00402CC8">
        <w:t>H</w:t>
      </w:r>
      <w:r w:rsidRPr="004E28BB">
        <w:t>ypersensitivity</w:t>
      </w:r>
      <w:r w:rsidR="00402CC8">
        <w:t>.</w:t>
      </w:r>
    </w:p>
    <w:p w:rsidR="00830AA6" w:rsidRPr="004E28BB" w:rsidRDefault="00830AA6">
      <w:pPr>
        <w:numPr>
          <w:ilvl w:val="4"/>
          <w:numId w:val="9"/>
        </w:numPr>
      </w:pPr>
      <w:r w:rsidRPr="004E28BB">
        <w:t>Dosing and Time to Therapeutic Effect</w:t>
      </w:r>
      <w:r w:rsidR="00402CC8">
        <w:t>:</w:t>
      </w:r>
      <w:r w:rsidRPr="004E28BB">
        <w:t xml:space="preserve"> Dosage 100mg – 400 mg </w:t>
      </w:r>
      <w:r w:rsidR="00402CC8">
        <w:t xml:space="preserve">per day </w:t>
      </w:r>
      <w:r w:rsidRPr="004E28BB">
        <w:t xml:space="preserve">for modafinil or 150–250 mg </w:t>
      </w:r>
      <w:r w:rsidR="00402CC8">
        <w:t xml:space="preserve">per day </w:t>
      </w:r>
      <w:r w:rsidRPr="004E28BB">
        <w:t>for armodafinil</w:t>
      </w:r>
      <w:r w:rsidR="00402CC8">
        <w:t>.</w:t>
      </w:r>
      <w:r w:rsidRPr="004E28BB">
        <w:t xml:space="preserve"> </w:t>
      </w:r>
    </w:p>
    <w:p w:rsidR="00830AA6" w:rsidRPr="004E28BB" w:rsidRDefault="00830AA6">
      <w:pPr>
        <w:numPr>
          <w:ilvl w:val="4"/>
          <w:numId w:val="9"/>
        </w:numPr>
      </w:pPr>
      <w:r w:rsidRPr="004E28BB">
        <w:t>Major Side Effects</w:t>
      </w:r>
      <w:r w:rsidR="00402CC8">
        <w:t>:</w:t>
      </w:r>
      <w:r w:rsidRPr="004E28BB">
        <w:t xml:space="preserve"> </w:t>
      </w:r>
      <w:r w:rsidR="00402CC8">
        <w:t>H</w:t>
      </w:r>
      <w:r w:rsidRPr="004E28BB">
        <w:t>eadache, nausea, nervousness, dizziness, paranoia</w:t>
      </w:r>
      <w:r w:rsidR="003710B5" w:rsidRPr="004E28BB">
        <w:t>. Serious rashes</w:t>
      </w:r>
      <w:r w:rsidR="00402CC8">
        <w:t>,</w:t>
      </w:r>
      <w:r w:rsidR="003710B5" w:rsidRPr="004E28BB">
        <w:t xml:space="preserve"> including Stevens-Johnson syndrome and toxic epidermal necrolysis</w:t>
      </w:r>
      <w:r w:rsidR="00402CC8">
        <w:t>,</w:t>
      </w:r>
      <w:r w:rsidR="003710B5" w:rsidRPr="004E28BB">
        <w:t xml:space="preserve"> have been reported.</w:t>
      </w:r>
    </w:p>
    <w:p w:rsidR="00830AA6" w:rsidRPr="004E28BB" w:rsidRDefault="00830AA6">
      <w:pPr>
        <w:numPr>
          <w:ilvl w:val="4"/>
          <w:numId w:val="9"/>
        </w:numPr>
        <w:rPr>
          <w:u w:val="single"/>
        </w:rPr>
      </w:pPr>
      <w:r w:rsidRPr="004E28BB">
        <w:t>Drug Interactions</w:t>
      </w:r>
      <w:r w:rsidR="00402CC8">
        <w:t>:</w:t>
      </w:r>
      <w:r w:rsidRPr="004E28BB">
        <w:t xml:space="preserve"> </w:t>
      </w:r>
      <w:r w:rsidR="00402CC8">
        <w:t>P</w:t>
      </w:r>
      <w:r w:rsidRPr="004E28BB">
        <w:t>otential interactions with drugs using the cytochrome P-450 isoenzymes or hepatic enzymes such as tricyclics, phenobarbital, and carbamazepine</w:t>
      </w:r>
      <w:r w:rsidR="00402CC8">
        <w:t>.</w:t>
      </w:r>
    </w:p>
    <w:p w:rsidR="00830AA6" w:rsidRPr="000B3579" w:rsidRDefault="00830AA6">
      <w:pPr>
        <w:numPr>
          <w:ilvl w:val="3"/>
          <w:numId w:val="9"/>
        </w:numPr>
        <w:rPr>
          <w:u w:val="single"/>
        </w:rPr>
      </w:pPr>
      <w:r w:rsidRPr="000B3579">
        <w:rPr>
          <w:u w:val="single"/>
        </w:rPr>
        <w:t>Rivastigmine</w:t>
      </w:r>
      <w:r w:rsidR="000B3579">
        <w:t>:</w:t>
      </w:r>
    </w:p>
    <w:p w:rsidR="00830AA6" w:rsidRPr="004E28BB" w:rsidRDefault="00830AA6">
      <w:pPr>
        <w:numPr>
          <w:ilvl w:val="4"/>
          <w:numId w:val="9"/>
        </w:numPr>
      </w:pPr>
      <w:r w:rsidRPr="004E28BB">
        <w:t>Description</w:t>
      </w:r>
      <w:r w:rsidR="00402CC8">
        <w:t>:</w:t>
      </w:r>
      <w:r w:rsidRPr="004E28BB">
        <w:t xml:space="preserve"> </w:t>
      </w:r>
      <w:r w:rsidR="00402CC8">
        <w:t>A</w:t>
      </w:r>
      <w:r w:rsidRPr="004E28BB">
        <w:t xml:space="preserve">n acetylcholinesterase inhibitor. </w:t>
      </w:r>
    </w:p>
    <w:p w:rsidR="00830AA6" w:rsidRPr="004E28BB" w:rsidRDefault="00830AA6">
      <w:pPr>
        <w:numPr>
          <w:ilvl w:val="4"/>
          <w:numId w:val="9"/>
        </w:numPr>
      </w:pPr>
      <w:r w:rsidRPr="004E28BB">
        <w:t>Indications</w:t>
      </w:r>
      <w:r w:rsidR="00402CC8">
        <w:t>:</w:t>
      </w:r>
      <w:r w:rsidRPr="004E28BB">
        <w:t xml:space="preserve"> FDA approved for Alzheimer’s and Parkinson’s dementia. Several studies that are inadequate for evidence purported to show better outcomes for those patients with moderate/severe TBI wit</w:t>
      </w:r>
      <w:r w:rsidR="007A5DB9" w:rsidRPr="004E28BB">
        <w:t>h adequate safety and tolerance</w:t>
      </w:r>
      <w:r w:rsidRPr="004E28BB">
        <w:rPr>
          <w:rStyle w:val="GuideCitesCharChar"/>
        </w:rPr>
        <w:t xml:space="preserve"> (</w:t>
      </w:r>
      <w:hyperlink w:anchor="Silver2006" w:history="1">
        <w:r w:rsidRPr="005A2AC1">
          <w:rPr>
            <w:rStyle w:val="Hyperlink"/>
            <w:rFonts w:cs="Arial"/>
            <w:highlight w:val="yellow"/>
          </w:rPr>
          <w:t>Silver, 2006</w:t>
        </w:r>
      </w:hyperlink>
      <w:r w:rsidRPr="00F201EA">
        <w:rPr>
          <w:rStyle w:val="GuideCitesCharChar"/>
          <w:highlight w:val="yellow"/>
        </w:rPr>
        <w:t xml:space="preserve">; </w:t>
      </w:r>
      <w:hyperlink w:anchor="Tenovuo2009" w:history="1">
        <w:r w:rsidRPr="00415116">
          <w:rPr>
            <w:rStyle w:val="Hyperlink"/>
            <w:rFonts w:cs="Arial"/>
            <w:highlight w:val="yellow"/>
          </w:rPr>
          <w:t>Tenovuo, 2009</w:t>
        </w:r>
      </w:hyperlink>
      <w:r w:rsidRPr="004E28BB">
        <w:rPr>
          <w:rStyle w:val="GuideCitesCharChar"/>
        </w:rPr>
        <w:t>)</w:t>
      </w:r>
      <w:r w:rsidRPr="004E28BB">
        <w:t>.</w:t>
      </w:r>
      <w:r w:rsidR="000D22B6" w:rsidRPr="004E28BB">
        <w:t xml:space="preserve"> M</w:t>
      </w:r>
      <w:r w:rsidRPr="004E28BB">
        <w:t xml:space="preserve">ay be used for cognitive dysfunction in moderate to severe TBI cases. It is possible for patients to have a greater effect from one specific acetylcholinesterase inhibitor than from </w:t>
      </w:r>
      <w:r w:rsidR="00402CC8">
        <w:t>another one</w:t>
      </w:r>
      <w:r w:rsidRPr="004E28BB">
        <w:t>. Thus</w:t>
      </w:r>
      <w:r w:rsidR="00402CC8">
        <w:t>,</w:t>
      </w:r>
      <w:r w:rsidRPr="004E28BB">
        <w:t xml:space="preserve"> rivastigmine may be useful if donepezil or less costly agents have failed.</w:t>
      </w:r>
    </w:p>
    <w:p w:rsidR="00830AA6" w:rsidRPr="004E28BB" w:rsidRDefault="00830AA6">
      <w:pPr>
        <w:numPr>
          <w:ilvl w:val="4"/>
          <w:numId w:val="9"/>
        </w:numPr>
      </w:pPr>
      <w:r w:rsidRPr="004E28BB">
        <w:t>Contraindications</w:t>
      </w:r>
      <w:r w:rsidR="00402CC8">
        <w:t>:</w:t>
      </w:r>
      <w:r w:rsidRPr="004E28BB">
        <w:t xml:space="preserve"> </w:t>
      </w:r>
      <w:r w:rsidR="00986685">
        <w:t>The same as the contraindications for</w:t>
      </w:r>
      <w:r w:rsidRPr="004E28BB">
        <w:t xml:space="preserve"> donepezil. </w:t>
      </w:r>
    </w:p>
    <w:p w:rsidR="00830AA6" w:rsidRDefault="00986685">
      <w:pPr>
        <w:numPr>
          <w:ilvl w:val="4"/>
          <w:numId w:val="9"/>
        </w:numPr>
      </w:pPr>
      <w:r w:rsidRPr="004E28BB">
        <w:t>Dosing and Time to Therapeutic Effect</w:t>
      </w:r>
      <w:r>
        <w:t>: G</w:t>
      </w:r>
      <w:r w:rsidR="00830AA6" w:rsidRPr="004E28BB">
        <w:t xml:space="preserve">enerally 1.5 mg </w:t>
      </w:r>
      <w:r w:rsidR="00D43A3F">
        <w:t xml:space="preserve">twice a day </w:t>
      </w:r>
      <w:r w:rsidR="00830AA6" w:rsidRPr="004E28BB">
        <w:t xml:space="preserve">for four weeks, with increases in increments of 1.5 mg </w:t>
      </w:r>
      <w:r w:rsidR="00D43A3F">
        <w:t xml:space="preserve">twice a day </w:t>
      </w:r>
      <w:r w:rsidR="00830AA6" w:rsidRPr="004E28BB">
        <w:t xml:space="preserve">every four weeks up to 12 mg/day. Rivastigmine is available in a transdermal patch if oral administration is not possible. </w:t>
      </w:r>
    </w:p>
    <w:p w:rsidR="00402CC8" w:rsidRDefault="00402CC8">
      <w:pPr>
        <w:numPr>
          <w:ilvl w:val="4"/>
          <w:numId w:val="9"/>
        </w:numPr>
      </w:pPr>
      <w:r>
        <w:t xml:space="preserve">Major Side Effects: The same as </w:t>
      </w:r>
      <w:r w:rsidR="00986685">
        <w:t>the side effects for donepezil.</w:t>
      </w:r>
      <w:r w:rsidR="00F64E42">
        <w:t xml:space="preserve"> </w:t>
      </w:r>
      <w:r w:rsidR="00986685">
        <w:t>It m</w:t>
      </w:r>
      <w:r w:rsidR="00986685" w:rsidRPr="004E28BB">
        <w:t>ay have more side effects than donepezil but allows for a slower titration if that is desirable in a given patient.</w:t>
      </w:r>
    </w:p>
    <w:p w:rsidR="00986685" w:rsidRPr="004E28BB" w:rsidRDefault="00986685">
      <w:pPr>
        <w:numPr>
          <w:ilvl w:val="4"/>
          <w:numId w:val="9"/>
        </w:numPr>
      </w:pPr>
      <w:r>
        <w:t>Drug Interactions: The same as the drug interactions for donepezil.</w:t>
      </w:r>
    </w:p>
    <w:p w:rsidR="00830AA6" w:rsidRPr="004E28BB" w:rsidRDefault="00830AA6">
      <w:pPr>
        <w:numPr>
          <w:ilvl w:val="3"/>
          <w:numId w:val="9"/>
        </w:numPr>
      </w:pPr>
      <w:r w:rsidRPr="00D5039B">
        <w:rPr>
          <w:u w:val="single"/>
        </w:rPr>
        <w:lastRenderedPageBreak/>
        <w:t>Other Medications approved for use in Parkinson’s</w:t>
      </w:r>
      <w:r w:rsidR="003D1C44">
        <w:t>:</w:t>
      </w:r>
      <w:r w:rsidRPr="004E28BB">
        <w:t xml:space="preserve"> The off-label use of</w:t>
      </w:r>
      <w:r w:rsidR="00DD531A" w:rsidRPr="004E28BB">
        <w:t xml:space="preserve"> </w:t>
      </w:r>
      <w:r w:rsidRPr="004E28BB">
        <w:t xml:space="preserve">dopamine agonists in </w:t>
      </w:r>
      <w:r w:rsidR="003D1C44">
        <w:t>m</w:t>
      </w:r>
      <w:r w:rsidRPr="004E28BB">
        <w:t>oderate</w:t>
      </w:r>
      <w:r w:rsidR="003D1C44">
        <w:t>/s</w:t>
      </w:r>
      <w:r w:rsidRPr="004E28BB">
        <w:t>evere TBI for conditions including</w:t>
      </w:r>
      <w:r w:rsidR="003D1C44">
        <w:t>,</w:t>
      </w:r>
      <w:r w:rsidRPr="004E28BB">
        <w:t xml:space="preserve"> but not limited to</w:t>
      </w:r>
      <w:r w:rsidR="003D1C44">
        <w:t>,</w:t>
      </w:r>
      <w:r w:rsidRPr="004E28BB">
        <w:t xml:space="preserve"> disorders of consciousness (arousa</w:t>
      </w:r>
      <w:r w:rsidR="00E945EB" w:rsidRPr="004E28BB">
        <w:t>l)</w:t>
      </w:r>
      <w:r w:rsidRPr="004E28BB">
        <w:t>, attention, initiation, speed of processing, and motor control (bradykinesis, rigidity, tremor)</w:t>
      </w:r>
      <w:r w:rsidR="00A95C9B" w:rsidRPr="004E28BB">
        <w:t>. May be appropriate in specific cases.</w:t>
      </w:r>
    </w:p>
    <w:p w:rsidR="00830AA6" w:rsidRPr="004E28BB" w:rsidRDefault="00830AA6" w:rsidP="00F237CF">
      <w:pPr>
        <w:keepNext/>
        <w:keepLines/>
        <w:ind w:left="2160"/>
        <w:rPr>
          <w:b/>
          <w:sz w:val="24"/>
          <w:szCs w:val="24"/>
          <w:u w:val="single"/>
        </w:rPr>
      </w:pPr>
      <w:r w:rsidRPr="004E28BB">
        <w:rPr>
          <w:b/>
          <w:sz w:val="24"/>
          <w:szCs w:val="24"/>
          <w:u w:val="single"/>
        </w:rPr>
        <w:t>Indications for use of Cognitive Enhancers</w:t>
      </w:r>
    </w:p>
    <w:p w:rsidR="00830AA6" w:rsidRPr="004E28BB" w:rsidRDefault="00830AA6" w:rsidP="00F237CF">
      <w:pPr>
        <w:keepNext/>
        <w:keepLines/>
        <w:ind w:left="2160"/>
      </w:pPr>
    </w:p>
    <w:tbl>
      <w:tblPr>
        <w:tblW w:w="107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5"/>
        <w:gridCol w:w="1304"/>
        <w:gridCol w:w="1181"/>
        <w:gridCol w:w="1255"/>
        <w:gridCol w:w="1084"/>
        <w:gridCol w:w="1170"/>
        <w:gridCol w:w="1096"/>
        <w:gridCol w:w="1365"/>
      </w:tblGrid>
      <w:tr w:rsidR="00830AA6" w:rsidRPr="004E28BB" w:rsidTr="009E784D">
        <w:trPr>
          <w:trHeight w:val="933"/>
        </w:trPr>
        <w:tc>
          <w:tcPr>
            <w:tcW w:w="0" w:type="auto"/>
          </w:tcPr>
          <w:p w:rsidR="00830AA6" w:rsidRPr="004E28BB" w:rsidRDefault="00830AA6" w:rsidP="00F237CF">
            <w:pPr>
              <w:keepNext/>
              <w:keepLines/>
              <w:rPr>
                <w:rFonts w:ascii="Times New Roman" w:hAnsi="Times New Roman" w:cs="Times New Roman"/>
                <w:sz w:val="22"/>
                <w:szCs w:val="22"/>
              </w:rPr>
            </w:pPr>
          </w:p>
        </w:tc>
        <w:tc>
          <w:tcPr>
            <w:tcW w:w="0" w:type="auto"/>
          </w:tcPr>
          <w:p w:rsidR="00830AA6" w:rsidRPr="004E28BB" w:rsidRDefault="000C32F9"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Somnolence</w:t>
            </w: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Attention</w:t>
            </w:r>
            <w:r w:rsidR="000C32F9" w:rsidRPr="004E28BB">
              <w:rPr>
                <w:rFonts w:ascii="Times New Roman" w:hAnsi="Times New Roman" w:cs="Times New Roman"/>
                <w:sz w:val="22"/>
                <w:szCs w:val="22"/>
              </w:rPr>
              <w:t xml:space="preserve"> Deficiency</w:t>
            </w:r>
          </w:p>
        </w:tc>
        <w:tc>
          <w:tcPr>
            <w:tcW w:w="0" w:type="auto"/>
          </w:tcPr>
          <w:p w:rsidR="00830AA6" w:rsidRPr="004E28BB" w:rsidRDefault="000C32F9"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 xml:space="preserve">Lack of </w:t>
            </w:r>
            <w:r w:rsidR="00830AA6" w:rsidRPr="004E28BB">
              <w:rPr>
                <w:rFonts w:ascii="Times New Roman" w:hAnsi="Times New Roman" w:cs="Times New Roman"/>
                <w:sz w:val="22"/>
                <w:szCs w:val="22"/>
              </w:rPr>
              <w:t>Motivation/</w:t>
            </w:r>
            <w:r w:rsidRPr="004E28BB">
              <w:rPr>
                <w:rFonts w:ascii="Times New Roman" w:hAnsi="Times New Roman" w:cs="Times New Roman"/>
                <w:sz w:val="22"/>
                <w:szCs w:val="22"/>
              </w:rPr>
              <w:t xml:space="preserve"> </w:t>
            </w:r>
            <w:r w:rsidR="00830AA6" w:rsidRPr="004E28BB">
              <w:rPr>
                <w:rFonts w:ascii="Times New Roman" w:hAnsi="Times New Roman" w:cs="Times New Roman"/>
                <w:sz w:val="22"/>
                <w:szCs w:val="22"/>
              </w:rPr>
              <w:t>Initiation</w:t>
            </w: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Memory</w:t>
            </w:r>
            <w:r w:rsidR="000C32F9" w:rsidRPr="004E28BB">
              <w:rPr>
                <w:rFonts w:ascii="Times New Roman" w:hAnsi="Times New Roman" w:cs="Times New Roman"/>
                <w:sz w:val="22"/>
                <w:szCs w:val="22"/>
              </w:rPr>
              <w:t xml:space="preserve"> Difficulty</w:t>
            </w:r>
          </w:p>
        </w:tc>
        <w:tc>
          <w:tcPr>
            <w:tcW w:w="0" w:type="auto"/>
          </w:tcPr>
          <w:p w:rsidR="00830AA6" w:rsidRPr="004E28BB" w:rsidRDefault="000C32F9"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 xml:space="preserve">Slowed </w:t>
            </w:r>
            <w:r w:rsidR="00830AA6" w:rsidRPr="004E28BB">
              <w:rPr>
                <w:rFonts w:ascii="Times New Roman" w:hAnsi="Times New Roman" w:cs="Times New Roman"/>
                <w:sz w:val="22"/>
                <w:szCs w:val="22"/>
              </w:rPr>
              <w:t>Speed of Processing</w:t>
            </w: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Executive Function</w:t>
            </w:r>
            <w:r w:rsidR="000C32F9" w:rsidRPr="004E28BB">
              <w:rPr>
                <w:rFonts w:ascii="Times New Roman" w:hAnsi="Times New Roman" w:cs="Times New Roman"/>
                <w:sz w:val="22"/>
                <w:szCs w:val="22"/>
              </w:rPr>
              <w:t xml:space="preserve"> Difficulty</w:t>
            </w: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Motor Disturbances</w:t>
            </w:r>
          </w:p>
        </w:tc>
      </w:tr>
      <w:tr w:rsidR="00830AA6" w:rsidRPr="004E28BB" w:rsidTr="009E784D">
        <w:trPr>
          <w:trHeight w:val="306"/>
        </w:trPr>
        <w:tc>
          <w:tcPr>
            <w:tcW w:w="0" w:type="auto"/>
          </w:tcPr>
          <w:p w:rsidR="00830AA6" w:rsidRPr="004E28BB" w:rsidRDefault="00830AA6" w:rsidP="00F237CF">
            <w:pPr>
              <w:keepNext/>
              <w:keepLines/>
              <w:rPr>
                <w:rFonts w:ascii="Times New Roman" w:hAnsi="Times New Roman" w:cs="Times New Roman"/>
                <w:sz w:val="22"/>
                <w:szCs w:val="22"/>
              </w:rPr>
            </w:pPr>
            <w:r w:rsidRPr="004E28BB">
              <w:rPr>
                <w:rFonts w:ascii="Times New Roman" w:hAnsi="Times New Roman" w:cs="Times New Roman"/>
                <w:sz w:val="22"/>
                <w:szCs w:val="22"/>
              </w:rPr>
              <w:t>Amantadine</w:t>
            </w: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X</w:t>
            </w: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X</w:t>
            </w: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X</w:t>
            </w:r>
          </w:p>
        </w:tc>
        <w:tc>
          <w:tcPr>
            <w:tcW w:w="0" w:type="auto"/>
          </w:tcPr>
          <w:p w:rsidR="00830AA6" w:rsidRPr="004E28BB" w:rsidRDefault="00830AA6" w:rsidP="000C32F9">
            <w:pPr>
              <w:keepNext/>
              <w:keepLines/>
              <w:jc w:val="center"/>
              <w:rPr>
                <w:rFonts w:ascii="Times New Roman" w:hAnsi="Times New Roman" w:cs="Times New Roman"/>
                <w:sz w:val="22"/>
                <w:szCs w:val="22"/>
              </w:rPr>
            </w:pP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X</w:t>
            </w: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X</w:t>
            </w: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X</w:t>
            </w:r>
          </w:p>
        </w:tc>
      </w:tr>
      <w:tr w:rsidR="00830AA6" w:rsidRPr="004E28BB" w:rsidTr="009E784D">
        <w:trPr>
          <w:trHeight w:val="306"/>
        </w:trPr>
        <w:tc>
          <w:tcPr>
            <w:tcW w:w="0" w:type="auto"/>
          </w:tcPr>
          <w:p w:rsidR="00830AA6" w:rsidRPr="004E28BB" w:rsidRDefault="00830AA6" w:rsidP="00F237CF">
            <w:pPr>
              <w:keepNext/>
              <w:keepLines/>
              <w:rPr>
                <w:rFonts w:ascii="Times New Roman" w:hAnsi="Times New Roman" w:cs="Times New Roman"/>
                <w:sz w:val="22"/>
                <w:szCs w:val="22"/>
              </w:rPr>
            </w:pPr>
            <w:r w:rsidRPr="004E28BB">
              <w:rPr>
                <w:rFonts w:ascii="Times New Roman" w:hAnsi="Times New Roman" w:cs="Times New Roman"/>
                <w:sz w:val="22"/>
                <w:szCs w:val="22"/>
              </w:rPr>
              <w:t>Bromocriptine</w:t>
            </w: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X</w:t>
            </w: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X</w:t>
            </w: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X</w:t>
            </w:r>
          </w:p>
        </w:tc>
        <w:tc>
          <w:tcPr>
            <w:tcW w:w="0" w:type="auto"/>
          </w:tcPr>
          <w:p w:rsidR="00830AA6" w:rsidRPr="004E28BB" w:rsidRDefault="00830AA6" w:rsidP="000C32F9">
            <w:pPr>
              <w:keepNext/>
              <w:keepLines/>
              <w:jc w:val="center"/>
              <w:rPr>
                <w:rFonts w:ascii="Times New Roman" w:hAnsi="Times New Roman" w:cs="Times New Roman"/>
                <w:sz w:val="22"/>
                <w:szCs w:val="22"/>
              </w:rPr>
            </w:pPr>
          </w:p>
        </w:tc>
        <w:tc>
          <w:tcPr>
            <w:tcW w:w="0" w:type="auto"/>
          </w:tcPr>
          <w:p w:rsidR="00830AA6" w:rsidRPr="004E28BB" w:rsidRDefault="00830AA6" w:rsidP="000C32F9">
            <w:pPr>
              <w:keepNext/>
              <w:keepLines/>
              <w:jc w:val="center"/>
              <w:rPr>
                <w:rFonts w:ascii="Times New Roman" w:hAnsi="Times New Roman" w:cs="Times New Roman"/>
                <w:sz w:val="22"/>
                <w:szCs w:val="22"/>
              </w:rPr>
            </w:pP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X</w:t>
            </w: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X</w:t>
            </w:r>
          </w:p>
        </w:tc>
      </w:tr>
      <w:tr w:rsidR="00830AA6" w:rsidRPr="004E28BB" w:rsidTr="009E784D">
        <w:trPr>
          <w:trHeight w:val="628"/>
        </w:trPr>
        <w:tc>
          <w:tcPr>
            <w:tcW w:w="0" w:type="auto"/>
          </w:tcPr>
          <w:p w:rsidR="00830AA6" w:rsidRPr="004E28BB" w:rsidRDefault="00830AA6" w:rsidP="00F237CF">
            <w:pPr>
              <w:keepNext/>
              <w:keepLines/>
              <w:rPr>
                <w:rFonts w:ascii="Times New Roman" w:hAnsi="Times New Roman" w:cs="Times New Roman"/>
                <w:sz w:val="22"/>
                <w:szCs w:val="22"/>
              </w:rPr>
            </w:pPr>
            <w:r w:rsidRPr="004E28BB">
              <w:rPr>
                <w:rFonts w:ascii="Times New Roman" w:hAnsi="Times New Roman" w:cs="Times New Roman"/>
                <w:sz w:val="22"/>
                <w:szCs w:val="22"/>
              </w:rPr>
              <w:t>Carbidopa/L-Dopa</w:t>
            </w: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X</w:t>
            </w:r>
          </w:p>
        </w:tc>
        <w:tc>
          <w:tcPr>
            <w:tcW w:w="0" w:type="auto"/>
          </w:tcPr>
          <w:p w:rsidR="00830AA6" w:rsidRPr="004E28BB" w:rsidRDefault="00830AA6" w:rsidP="000C32F9">
            <w:pPr>
              <w:keepNext/>
              <w:keepLines/>
              <w:jc w:val="center"/>
              <w:rPr>
                <w:rFonts w:ascii="Times New Roman" w:hAnsi="Times New Roman" w:cs="Times New Roman"/>
                <w:sz w:val="22"/>
                <w:szCs w:val="22"/>
              </w:rPr>
            </w:pP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X</w:t>
            </w:r>
          </w:p>
        </w:tc>
        <w:tc>
          <w:tcPr>
            <w:tcW w:w="0" w:type="auto"/>
          </w:tcPr>
          <w:p w:rsidR="00830AA6" w:rsidRPr="004E28BB" w:rsidRDefault="00830AA6" w:rsidP="000C32F9">
            <w:pPr>
              <w:keepNext/>
              <w:keepLines/>
              <w:jc w:val="center"/>
              <w:rPr>
                <w:rFonts w:ascii="Times New Roman" w:hAnsi="Times New Roman" w:cs="Times New Roman"/>
                <w:sz w:val="22"/>
                <w:szCs w:val="22"/>
              </w:rPr>
            </w:pPr>
          </w:p>
        </w:tc>
        <w:tc>
          <w:tcPr>
            <w:tcW w:w="0" w:type="auto"/>
          </w:tcPr>
          <w:p w:rsidR="00830AA6" w:rsidRPr="004E28BB" w:rsidRDefault="00830AA6" w:rsidP="000C32F9">
            <w:pPr>
              <w:keepNext/>
              <w:keepLines/>
              <w:jc w:val="center"/>
              <w:rPr>
                <w:rFonts w:ascii="Times New Roman" w:hAnsi="Times New Roman" w:cs="Times New Roman"/>
                <w:sz w:val="22"/>
                <w:szCs w:val="22"/>
              </w:rPr>
            </w:pPr>
          </w:p>
        </w:tc>
        <w:tc>
          <w:tcPr>
            <w:tcW w:w="0" w:type="auto"/>
          </w:tcPr>
          <w:p w:rsidR="00830AA6" w:rsidRPr="004E28BB" w:rsidRDefault="00830AA6" w:rsidP="000C32F9">
            <w:pPr>
              <w:keepNext/>
              <w:keepLines/>
              <w:jc w:val="center"/>
              <w:rPr>
                <w:rFonts w:ascii="Times New Roman" w:hAnsi="Times New Roman" w:cs="Times New Roman"/>
                <w:sz w:val="22"/>
                <w:szCs w:val="22"/>
              </w:rPr>
            </w:pP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X</w:t>
            </w:r>
          </w:p>
        </w:tc>
      </w:tr>
      <w:tr w:rsidR="00830AA6" w:rsidRPr="004E28BB" w:rsidTr="009E784D">
        <w:trPr>
          <w:trHeight w:val="560"/>
        </w:trPr>
        <w:tc>
          <w:tcPr>
            <w:tcW w:w="0" w:type="auto"/>
          </w:tcPr>
          <w:p w:rsidR="00830AA6" w:rsidRPr="004E28BB" w:rsidRDefault="00830AA6" w:rsidP="00F237CF">
            <w:pPr>
              <w:keepNext/>
              <w:keepLines/>
              <w:rPr>
                <w:rFonts w:ascii="Times New Roman" w:hAnsi="Times New Roman" w:cs="Times New Roman"/>
                <w:sz w:val="22"/>
                <w:szCs w:val="22"/>
              </w:rPr>
            </w:pPr>
            <w:r w:rsidRPr="004E28BB">
              <w:rPr>
                <w:rFonts w:ascii="Times New Roman" w:hAnsi="Times New Roman" w:cs="Times New Roman"/>
                <w:sz w:val="22"/>
                <w:szCs w:val="22"/>
              </w:rPr>
              <w:t>Dextroamphetamine</w:t>
            </w: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X</w:t>
            </w: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X</w:t>
            </w:r>
          </w:p>
        </w:tc>
        <w:tc>
          <w:tcPr>
            <w:tcW w:w="0" w:type="auto"/>
          </w:tcPr>
          <w:p w:rsidR="00830AA6" w:rsidRPr="004E28BB" w:rsidRDefault="00830AA6" w:rsidP="000C32F9">
            <w:pPr>
              <w:keepNext/>
              <w:keepLines/>
              <w:jc w:val="center"/>
              <w:rPr>
                <w:rFonts w:ascii="Times New Roman" w:hAnsi="Times New Roman" w:cs="Times New Roman"/>
                <w:strike/>
                <w:sz w:val="22"/>
                <w:szCs w:val="22"/>
              </w:rPr>
            </w:pP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X</w:t>
            </w: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X</w:t>
            </w:r>
          </w:p>
        </w:tc>
        <w:tc>
          <w:tcPr>
            <w:tcW w:w="0" w:type="auto"/>
          </w:tcPr>
          <w:p w:rsidR="00830AA6" w:rsidRPr="004E28BB" w:rsidRDefault="00830AA6" w:rsidP="000C32F9">
            <w:pPr>
              <w:keepNext/>
              <w:keepLines/>
              <w:jc w:val="center"/>
              <w:rPr>
                <w:rFonts w:ascii="Times New Roman" w:hAnsi="Times New Roman" w:cs="Times New Roman"/>
                <w:sz w:val="22"/>
                <w:szCs w:val="22"/>
              </w:rPr>
            </w:pPr>
          </w:p>
        </w:tc>
        <w:tc>
          <w:tcPr>
            <w:tcW w:w="0" w:type="auto"/>
          </w:tcPr>
          <w:p w:rsidR="00830AA6" w:rsidRPr="004E28BB" w:rsidRDefault="00830AA6" w:rsidP="000C32F9">
            <w:pPr>
              <w:keepNext/>
              <w:keepLines/>
              <w:jc w:val="center"/>
              <w:rPr>
                <w:rFonts w:ascii="Times New Roman" w:hAnsi="Times New Roman" w:cs="Times New Roman"/>
                <w:sz w:val="22"/>
                <w:szCs w:val="22"/>
              </w:rPr>
            </w:pPr>
          </w:p>
        </w:tc>
      </w:tr>
      <w:tr w:rsidR="00830AA6" w:rsidRPr="004E28BB" w:rsidTr="009E784D">
        <w:trPr>
          <w:trHeight w:val="306"/>
        </w:trPr>
        <w:tc>
          <w:tcPr>
            <w:tcW w:w="0" w:type="auto"/>
          </w:tcPr>
          <w:p w:rsidR="00830AA6" w:rsidRPr="004E28BB" w:rsidRDefault="00830AA6" w:rsidP="00F237CF">
            <w:pPr>
              <w:keepNext/>
              <w:keepLines/>
              <w:rPr>
                <w:rFonts w:ascii="Times New Roman" w:hAnsi="Times New Roman" w:cs="Times New Roman"/>
                <w:sz w:val="22"/>
                <w:szCs w:val="22"/>
              </w:rPr>
            </w:pPr>
            <w:r w:rsidRPr="004E28BB">
              <w:rPr>
                <w:rFonts w:ascii="Times New Roman" w:hAnsi="Times New Roman" w:cs="Times New Roman"/>
                <w:sz w:val="22"/>
                <w:szCs w:val="22"/>
              </w:rPr>
              <w:t>Donepezil</w:t>
            </w: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X</w:t>
            </w:r>
          </w:p>
        </w:tc>
        <w:tc>
          <w:tcPr>
            <w:tcW w:w="0" w:type="auto"/>
          </w:tcPr>
          <w:p w:rsidR="00830AA6" w:rsidRPr="004E28BB" w:rsidRDefault="00830AA6" w:rsidP="000C32F9">
            <w:pPr>
              <w:keepNext/>
              <w:keepLines/>
              <w:jc w:val="center"/>
              <w:rPr>
                <w:rFonts w:ascii="Times New Roman" w:hAnsi="Times New Roman" w:cs="Times New Roman"/>
                <w:sz w:val="22"/>
                <w:szCs w:val="22"/>
              </w:rPr>
            </w:pP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X</w:t>
            </w: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X</w:t>
            </w:r>
          </w:p>
        </w:tc>
        <w:tc>
          <w:tcPr>
            <w:tcW w:w="0" w:type="auto"/>
          </w:tcPr>
          <w:p w:rsidR="00830AA6" w:rsidRPr="004E28BB" w:rsidRDefault="00830AA6" w:rsidP="000C32F9">
            <w:pPr>
              <w:keepNext/>
              <w:keepLines/>
              <w:jc w:val="center"/>
              <w:rPr>
                <w:rFonts w:ascii="Times New Roman" w:hAnsi="Times New Roman" w:cs="Times New Roman"/>
                <w:sz w:val="22"/>
                <w:szCs w:val="22"/>
              </w:rPr>
            </w:pPr>
          </w:p>
        </w:tc>
        <w:tc>
          <w:tcPr>
            <w:tcW w:w="0" w:type="auto"/>
          </w:tcPr>
          <w:p w:rsidR="00830AA6" w:rsidRPr="004E28BB" w:rsidRDefault="00830AA6" w:rsidP="000C32F9">
            <w:pPr>
              <w:keepNext/>
              <w:keepLines/>
              <w:jc w:val="center"/>
              <w:rPr>
                <w:rFonts w:ascii="Times New Roman" w:hAnsi="Times New Roman" w:cs="Times New Roman"/>
                <w:sz w:val="22"/>
                <w:szCs w:val="22"/>
              </w:rPr>
            </w:pPr>
          </w:p>
        </w:tc>
        <w:tc>
          <w:tcPr>
            <w:tcW w:w="0" w:type="auto"/>
          </w:tcPr>
          <w:p w:rsidR="00830AA6" w:rsidRPr="004E28BB" w:rsidRDefault="00830AA6" w:rsidP="000C32F9">
            <w:pPr>
              <w:keepNext/>
              <w:keepLines/>
              <w:jc w:val="center"/>
              <w:rPr>
                <w:rFonts w:ascii="Times New Roman" w:hAnsi="Times New Roman" w:cs="Times New Roman"/>
                <w:sz w:val="22"/>
                <w:szCs w:val="22"/>
              </w:rPr>
            </w:pPr>
          </w:p>
        </w:tc>
      </w:tr>
      <w:tr w:rsidR="00830AA6" w:rsidRPr="004E28BB" w:rsidTr="009E784D">
        <w:trPr>
          <w:trHeight w:val="322"/>
        </w:trPr>
        <w:tc>
          <w:tcPr>
            <w:tcW w:w="0" w:type="auto"/>
          </w:tcPr>
          <w:p w:rsidR="00830AA6" w:rsidRPr="004E28BB" w:rsidRDefault="00830AA6" w:rsidP="00F237CF">
            <w:pPr>
              <w:keepNext/>
              <w:keepLines/>
              <w:rPr>
                <w:rFonts w:ascii="Times New Roman" w:hAnsi="Times New Roman" w:cs="Times New Roman"/>
                <w:sz w:val="22"/>
                <w:szCs w:val="22"/>
              </w:rPr>
            </w:pPr>
            <w:r w:rsidRPr="004E28BB">
              <w:rPr>
                <w:rFonts w:ascii="Times New Roman" w:hAnsi="Times New Roman" w:cs="Times New Roman"/>
                <w:sz w:val="22"/>
                <w:szCs w:val="22"/>
              </w:rPr>
              <w:t>Methylphenidate</w:t>
            </w: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X</w:t>
            </w: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X</w:t>
            </w:r>
          </w:p>
        </w:tc>
        <w:tc>
          <w:tcPr>
            <w:tcW w:w="0" w:type="auto"/>
          </w:tcPr>
          <w:p w:rsidR="00830AA6" w:rsidRPr="004E28BB" w:rsidRDefault="00830AA6" w:rsidP="000C32F9">
            <w:pPr>
              <w:keepNext/>
              <w:keepLines/>
              <w:jc w:val="center"/>
              <w:rPr>
                <w:rFonts w:ascii="Times New Roman" w:hAnsi="Times New Roman" w:cs="Times New Roman"/>
                <w:sz w:val="22"/>
                <w:szCs w:val="22"/>
              </w:rPr>
            </w:pP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X</w:t>
            </w: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X</w:t>
            </w:r>
          </w:p>
        </w:tc>
        <w:tc>
          <w:tcPr>
            <w:tcW w:w="0" w:type="auto"/>
          </w:tcPr>
          <w:p w:rsidR="00830AA6" w:rsidRPr="004E28BB" w:rsidRDefault="00830AA6" w:rsidP="000C32F9">
            <w:pPr>
              <w:keepNext/>
              <w:keepLines/>
              <w:jc w:val="center"/>
              <w:rPr>
                <w:rFonts w:ascii="Times New Roman" w:hAnsi="Times New Roman" w:cs="Times New Roman"/>
                <w:sz w:val="22"/>
                <w:szCs w:val="22"/>
              </w:rPr>
            </w:pPr>
          </w:p>
        </w:tc>
        <w:tc>
          <w:tcPr>
            <w:tcW w:w="0" w:type="auto"/>
          </w:tcPr>
          <w:p w:rsidR="00830AA6" w:rsidRPr="004E28BB" w:rsidRDefault="00830AA6" w:rsidP="000C32F9">
            <w:pPr>
              <w:keepNext/>
              <w:keepLines/>
              <w:jc w:val="center"/>
              <w:rPr>
                <w:rFonts w:ascii="Times New Roman" w:hAnsi="Times New Roman" w:cs="Times New Roman"/>
                <w:sz w:val="22"/>
                <w:szCs w:val="22"/>
              </w:rPr>
            </w:pPr>
          </w:p>
        </w:tc>
      </w:tr>
      <w:tr w:rsidR="00830AA6" w:rsidRPr="004E28BB" w:rsidTr="009E784D">
        <w:trPr>
          <w:trHeight w:val="306"/>
        </w:trPr>
        <w:tc>
          <w:tcPr>
            <w:tcW w:w="0" w:type="auto"/>
          </w:tcPr>
          <w:p w:rsidR="00830AA6" w:rsidRPr="004E28BB" w:rsidRDefault="00830AA6" w:rsidP="00F237CF">
            <w:pPr>
              <w:keepNext/>
              <w:keepLines/>
              <w:rPr>
                <w:rFonts w:ascii="Times New Roman" w:hAnsi="Times New Roman" w:cs="Times New Roman"/>
                <w:sz w:val="22"/>
                <w:szCs w:val="22"/>
              </w:rPr>
            </w:pPr>
            <w:r w:rsidRPr="004E28BB">
              <w:rPr>
                <w:rFonts w:ascii="Times New Roman" w:hAnsi="Times New Roman" w:cs="Times New Roman"/>
                <w:sz w:val="22"/>
                <w:szCs w:val="22"/>
              </w:rPr>
              <w:t>Modafinil/Armodafinil</w:t>
            </w: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X</w:t>
            </w:r>
          </w:p>
        </w:tc>
        <w:tc>
          <w:tcPr>
            <w:tcW w:w="0" w:type="auto"/>
          </w:tcPr>
          <w:p w:rsidR="00830AA6" w:rsidRPr="004E28BB" w:rsidRDefault="00830AA6" w:rsidP="000C32F9">
            <w:pPr>
              <w:keepNext/>
              <w:keepLines/>
              <w:jc w:val="center"/>
              <w:rPr>
                <w:rFonts w:ascii="Times New Roman" w:hAnsi="Times New Roman" w:cs="Times New Roman"/>
                <w:sz w:val="22"/>
                <w:szCs w:val="22"/>
              </w:rPr>
            </w:pPr>
          </w:p>
        </w:tc>
        <w:tc>
          <w:tcPr>
            <w:tcW w:w="0" w:type="auto"/>
          </w:tcPr>
          <w:p w:rsidR="00830AA6" w:rsidRPr="004E28BB" w:rsidRDefault="00830AA6" w:rsidP="000C32F9">
            <w:pPr>
              <w:keepNext/>
              <w:keepLines/>
              <w:jc w:val="center"/>
              <w:rPr>
                <w:rFonts w:ascii="Times New Roman" w:hAnsi="Times New Roman" w:cs="Times New Roman"/>
                <w:sz w:val="22"/>
                <w:szCs w:val="22"/>
              </w:rPr>
            </w:pPr>
          </w:p>
        </w:tc>
        <w:tc>
          <w:tcPr>
            <w:tcW w:w="0" w:type="auto"/>
          </w:tcPr>
          <w:p w:rsidR="00830AA6" w:rsidRPr="004E28BB" w:rsidRDefault="00830AA6" w:rsidP="000C32F9">
            <w:pPr>
              <w:keepNext/>
              <w:keepLines/>
              <w:jc w:val="center"/>
              <w:rPr>
                <w:rFonts w:ascii="Times New Roman" w:hAnsi="Times New Roman" w:cs="Times New Roman"/>
                <w:sz w:val="22"/>
                <w:szCs w:val="22"/>
              </w:rPr>
            </w:pPr>
          </w:p>
        </w:tc>
        <w:tc>
          <w:tcPr>
            <w:tcW w:w="0" w:type="auto"/>
          </w:tcPr>
          <w:p w:rsidR="00830AA6" w:rsidRPr="004E28BB" w:rsidRDefault="00830AA6" w:rsidP="000C32F9">
            <w:pPr>
              <w:keepNext/>
              <w:keepLines/>
              <w:jc w:val="center"/>
              <w:rPr>
                <w:rFonts w:ascii="Times New Roman" w:hAnsi="Times New Roman" w:cs="Times New Roman"/>
                <w:sz w:val="22"/>
                <w:szCs w:val="22"/>
              </w:rPr>
            </w:pPr>
          </w:p>
        </w:tc>
        <w:tc>
          <w:tcPr>
            <w:tcW w:w="0" w:type="auto"/>
          </w:tcPr>
          <w:p w:rsidR="00830AA6" w:rsidRPr="004E28BB" w:rsidRDefault="00830AA6" w:rsidP="000C32F9">
            <w:pPr>
              <w:keepNext/>
              <w:keepLines/>
              <w:jc w:val="center"/>
              <w:rPr>
                <w:rFonts w:ascii="Times New Roman" w:hAnsi="Times New Roman" w:cs="Times New Roman"/>
                <w:sz w:val="22"/>
                <w:szCs w:val="22"/>
              </w:rPr>
            </w:pPr>
          </w:p>
        </w:tc>
        <w:tc>
          <w:tcPr>
            <w:tcW w:w="0" w:type="auto"/>
          </w:tcPr>
          <w:p w:rsidR="00830AA6" w:rsidRPr="004E28BB" w:rsidRDefault="00830AA6" w:rsidP="000C32F9">
            <w:pPr>
              <w:keepNext/>
              <w:keepLines/>
              <w:jc w:val="center"/>
              <w:rPr>
                <w:rFonts w:ascii="Times New Roman" w:hAnsi="Times New Roman" w:cs="Times New Roman"/>
                <w:sz w:val="22"/>
                <w:szCs w:val="22"/>
              </w:rPr>
            </w:pPr>
          </w:p>
        </w:tc>
      </w:tr>
      <w:tr w:rsidR="00830AA6" w:rsidRPr="004E28BB" w:rsidTr="009E784D">
        <w:trPr>
          <w:trHeight w:val="322"/>
        </w:trPr>
        <w:tc>
          <w:tcPr>
            <w:tcW w:w="0" w:type="auto"/>
          </w:tcPr>
          <w:p w:rsidR="00830AA6" w:rsidRPr="004E28BB" w:rsidRDefault="00830AA6" w:rsidP="00F237CF">
            <w:pPr>
              <w:keepNext/>
              <w:keepLines/>
              <w:rPr>
                <w:rFonts w:ascii="Times New Roman" w:hAnsi="Times New Roman" w:cs="Times New Roman"/>
                <w:sz w:val="22"/>
                <w:szCs w:val="22"/>
              </w:rPr>
            </w:pPr>
            <w:r w:rsidRPr="004E28BB">
              <w:rPr>
                <w:rFonts w:ascii="Times New Roman" w:hAnsi="Times New Roman" w:cs="Times New Roman"/>
                <w:sz w:val="22"/>
                <w:szCs w:val="22"/>
              </w:rPr>
              <w:t>Rivastigmine</w:t>
            </w: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X</w:t>
            </w:r>
          </w:p>
        </w:tc>
        <w:tc>
          <w:tcPr>
            <w:tcW w:w="0" w:type="auto"/>
          </w:tcPr>
          <w:p w:rsidR="00830AA6" w:rsidRPr="004E28BB" w:rsidRDefault="00830AA6" w:rsidP="000C32F9">
            <w:pPr>
              <w:keepNext/>
              <w:keepLines/>
              <w:jc w:val="center"/>
              <w:rPr>
                <w:rFonts w:ascii="Times New Roman" w:hAnsi="Times New Roman" w:cs="Times New Roman"/>
                <w:sz w:val="22"/>
                <w:szCs w:val="22"/>
              </w:rPr>
            </w:pP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X</w:t>
            </w:r>
          </w:p>
        </w:tc>
        <w:tc>
          <w:tcPr>
            <w:tcW w:w="0" w:type="auto"/>
          </w:tcPr>
          <w:p w:rsidR="00830AA6" w:rsidRPr="004E28BB" w:rsidRDefault="00830AA6" w:rsidP="000C32F9">
            <w:pPr>
              <w:keepNext/>
              <w:keepLines/>
              <w:jc w:val="center"/>
              <w:rPr>
                <w:rFonts w:ascii="Times New Roman" w:hAnsi="Times New Roman" w:cs="Times New Roman"/>
                <w:sz w:val="22"/>
                <w:szCs w:val="22"/>
              </w:rPr>
            </w:pPr>
            <w:r w:rsidRPr="004E28BB">
              <w:rPr>
                <w:rFonts w:ascii="Times New Roman" w:hAnsi="Times New Roman" w:cs="Times New Roman"/>
                <w:sz w:val="22"/>
                <w:szCs w:val="22"/>
              </w:rPr>
              <w:t>X</w:t>
            </w:r>
          </w:p>
        </w:tc>
        <w:tc>
          <w:tcPr>
            <w:tcW w:w="0" w:type="auto"/>
          </w:tcPr>
          <w:p w:rsidR="00830AA6" w:rsidRPr="004E28BB" w:rsidRDefault="00830AA6" w:rsidP="000C32F9">
            <w:pPr>
              <w:keepNext/>
              <w:keepLines/>
              <w:jc w:val="center"/>
              <w:rPr>
                <w:rFonts w:ascii="Times New Roman" w:hAnsi="Times New Roman" w:cs="Times New Roman"/>
                <w:sz w:val="22"/>
                <w:szCs w:val="22"/>
              </w:rPr>
            </w:pPr>
          </w:p>
        </w:tc>
        <w:tc>
          <w:tcPr>
            <w:tcW w:w="0" w:type="auto"/>
          </w:tcPr>
          <w:p w:rsidR="00830AA6" w:rsidRPr="004E28BB" w:rsidRDefault="00830AA6" w:rsidP="000C32F9">
            <w:pPr>
              <w:keepNext/>
              <w:keepLines/>
              <w:jc w:val="center"/>
              <w:rPr>
                <w:rFonts w:ascii="Times New Roman" w:hAnsi="Times New Roman" w:cs="Times New Roman"/>
                <w:sz w:val="22"/>
                <w:szCs w:val="22"/>
              </w:rPr>
            </w:pPr>
          </w:p>
        </w:tc>
        <w:tc>
          <w:tcPr>
            <w:tcW w:w="0" w:type="auto"/>
          </w:tcPr>
          <w:p w:rsidR="00830AA6" w:rsidRPr="004E28BB" w:rsidRDefault="00830AA6" w:rsidP="000C32F9">
            <w:pPr>
              <w:keepNext/>
              <w:keepLines/>
              <w:jc w:val="center"/>
              <w:rPr>
                <w:rFonts w:ascii="Times New Roman" w:hAnsi="Times New Roman" w:cs="Times New Roman"/>
                <w:sz w:val="22"/>
                <w:szCs w:val="22"/>
              </w:rPr>
            </w:pPr>
          </w:p>
        </w:tc>
      </w:tr>
    </w:tbl>
    <w:p w:rsidR="00830AA6" w:rsidRPr="004E28BB" w:rsidRDefault="00830AA6" w:rsidP="00F237CF">
      <w:pPr>
        <w:ind w:left="2160"/>
      </w:pPr>
      <w:r w:rsidRPr="004E28BB">
        <w:t>The domain of cognitive function is listed at the top of each column</w:t>
      </w:r>
      <w:r w:rsidR="009E784D">
        <w:t>,</w:t>
      </w:r>
      <w:r w:rsidRPr="004E28BB">
        <w:t xml:space="preserve"> and the medications are listed alphabetically. </w:t>
      </w:r>
    </w:p>
    <w:p w:rsidR="00830AA6" w:rsidRPr="004E28BB" w:rsidRDefault="00830AA6" w:rsidP="00730B6B">
      <w:pPr>
        <w:numPr>
          <w:ilvl w:val="2"/>
          <w:numId w:val="9"/>
        </w:numPr>
      </w:pPr>
      <w:r w:rsidRPr="004E28BB">
        <w:rPr>
          <w:b/>
          <w:u w:val="single"/>
        </w:rPr>
        <w:t>Hypnotics and Sedatives</w:t>
      </w:r>
      <w:r w:rsidRPr="004E28BB">
        <w:t>: Sedative and hypnotic drugs generally decrease activity and induce drowsiness, although some patients may experience agitation with use. Many drugs produce these effects incidental to their usual intended effects, similar to the side effects of many antihistamines and antidepressants. Due to the habit</w:t>
      </w:r>
      <w:r w:rsidR="0022766B">
        <w:t xml:space="preserve"> </w:t>
      </w:r>
      <w:r w:rsidRPr="004E28BB">
        <w:t>forming potential and adverse cognitive side effects of the benzodiazepines and other drugs found in this class, they are not routinely recommended but may be useful temporarily in some</w:t>
      </w:r>
      <w:r w:rsidR="00451ECB" w:rsidRPr="004E28BB">
        <w:t xml:space="preserve"> </w:t>
      </w:r>
      <w:r w:rsidRPr="004E28BB">
        <w:t>patients with sleep disturbances. Benzodiazepines may be indicated to treat alcohol withdrawal in TBI</w:t>
      </w:r>
      <w:r w:rsidR="006A73C6">
        <w:t>,</w:t>
      </w:r>
      <w:r w:rsidRPr="004E28BB">
        <w:t xml:space="preserve"> but their use in the acute post-injury period after TBI is otherwise discouraged. Most insomnia in TBI patients should be managed primarily through environmental and behavioral interventions, including cognitive behavioral therapy, with medications as secondary measures (refer to </w:t>
      </w:r>
      <w:r w:rsidR="00811C8B">
        <w:t>Section</w:t>
      </w:r>
      <w:r w:rsidRPr="004E28BB">
        <w:t xml:space="preserve"> </w:t>
      </w:r>
      <w:hyperlink w:anchor="TBIG9DisturbancesOfSleep" w:history="1">
        <w:r w:rsidRPr="000B3579">
          <w:rPr>
            <w:color w:val="244061"/>
            <w:u w:val="single"/>
          </w:rPr>
          <w:t>G.9. Disturbances of Sleep</w:t>
        </w:r>
      </w:hyperlink>
      <w:r w:rsidRPr="004E28BB">
        <w:t>).</w:t>
      </w:r>
    </w:p>
    <w:p w:rsidR="00830AA6" w:rsidRPr="004E28BB" w:rsidRDefault="00830AA6">
      <w:pPr>
        <w:numPr>
          <w:ilvl w:val="2"/>
          <w:numId w:val="9"/>
        </w:numPr>
      </w:pPr>
      <w:r w:rsidRPr="004E28BB">
        <w:rPr>
          <w:b/>
          <w:u w:val="single"/>
        </w:rPr>
        <w:t>Non</w:t>
      </w:r>
      <w:r w:rsidR="007C706D">
        <w:rPr>
          <w:b/>
          <w:u w:val="single"/>
        </w:rPr>
        <w:t>-</w:t>
      </w:r>
      <w:r w:rsidR="00907206">
        <w:rPr>
          <w:b/>
          <w:u w:val="single"/>
        </w:rPr>
        <w:t>S</w:t>
      </w:r>
      <w:r w:rsidRPr="004E28BB">
        <w:rPr>
          <w:b/>
          <w:u w:val="single"/>
        </w:rPr>
        <w:t>teroidal Anti-Inflammatory Drugs</w:t>
      </w:r>
      <w:r w:rsidRPr="004E28BB">
        <w:t>: Non</w:t>
      </w:r>
      <w:r w:rsidR="004C00BC">
        <w:t>-</w:t>
      </w:r>
      <w:r w:rsidRPr="004E28BB">
        <w:t xml:space="preserve">steroidal </w:t>
      </w:r>
      <w:r w:rsidR="006A73C6">
        <w:t>a</w:t>
      </w:r>
      <w:r w:rsidRPr="004E28BB">
        <w:t>nti-</w:t>
      </w:r>
      <w:r w:rsidR="006A73C6">
        <w:t>i</w:t>
      </w:r>
      <w:r w:rsidRPr="004E28BB">
        <w:t xml:space="preserve">nflammatory </w:t>
      </w:r>
      <w:r w:rsidR="006A73C6">
        <w:t>d</w:t>
      </w:r>
      <w:r w:rsidRPr="004E28BB">
        <w:t>rugs (NSAIDs) are useful for pain and inflammation. In mild cases, they may be the only drugs required for analgesia. There are several classes of NSAIDs</w:t>
      </w:r>
      <w:r w:rsidR="00E91AE2">
        <w:t>,</w:t>
      </w:r>
      <w:r w:rsidRPr="004E28BB">
        <w:t xml:space="preserve"> and the response of the individual injured worker to a specific medication is unpredictable. For this reason</w:t>
      </w:r>
      <w:r w:rsidR="00E91AE2">
        <w:t>,</w:t>
      </w:r>
      <w:r w:rsidRPr="004E28BB">
        <w:t xml:space="preserve"> a range of NSAIDs may be tried in each case with the most effective preparation being continued. Patients should be closely </w:t>
      </w:r>
      <w:r w:rsidRPr="004E28BB">
        <w:lastRenderedPageBreak/>
        <w:t>monitored for adverse reactions. The US Food and Drug Administration advises</w:t>
      </w:r>
      <w:r w:rsidR="00E91AE2">
        <w:t xml:space="preserve"> that</w:t>
      </w:r>
      <w:r w:rsidRPr="004E28BB">
        <w:t xml:space="preserve"> all NSAIDs may cause an increased risk of serious cardiovascular thrombotic events, myocardial infarction, and stroke, which can be fatal. </w:t>
      </w:r>
      <w:r w:rsidR="005D3E6A" w:rsidRPr="004E28BB">
        <w:rPr>
          <w:bCs/>
          <w:iCs/>
        </w:rPr>
        <w:t>There is good evidence that naproxen has less risk for cardiovascular events when compared to other NSAIDs</w:t>
      </w:r>
      <w:r w:rsidR="005D3E6A" w:rsidRPr="004E28BB">
        <w:rPr>
          <w:rStyle w:val="GuideCitesCharChar"/>
        </w:rPr>
        <w:t xml:space="preserve"> (</w:t>
      </w:r>
      <w:hyperlink w:anchor="Trelle2011" w:history="1">
        <w:r w:rsidR="005D3E6A" w:rsidRPr="0018148C">
          <w:rPr>
            <w:rStyle w:val="Hyperlink"/>
            <w:rFonts w:cs="Arial"/>
            <w:highlight w:val="yellow"/>
          </w:rPr>
          <w:t>Trelle</w:t>
        </w:r>
        <w:r w:rsidR="004A6BFF" w:rsidRPr="0018148C">
          <w:rPr>
            <w:rStyle w:val="Hyperlink"/>
            <w:rFonts w:cs="Arial"/>
            <w:highlight w:val="yellow"/>
          </w:rPr>
          <w:t>,</w:t>
        </w:r>
        <w:r w:rsidR="005D3E6A" w:rsidRPr="0018148C">
          <w:rPr>
            <w:rStyle w:val="Hyperlink"/>
            <w:rFonts w:cs="Arial"/>
            <w:highlight w:val="yellow"/>
          </w:rPr>
          <w:t xml:space="preserve"> 2011</w:t>
        </w:r>
      </w:hyperlink>
      <w:r w:rsidR="005D3E6A" w:rsidRPr="004E28BB">
        <w:rPr>
          <w:rStyle w:val="GuideCitesCharChar"/>
        </w:rPr>
        <w:t>)</w:t>
      </w:r>
      <w:r w:rsidRPr="004E28BB">
        <w:t xml:space="preserve">. Administration of proton pump inhibitors, histamine 2 blockers, or prostaglandin analog misoprostol along with these NSAIDs may reduce the risk of duodenal and gastric ulceration but do not impact possible cardiovascular complications. Due to the cross-reactivity between aspirin and NSAIDs, NSAIDs should not be used in aspirin-sensitive patients, and </w:t>
      </w:r>
      <w:r w:rsidR="00E91AE2">
        <w:t xml:space="preserve">they </w:t>
      </w:r>
      <w:r w:rsidRPr="004E28BB">
        <w:t xml:space="preserve">should be used with caution in all asthma patients. NSAIDs are associated with abnormal renal function, including renal failure, as well as abnormal liver function. Certain NSAIDs may have interactions with various other medications. Individuals may have adverse events not listed above. Intervals for metabolic screening are dependent on the patient’s age </w:t>
      </w:r>
      <w:r w:rsidR="003A4754">
        <w:t xml:space="preserve">and </w:t>
      </w:r>
      <w:r w:rsidRPr="004E28BB">
        <w:t>general health status and should be within parameters listed for each specific medication. Complete blood count (CBC), liver</w:t>
      </w:r>
      <w:r w:rsidR="003A4754">
        <w:t xml:space="preserve"> function,</w:t>
      </w:r>
      <w:r w:rsidRPr="004E28BB">
        <w:t xml:space="preserve"> and renal function should be monitored at least every six months in patients on chronic NSAIDs and initially when indicated. </w:t>
      </w:r>
    </w:p>
    <w:p w:rsidR="00830AA6" w:rsidRPr="004E28BB" w:rsidRDefault="00830AA6">
      <w:pPr>
        <w:numPr>
          <w:ilvl w:val="3"/>
          <w:numId w:val="9"/>
        </w:numPr>
      </w:pPr>
      <w:r w:rsidRPr="000B3579">
        <w:rPr>
          <w:u w:val="single"/>
        </w:rPr>
        <w:t>Non-</w:t>
      </w:r>
      <w:r w:rsidR="0023547C" w:rsidRPr="000B3579">
        <w:rPr>
          <w:u w:val="single"/>
        </w:rPr>
        <w:t>S</w:t>
      </w:r>
      <w:r w:rsidRPr="000B3579">
        <w:rPr>
          <w:u w:val="single"/>
        </w:rPr>
        <w:t>elective Non</w:t>
      </w:r>
      <w:r w:rsidR="0053165C">
        <w:rPr>
          <w:u w:val="single"/>
        </w:rPr>
        <w:t>-</w:t>
      </w:r>
      <w:r w:rsidRPr="000B3579">
        <w:rPr>
          <w:u w:val="single"/>
        </w:rPr>
        <w:t>steroidal Anti-Inflammatory Drugs</w:t>
      </w:r>
      <w:r w:rsidR="0023547C">
        <w:t>:</w:t>
      </w:r>
      <w:r w:rsidRPr="004E28BB">
        <w:t xml:space="preserve"> Include NSAIDs and acetylsalicylic acid (aspirin). Serious GI toxicity, such as bleeding, perforation, and ulceration can occur at any time, with or without warning symptoms in patients treated with traditional NSAIDs. Physicians should inform patients about the signs and/or symptoms of serious gastrointestinal toxicity and what steps to take if they occur. Anaphylactoid reactions may occur in patients taking NSAIDs. NSAIDs may interfere with platelet function. Fluid retention and edema have been observed in some patients taking NSAIDs.</w:t>
      </w:r>
    </w:p>
    <w:p w:rsidR="00830AA6" w:rsidRPr="004E28BB" w:rsidRDefault="00830AA6" w:rsidP="00F237CF">
      <w:pPr>
        <w:ind w:left="3600" w:hanging="360"/>
      </w:pPr>
      <w:r w:rsidRPr="004E28BB">
        <w:sym w:font="Wingdings" w:char="F076"/>
      </w:r>
      <w:r w:rsidRPr="004E28BB">
        <w:tab/>
        <w:t xml:space="preserve">Optimal </w:t>
      </w:r>
      <w:r w:rsidR="000B3579">
        <w:t>D</w:t>
      </w:r>
      <w:r w:rsidRPr="004E28BB">
        <w:t>uration: 1 week</w:t>
      </w:r>
      <w:r w:rsidR="000B3579">
        <w:t>.</w:t>
      </w:r>
    </w:p>
    <w:p w:rsidR="00830AA6" w:rsidRPr="004E28BB" w:rsidRDefault="00830AA6" w:rsidP="00F237CF">
      <w:pPr>
        <w:ind w:left="3600" w:hanging="360"/>
      </w:pPr>
      <w:r w:rsidRPr="004E28BB">
        <w:sym w:font="Wingdings" w:char="F076"/>
      </w:r>
      <w:r w:rsidRPr="004E28BB">
        <w:tab/>
        <w:t xml:space="preserve">Maximum </w:t>
      </w:r>
      <w:r w:rsidR="000B3579">
        <w:t>D</w:t>
      </w:r>
      <w:r w:rsidRPr="004E28BB">
        <w:t>uration: 1 year. Use of these substances long-term (3 days per week or greater) is associated with rebound pain upon cessation.</w:t>
      </w:r>
    </w:p>
    <w:p w:rsidR="00830AA6" w:rsidRPr="004E28BB" w:rsidRDefault="00830AA6">
      <w:pPr>
        <w:numPr>
          <w:ilvl w:val="3"/>
          <w:numId w:val="9"/>
        </w:numPr>
      </w:pPr>
      <w:r w:rsidRPr="000B3579">
        <w:rPr>
          <w:u w:val="single"/>
        </w:rPr>
        <w:t>Selective Cyclo-</w:t>
      </w:r>
      <w:r w:rsidR="0023547C" w:rsidRPr="000B3579">
        <w:rPr>
          <w:u w:val="single"/>
        </w:rPr>
        <w:t>O</w:t>
      </w:r>
      <w:r w:rsidRPr="000B3579">
        <w:rPr>
          <w:u w:val="single"/>
        </w:rPr>
        <w:t>xygenase-2 (COX-2) Inhibitors</w:t>
      </w:r>
      <w:r w:rsidR="0023547C">
        <w:t>:</w:t>
      </w:r>
      <w:r w:rsidRPr="004E28BB">
        <w:t xml:space="preserve"> COX-2 inhibitors differ in adverse side effect profiles from the traditional NSAIDs. The major advantages of selective COX-2 inhibitors over traditional NSAIDs are that they have less gastrointestinal toxicity and no platelet effects. COX-2 inhibitors can worsen renal function in patients with renal insufficiency; thus, renal function may need monitoring.</w:t>
      </w:r>
      <w:r w:rsidRPr="004E28BB">
        <w:br/>
      </w:r>
      <w:r w:rsidRPr="004E28BB">
        <w:br/>
        <w:t>COX-2 inhibitors should not be first</w:t>
      </w:r>
      <w:r w:rsidR="0023547C">
        <w:t xml:space="preserve"> </w:t>
      </w:r>
      <w:r w:rsidRPr="004E28BB">
        <w:t>line for low</w:t>
      </w:r>
      <w:r w:rsidR="0023547C">
        <w:t>-</w:t>
      </w:r>
      <w:r w:rsidRPr="004E28BB">
        <w:t xml:space="preserve">risk patients who will be using an NSAID short term but are indicated in select patients for whom traditional NSAIDs are not tolerated. Serious upper GI adverse events can occur even in asymptomatic patients. Patients at high risk for GI bleed include those who use alcohol, smoke, are older than 65, take corticosteroids or anti-coagulants, or have a longer duration of therapy. Celecoxib is contraindicated in sulfonamide allergic patients. </w:t>
      </w:r>
    </w:p>
    <w:p w:rsidR="00830AA6" w:rsidRPr="004E28BB" w:rsidRDefault="00830AA6" w:rsidP="00F237CF">
      <w:pPr>
        <w:ind w:left="3600" w:hanging="360"/>
      </w:pPr>
      <w:r w:rsidRPr="004E28BB">
        <w:sym w:font="Wingdings" w:char="F076"/>
      </w:r>
      <w:r w:rsidRPr="004E28BB">
        <w:tab/>
        <w:t xml:space="preserve">Optimal </w:t>
      </w:r>
      <w:r w:rsidR="000B3579">
        <w:t>D</w:t>
      </w:r>
      <w:r w:rsidRPr="004E28BB">
        <w:t>uration: 7 to 10 days</w:t>
      </w:r>
      <w:r w:rsidR="000B3579">
        <w:t>.</w:t>
      </w:r>
    </w:p>
    <w:p w:rsidR="00830AA6" w:rsidRPr="004E28BB" w:rsidRDefault="00830AA6" w:rsidP="00F237CF">
      <w:pPr>
        <w:ind w:left="3600" w:hanging="360"/>
      </w:pPr>
      <w:r w:rsidRPr="004E28BB">
        <w:sym w:font="Wingdings" w:char="F076"/>
      </w:r>
      <w:r w:rsidRPr="004E28BB">
        <w:tab/>
        <w:t xml:space="preserve">Maximum </w:t>
      </w:r>
      <w:r w:rsidR="000B3579">
        <w:t>D</w:t>
      </w:r>
      <w:r w:rsidRPr="004E28BB">
        <w:t>uration: Chronic use is appropriate in individual cases. Use of these substances long-term (3 days per week or greater) is associated with rebound pain upon cessation.</w:t>
      </w:r>
    </w:p>
    <w:p w:rsidR="00830AA6" w:rsidRPr="004E28BB" w:rsidRDefault="00830AA6">
      <w:pPr>
        <w:numPr>
          <w:ilvl w:val="2"/>
          <w:numId w:val="9"/>
        </w:numPr>
      </w:pPr>
      <w:r w:rsidRPr="004E28BB">
        <w:rPr>
          <w:b/>
          <w:u w:val="single"/>
        </w:rPr>
        <w:lastRenderedPageBreak/>
        <w:t>Skeletal Muscle Relaxants</w:t>
      </w:r>
      <w:r w:rsidRPr="004E28BB">
        <w:t xml:space="preserve">: </w:t>
      </w:r>
      <w:r w:rsidR="0023547C">
        <w:t>M</w:t>
      </w:r>
      <w:r w:rsidRPr="004E28BB">
        <w:t>ost useful for acute musculoskeletal injury or exacerbation of injury. Chronic use of benzodiazepines is discouraged due to their habit-forming potential, negative effects on cognition, and seizure risk following abrupt withdrawal. Carisoprodol should not be used</w:t>
      </w:r>
      <w:r w:rsidR="00202675">
        <w:t xml:space="preserve"> </w:t>
      </w:r>
      <w:r w:rsidR="0023547C">
        <w:t xml:space="preserve">because </w:t>
      </w:r>
      <w:r w:rsidR="000E3FC0">
        <w:t xml:space="preserve">the anxiolytic </w:t>
      </w:r>
      <w:r w:rsidRPr="004E28BB">
        <w:t>meprobamate is a metabolite. (For more detailed descriptions</w:t>
      </w:r>
      <w:r w:rsidR="000B3579">
        <w:t>,</w:t>
      </w:r>
      <w:r w:rsidRPr="004E28BB">
        <w:t xml:space="preserve"> refer to </w:t>
      </w:r>
      <w:r w:rsidR="0069203C">
        <w:t xml:space="preserve">the </w:t>
      </w:r>
      <w:r w:rsidRPr="004E28BB">
        <w:t xml:space="preserve">Chronic Pain </w:t>
      </w:r>
      <w:r w:rsidR="000B3579">
        <w:t>G</w:t>
      </w:r>
      <w:r w:rsidRPr="004E28BB">
        <w:t>uidelines</w:t>
      </w:r>
      <w:r w:rsidR="000B3579">
        <w:t>.</w:t>
      </w:r>
      <w:r w:rsidRPr="004E28BB">
        <w:t>)</w:t>
      </w:r>
      <w:r w:rsidR="000B3579">
        <w:t>.</w:t>
      </w:r>
    </w:p>
    <w:p w:rsidR="00830AA6" w:rsidRPr="004E28BB" w:rsidRDefault="00830AA6">
      <w:pPr>
        <w:numPr>
          <w:ilvl w:val="2"/>
          <w:numId w:val="9"/>
        </w:numPr>
      </w:pPr>
      <w:r w:rsidRPr="004E28BB">
        <w:rPr>
          <w:b/>
          <w:u w:val="single"/>
        </w:rPr>
        <w:t>Opioids</w:t>
      </w:r>
      <w:r w:rsidRPr="004E28BB">
        <w:t xml:space="preserve">: Refer to </w:t>
      </w:r>
      <w:r w:rsidR="0069203C">
        <w:t xml:space="preserve">the </w:t>
      </w:r>
      <w:r w:rsidR="000B3579">
        <w:t>C</w:t>
      </w:r>
      <w:r w:rsidRPr="004E28BB">
        <w:t xml:space="preserve">hronic </w:t>
      </w:r>
      <w:r w:rsidR="000B3579">
        <w:t>P</w:t>
      </w:r>
      <w:r w:rsidRPr="004E28BB">
        <w:t>ain</w:t>
      </w:r>
      <w:r w:rsidR="000B3579">
        <w:t xml:space="preserve"> Guidelines</w:t>
      </w:r>
      <w:r w:rsidRPr="004E28BB">
        <w:t xml:space="preserve"> for appropriate use.</w:t>
      </w:r>
    </w:p>
    <w:p w:rsidR="000408B7" w:rsidRPr="004E28BB" w:rsidRDefault="000408B7" w:rsidP="00D41D04">
      <w:pPr>
        <w:pStyle w:val="ListNumber2"/>
      </w:pPr>
      <w:bookmarkStart w:id="374" w:name="TBIG7Headache"/>
      <w:bookmarkStart w:id="375" w:name="_Toc394643335"/>
      <w:bookmarkEnd w:id="369"/>
      <w:bookmarkEnd w:id="374"/>
      <w:r w:rsidRPr="004E28BB">
        <w:rPr>
          <w:rStyle w:val="Guide2-123Char"/>
        </w:rPr>
        <w:t>HEADACHE</w:t>
      </w:r>
      <w:r w:rsidR="007D7F42" w:rsidRPr="007D7F42">
        <w:rPr>
          <w:rStyle w:val="Guide2-123Char"/>
          <w:u w:val="none"/>
        </w:rPr>
        <w:t>:</w:t>
      </w:r>
      <w:bookmarkEnd w:id="375"/>
      <w:r w:rsidRPr="004E28BB">
        <w:t xml:space="preserve"> </w:t>
      </w:r>
      <w:r w:rsidR="007D7F42">
        <w:t>O</w:t>
      </w:r>
      <w:r w:rsidRPr="004E28BB">
        <w:t>ne of the most common symptoms seen in general medical practices. Following TBI, 50% or more of injured individuals</w:t>
      </w:r>
      <w:r w:rsidR="006054C0" w:rsidRPr="004E28BB">
        <w:t xml:space="preserve"> </w:t>
      </w:r>
      <w:r w:rsidRPr="004E28BB">
        <w:t xml:space="preserve">experience headache. The majority of these are self-limited, but headache persisting for more than three months may occur. Brain damage is unlikely to be responsible for post-traumatic headache, which is seen more commonly after </w:t>
      </w:r>
      <w:r w:rsidR="007D7F42">
        <w:t>M</w:t>
      </w:r>
      <w:r w:rsidRPr="004E28BB">
        <w:t>TBI than after moderate/severe TBI. Rather, involvement of extracranial structures, such as the temporomandibular joint (TMJ), the sinuses, and the muscles attaching to the occiput accounts for most headaches following TBI. (Refer to the Division’s Cervical Spine Guidelines when appropriate</w:t>
      </w:r>
      <w:r w:rsidR="007D7F42">
        <w:t>)</w:t>
      </w:r>
      <w:r w:rsidRPr="004E28BB">
        <w:t>.</w:t>
      </w:r>
      <w:r w:rsidRPr="004E28BB">
        <w:br/>
      </w:r>
      <w:r w:rsidRPr="004E28BB">
        <w:br/>
        <w:t>Headaches may persist longer when associated with other symptoms such as dizziness, memory problems or weakness. Therefore, every effort should be made to identify the cause and treat headaches and other symptoms as early as possible.</w:t>
      </w:r>
      <w:r w:rsidRPr="004E28BB">
        <w:br/>
      </w:r>
      <w:r w:rsidRPr="004E28BB">
        <w:br/>
        <w:t xml:space="preserve">Management of post-traumatic headache should be tailored to the class of non-traumatic (chronic tension, migraine) headache into which it fits. </w:t>
      </w:r>
      <w:r w:rsidR="001A7E56" w:rsidRPr="004E28BB">
        <w:t xml:space="preserve">Migraine patients should be provided with the </w:t>
      </w:r>
      <w:r w:rsidR="00AF63FB" w:rsidRPr="004E28BB">
        <w:t>m</w:t>
      </w:r>
      <w:r w:rsidR="001A7E56" w:rsidRPr="004E28BB">
        <w:t xml:space="preserve">igraine’s diet advisories and restrictions. </w:t>
      </w:r>
      <w:r w:rsidRPr="004E28BB">
        <w:t>Both traumatic and non-traumatic headaches may be made worse by overuse of analgesics and cause chronic daily headache. Treatment should be directed toward understanding the cause with re-establishment of activities and away from rumination on the injury. Education, medication adjustment and interdisciplinary team approaches may be called for.</w:t>
      </w:r>
      <w:r w:rsidR="00AF63FB" w:rsidRPr="004E28BB">
        <w:t xml:space="preserve"> Chronic daily headache should be considered as a diagnosis in patients whose daily headache may be in response to iatrogenic complications of other medications or substances. Patients who are prescribed analgesics, or who use caffeine, alcohol or nicotine chronically, may experience chronic daily headaches as serum levels of these substances fluctuate. These patients may require treatment to carefully titrate these substances. Patients with a blow to the side of the head, with chronic neck/shoulder pain, or with bruxism may develop temporal mandibular joint pain that will result in headache. Patients with sinus involvement, sometimes evidenced on early CT imaging, may develop chronic headache pain that requires treatment of the underlying sinus pathology.</w:t>
      </w:r>
      <w:r w:rsidRPr="004E28BB">
        <w:t xml:space="preserve"> If depression is present, a sedating antidepressant such as amitriptyline may alleviate the insomnia that often complicates headache. See treatment algorithm (next page). Referral to a specialist may be necessary if initial treatment is not effective.</w:t>
      </w:r>
      <w:r w:rsidRPr="004E28BB">
        <w:br/>
      </w:r>
      <w:r w:rsidRPr="004E28BB">
        <w:br/>
        <w:t>Tension type headaches should generally be treated with analgesics initially</w:t>
      </w:r>
      <w:r w:rsidR="00AF63FB" w:rsidRPr="004E28BB">
        <w:t xml:space="preserve"> and/or accompanied by physical therapy modalities for neck and shoulder treatments</w:t>
      </w:r>
      <w:r w:rsidRPr="004E28BB">
        <w:t>. Opi</w:t>
      </w:r>
      <w:r w:rsidR="007A5DB9" w:rsidRPr="004E28BB">
        <w:t>oid treatment should be avoided</w:t>
      </w:r>
      <w:r w:rsidRPr="004E28BB">
        <w:rPr>
          <w:rStyle w:val="GuideCitesCharChar"/>
        </w:rPr>
        <w:t xml:space="preserve"> (</w:t>
      </w:r>
      <w:hyperlink w:anchor="Bendtsen2010" w:history="1">
        <w:r w:rsidRPr="0018148C">
          <w:rPr>
            <w:rStyle w:val="Hyperlink"/>
            <w:rFonts w:cs="Arial"/>
            <w:highlight w:val="yellow"/>
          </w:rPr>
          <w:t>Bendtsen, 2010</w:t>
        </w:r>
      </w:hyperlink>
      <w:r w:rsidRPr="004E28BB">
        <w:rPr>
          <w:rStyle w:val="GuideCitesCharChar"/>
        </w:rPr>
        <w:t>)</w:t>
      </w:r>
      <w:r w:rsidR="007A5DB9" w:rsidRPr="004E28BB">
        <w:t xml:space="preserve">. </w:t>
      </w:r>
      <w:r w:rsidRPr="004E28BB">
        <w:t xml:space="preserve">There is good evidence </w:t>
      </w:r>
      <w:r w:rsidR="007D7F42">
        <w:t xml:space="preserve">that </w:t>
      </w:r>
      <w:r w:rsidRPr="004E28BB">
        <w:t>amitriptyline is beneficia</w:t>
      </w:r>
      <w:r w:rsidR="007A5DB9" w:rsidRPr="004E28BB">
        <w:t>l for chronic tension headaches</w:t>
      </w:r>
      <w:r w:rsidRPr="004E28BB">
        <w:rPr>
          <w:rStyle w:val="GuideCitesCharChar"/>
        </w:rPr>
        <w:t xml:space="preserve"> (</w:t>
      </w:r>
      <w:hyperlink w:anchor="Bendtsen1996" w:history="1">
        <w:r w:rsidRPr="005F21EA">
          <w:rPr>
            <w:rStyle w:val="Hyperlink"/>
            <w:rFonts w:cs="Arial"/>
            <w:highlight w:val="yellow"/>
          </w:rPr>
          <w:t>Bendtsen, 1996</w:t>
        </w:r>
      </w:hyperlink>
      <w:r w:rsidRPr="004E28BB">
        <w:rPr>
          <w:rStyle w:val="GuideCitesCharChar"/>
        </w:rPr>
        <w:t>)</w:t>
      </w:r>
      <w:r w:rsidR="007A5DB9" w:rsidRPr="004E28BB">
        <w:t>.</w:t>
      </w:r>
      <w:r w:rsidR="00AF63FB" w:rsidRPr="004E28BB">
        <w:t xml:space="preserve"> The etiology of</w:t>
      </w:r>
      <w:r w:rsidR="00F64E42">
        <w:t xml:space="preserve"> </w:t>
      </w:r>
      <w:r w:rsidR="00AF63FB" w:rsidRPr="004E28BB">
        <w:t xml:space="preserve">the headache should be carefully determined prior to initiation of any drug regimens. </w:t>
      </w:r>
      <w:r w:rsidRPr="004E28BB">
        <w:br/>
      </w:r>
      <w:r w:rsidRPr="004E28BB">
        <w:br/>
      </w:r>
      <w:r w:rsidRPr="00307A9A">
        <w:t>There is strong evidence that aspirin is better than placebo for acute migraine headaches and good evidence that adding an antiemetic improves the outcome</w:t>
      </w:r>
      <w:r w:rsidR="00C1011E" w:rsidRPr="00F201EA">
        <w:rPr>
          <w:rStyle w:val="GuideCitesCharChar"/>
          <w:highlight w:val="yellow"/>
        </w:rPr>
        <w:t>([</w:t>
      </w:r>
      <w:hyperlink w:anchor="Kirthi2010" w:history="1">
        <w:r w:rsidR="00C1011E" w:rsidRPr="005F21EA">
          <w:rPr>
            <w:rStyle w:val="Hyperlink"/>
            <w:rFonts w:cs="Arial"/>
            <w:highlight w:val="yellow"/>
          </w:rPr>
          <w:t>Cochrane] Kirthi, 2010</w:t>
        </w:r>
      </w:hyperlink>
      <w:r w:rsidR="00C1011E" w:rsidRPr="00307A9A">
        <w:rPr>
          <w:rStyle w:val="GuideCitesCharChar"/>
        </w:rPr>
        <w:t>)</w:t>
      </w:r>
      <w:r w:rsidRPr="00307A9A">
        <w:t xml:space="preserve">. </w:t>
      </w:r>
      <w:r w:rsidR="007D7F42" w:rsidRPr="00307A9A">
        <w:t>There is i</w:t>
      </w:r>
      <w:r w:rsidRPr="00307A9A">
        <w:t xml:space="preserve">nsufficient evidence that sumatriptan is better than aspirin plus </w:t>
      </w:r>
      <w:r w:rsidR="000C32F9" w:rsidRPr="00307A9A">
        <w:t>metoclopramide</w:t>
      </w:r>
      <w:r w:rsidRPr="00307A9A">
        <w:rPr>
          <w:rStyle w:val="GuideCitesCharChar"/>
        </w:rPr>
        <w:t xml:space="preserve"> (</w:t>
      </w:r>
      <w:r w:rsidR="004A6BFF" w:rsidRPr="00307A9A">
        <w:rPr>
          <w:rStyle w:val="GuideCitesCharChar"/>
        </w:rPr>
        <w:t>[</w:t>
      </w:r>
      <w:hyperlink w:anchor="Kirthi2010" w:history="1">
        <w:r w:rsidR="004A6BFF" w:rsidRPr="005F21EA">
          <w:rPr>
            <w:rStyle w:val="Hyperlink"/>
            <w:rFonts w:cs="Arial"/>
            <w:highlight w:val="yellow"/>
          </w:rPr>
          <w:t xml:space="preserve">Cochrane] </w:t>
        </w:r>
        <w:r w:rsidRPr="005F21EA">
          <w:rPr>
            <w:rStyle w:val="Hyperlink"/>
            <w:rFonts w:cs="Arial"/>
            <w:highlight w:val="yellow"/>
          </w:rPr>
          <w:t>Kirthi, 2010</w:t>
        </w:r>
      </w:hyperlink>
      <w:r w:rsidRPr="00307A9A">
        <w:rPr>
          <w:rStyle w:val="GuideCitesCharChar"/>
        </w:rPr>
        <w:t>)</w:t>
      </w:r>
      <w:r w:rsidR="007A5DB9" w:rsidRPr="00307A9A">
        <w:t>.</w:t>
      </w:r>
      <w:r w:rsidRPr="00307A9A">
        <w:t xml:space="preserve"> There is good evidence that acetaminophen </w:t>
      </w:r>
      <w:r w:rsidR="000E3FC0">
        <w:t xml:space="preserve">is effective for acute migraines </w:t>
      </w:r>
      <w:r w:rsidR="00A50EF3" w:rsidRPr="00307A9A">
        <w:t>(</w:t>
      </w:r>
      <w:hyperlink w:anchor="Derry2010" w:history="1">
        <w:r w:rsidR="00A50EF3" w:rsidRPr="005F21EA">
          <w:rPr>
            <w:rStyle w:val="Hyperlink"/>
            <w:rFonts w:cs="Arial"/>
            <w:highlight w:val="yellow"/>
          </w:rPr>
          <w:t>Derry, 2010</w:t>
        </w:r>
      </w:hyperlink>
      <w:r w:rsidR="00A50EF3" w:rsidRPr="00307A9A">
        <w:t>)</w:t>
      </w:r>
      <w:r w:rsidRPr="00307A9A">
        <w:t>and a single dose of 200</w:t>
      </w:r>
      <w:r w:rsidR="001B3B4C" w:rsidRPr="00307A9A">
        <w:t>–</w:t>
      </w:r>
      <w:r w:rsidR="000E3FC0">
        <w:t xml:space="preserve">400 mg of ibuprofen is </w:t>
      </w:r>
      <w:r w:rsidRPr="00307A9A">
        <w:t>effective for acute migraines</w:t>
      </w:r>
      <w:r w:rsidR="00A50EF3" w:rsidRPr="00307A9A">
        <w:t xml:space="preserve"> (</w:t>
      </w:r>
      <w:hyperlink w:anchor="Rabbie2010" w:history="1">
        <w:r w:rsidR="00A50EF3" w:rsidRPr="005F21EA">
          <w:rPr>
            <w:rStyle w:val="Hyperlink"/>
            <w:rFonts w:cs="Arial"/>
            <w:highlight w:val="yellow"/>
          </w:rPr>
          <w:t>Rabbie, 2010</w:t>
        </w:r>
      </w:hyperlink>
      <w:r w:rsidR="00A50EF3" w:rsidRPr="00307A9A">
        <w:t>)</w:t>
      </w:r>
      <w:r w:rsidRPr="00307A9A">
        <w:t>.</w:t>
      </w:r>
      <w:r w:rsidR="006054C0" w:rsidRPr="00307A9A">
        <w:t xml:space="preserve"> </w:t>
      </w:r>
      <w:r w:rsidRPr="00307A9A">
        <w:t>There is also good evidence that acetaminophen</w:t>
      </w:r>
      <w:r w:rsidR="006054C0" w:rsidRPr="00307A9A">
        <w:t xml:space="preserve"> </w:t>
      </w:r>
      <w:r w:rsidRPr="00307A9A">
        <w:t>with an antiemetic is comparable to sumatriptan</w:t>
      </w:r>
      <w:r w:rsidR="00CC5FD7" w:rsidRPr="00307A9A">
        <w:rPr>
          <w:rStyle w:val="GuideCitesCharChar"/>
        </w:rPr>
        <w:t xml:space="preserve"> (</w:t>
      </w:r>
      <w:hyperlink w:anchor="Derry2010" w:history="1">
        <w:r w:rsidR="00CC5FD7" w:rsidRPr="005F21EA">
          <w:rPr>
            <w:rStyle w:val="Hyperlink"/>
            <w:rFonts w:cs="Arial"/>
            <w:highlight w:val="yellow"/>
          </w:rPr>
          <w:t>Derry, 2010</w:t>
        </w:r>
      </w:hyperlink>
      <w:r w:rsidRPr="00307A9A">
        <w:rPr>
          <w:rStyle w:val="GuideCitesCharChar"/>
        </w:rPr>
        <w:t>)</w:t>
      </w:r>
      <w:r w:rsidR="007A5DB9" w:rsidRPr="00307A9A">
        <w:t xml:space="preserve">. </w:t>
      </w:r>
      <w:r w:rsidRPr="00307A9A">
        <w:t>There is strong evidence supporting the use of sumatriptan for migraines</w:t>
      </w:r>
      <w:r w:rsidRPr="00307A9A">
        <w:rPr>
          <w:rStyle w:val="GuideCitesCharChar"/>
        </w:rPr>
        <w:t xml:space="preserve"> </w:t>
      </w:r>
      <w:hyperlink w:anchor="McCrory2003" w:history="1">
        <w:r w:rsidRPr="005F21EA">
          <w:rPr>
            <w:rStyle w:val="Hyperlink"/>
            <w:rFonts w:cs="Arial"/>
          </w:rPr>
          <w:t>(</w:t>
        </w:r>
        <w:r w:rsidRPr="005F21EA">
          <w:rPr>
            <w:rStyle w:val="Hyperlink"/>
            <w:rFonts w:cs="Arial"/>
            <w:highlight w:val="yellow"/>
          </w:rPr>
          <w:t xml:space="preserve">[Cochrane] McCrory, </w:t>
        </w:r>
        <w:r w:rsidRPr="005F21EA">
          <w:rPr>
            <w:rStyle w:val="Hyperlink"/>
            <w:rFonts w:cs="Arial"/>
            <w:highlight w:val="yellow"/>
          </w:rPr>
          <w:lastRenderedPageBreak/>
          <w:t>2003</w:t>
        </w:r>
      </w:hyperlink>
      <w:r w:rsidRPr="00F201EA">
        <w:rPr>
          <w:rStyle w:val="GuideCitesCharChar"/>
          <w:highlight w:val="yellow"/>
        </w:rPr>
        <w:t>)</w:t>
      </w:r>
      <w:r w:rsidR="007A5DB9" w:rsidRPr="00307A9A">
        <w:t xml:space="preserve">. </w:t>
      </w:r>
      <w:r w:rsidRPr="00307A9A">
        <w:t xml:space="preserve">There is insufficient evidence to prefer one triptan over another. There is good evidence that selective serotonin </w:t>
      </w:r>
      <w:r w:rsidR="004C00BC" w:rsidRPr="00307A9A">
        <w:t>re</w:t>
      </w:r>
      <w:r w:rsidRPr="00307A9A">
        <w:t>uptake inhibitors (</w:t>
      </w:r>
      <w:smartTag w:uri="urn:schemas-microsoft-com:office:smarttags" w:element="stockticker">
        <w:r w:rsidRPr="00307A9A">
          <w:t>SSRI</w:t>
        </w:r>
      </w:smartTag>
      <w:r w:rsidRPr="00307A9A">
        <w:t>’s) and preparations with ergotamine and caffeine are not e</w:t>
      </w:r>
      <w:r w:rsidR="007A5DB9" w:rsidRPr="00307A9A">
        <w:t>ffective for migraine headaches</w:t>
      </w:r>
      <w:r w:rsidRPr="00307A9A">
        <w:rPr>
          <w:rStyle w:val="GuideCitesCharChar"/>
        </w:rPr>
        <w:t xml:space="preserve"> </w:t>
      </w:r>
      <w:hyperlink w:anchor="McCrory2003" w:history="1">
        <w:r w:rsidRPr="005F21EA">
          <w:rPr>
            <w:rStyle w:val="Hyperlink"/>
            <w:rFonts w:cs="Arial"/>
          </w:rPr>
          <w:t>([</w:t>
        </w:r>
        <w:r w:rsidRPr="005F21EA">
          <w:rPr>
            <w:rStyle w:val="Hyperlink"/>
            <w:rFonts w:cs="Arial"/>
            <w:highlight w:val="yellow"/>
          </w:rPr>
          <w:t>Cochrane] McCrory, 2003</w:t>
        </w:r>
      </w:hyperlink>
      <w:r w:rsidR="00BE1A9D" w:rsidRPr="00F201EA">
        <w:rPr>
          <w:rStyle w:val="GuideCitesCharChar"/>
          <w:highlight w:val="yellow"/>
        </w:rPr>
        <w:t xml:space="preserve">; </w:t>
      </w:r>
      <w:hyperlink w:anchor="Moja2005" w:history="1">
        <w:r w:rsidR="00BE1A9D" w:rsidRPr="005F21EA">
          <w:rPr>
            <w:rStyle w:val="Hyperlink"/>
            <w:rFonts w:cs="Arial"/>
            <w:highlight w:val="yellow"/>
          </w:rPr>
          <w:t>Moja, 2005</w:t>
        </w:r>
      </w:hyperlink>
      <w:r w:rsidRPr="00F201EA">
        <w:rPr>
          <w:rStyle w:val="GuideCitesCharChar"/>
          <w:highlight w:val="yellow"/>
        </w:rPr>
        <w:t>)</w:t>
      </w:r>
      <w:r w:rsidR="007A5DB9" w:rsidRPr="00F201EA">
        <w:rPr>
          <w:highlight w:val="yellow"/>
        </w:rPr>
        <w:t>.</w:t>
      </w:r>
      <w:r w:rsidR="007A5DB9" w:rsidRPr="00307A9A">
        <w:t xml:space="preserve"> </w:t>
      </w:r>
      <w:r w:rsidRPr="00307A9A">
        <w:t>There is strong evidence that propranolol is superior to placebo</w:t>
      </w:r>
      <w:r w:rsidR="007A5DB9" w:rsidRPr="00307A9A">
        <w:t xml:space="preserve"> for migraine prophylaxis</w:t>
      </w:r>
      <w:r w:rsidRPr="00307A9A">
        <w:rPr>
          <w:rStyle w:val="GuideCitesCharChar"/>
        </w:rPr>
        <w:t xml:space="preserve"> </w:t>
      </w:r>
      <w:r w:rsidRPr="00B34EAE">
        <w:rPr>
          <w:rStyle w:val="GuideCitesCharChar"/>
          <w:highlight w:val="yellow"/>
        </w:rPr>
        <w:t>([</w:t>
      </w:r>
      <w:hyperlink w:anchor="Linde2004" w:history="1">
        <w:r w:rsidRPr="005F21EA">
          <w:rPr>
            <w:rStyle w:val="Hyperlink"/>
            <w:rFonts w:cs="Arial"/>
            <w:highlight w:val="yellow"/>
          </w:rPr>
          <w:t>Cochrane] Linde, 2004</w:t>
        </w:r>
      </w:hyperlink>
      <w:r w:rsidRPr="00307A9A">
        <w:rPr>
          <w:rStyle w:val="GuideCitesCharChar"/>
        </w:rPr>
        <w:t>)</w:t>
      </w:r>
      <w:r w:rsidR="007A5DB9" w:rsidRPr="00307A9A">
        <w:t>.</w:t>
      </w:r>
      <w:r w:rsidRPr="00307A9A">
        <w:t xml:space="preserve"> There is strong evidence that valproate and </w:t>
      </w:r>
      <w:r w:rsidR="00ED7FB1" w:rsidRPr="00307A9A">
        <w:t>t</w:t>
      </w:r>
      <w:r w:rsidRPr="00307A9A">
        <w:t>opiramate are effective in decreasing headache frequency</w:t>
      </w:r>
      <w:r w:rsidRPr="00307A9A">
        <w:rPr>
          <w:rStyle w:val="GuideCitesCharChar"/>
        </w:rPr>
        <w:t xml:space="preserve"> </w:t>
      </w:r>
      <w:hyperlink w:anchor="Chronicle2004" w:history="1">
        <w:r w:rsidRPr="005F21EA">
          <w:rPr>
            <w:rStyle w:val="Hyperlink"/>
            <w:rFonts w:cs="Arial"/>
          </w:rPr>
          <w:t>([</w:t>
        </w:r>
        <w:r w:rsidRPr="005F21EA">
          <w:rPr>
            <w:rStyle w:val="Hyperlink"/>
            <w:rFonts w:cs="Arial"/>
            <w:highlight w:val="yellow"/>
          </w:rPr>
          <w:t>Cochrane] Chronicle, 2004</w:t>
        </w:r>
      </w:hyperlink>
      <w:r w:rsidRPr="00307A9A">
        <w:rPr>
          <w:rStyle w:val="GuideCitesCharChar"/>
        </w:rPr>
        <w:t>)</w:t>
      </w:r>
      <w:r w:rsidR="007A5DB9" w:rsidRPr="00307A9A">
        <w:t>.</w:t>
      </w:r>
      <w:r w:rsidRPr="00307A9A">
        <w:t xml:space="preserve"> Prescribers should take into account the significant side effects and contraindications associated with these medications. There is good evidence that Petasites hybridus root (butterbur) is effective for episodic migraine headaches (2</w:t>
      </w:r>
      <w:r w:rsidR="007D7F42" w:rsidRPr="00307A9A">
        <w:t>–</w:t>
      </w:r>
      <w:r w:rsidRPr="00307A9A">
        <w:t>6 per month)</w:t>
      </w:r>
      <w:r w:rsidRPr="00307A9A">
        <w:rPr>
          <w:rStyle w:val="GuideCitesCharChar"/>
        </w:rPr>
        <w:t xml:space="preserve"> (</w:t>
      </w:r>
      <w:hyperlink w:anchor="Lipton2004" w:history="1">
        <w:r w:rsidRPr="005F21EA">
          <w:rPr>
            <w:rStyle w:val="Hyperlink"/>
            <w:rFonts w:cs="Arial"/>
            <w:highlight w:val="yellow"/>
          </w:rPr>
          <w:t>Lipton, 2004</w:t>
        </w:r>
      </w:hyperlink>
      <w:r w:rsidRPr="00B34EAE">
        <w:rPr>
          <w:rStyle w:val="GuideCitesCharChar"/>
          <w:highlight w:val="yellow"/>
        </w:rPr>
        <w:t xml:space="preserve">; </w:t>
      </w:r>
      <w:hyperlink w:anchor="Grossman2001" w:history="1">
        <w:r w:rsidRPr="005F21EA">
          <w:rPr>
            <w:rStyle w:val="Hyperlink"/>
            <w:rFonts w:cs="Arial"/>
            <w:highlight w:val="yellow"/>
          </w:rPr>
          <w:t>Grossmann, 2001</w:t>
        </w:r>
      </w:hyperlink>
      <w:r w:rsidRPr="00307A9A">
        <w:rPr>
          <w:rStyle w:val="GuideCitesCharChar"/>
        </w:rPr>
        <w:t>)</w:t>
      </w:r>
      <w:r w:rsidR="007A5DB9" w:rsidRPr="00307A9A">
        <w:t>.</w:t>
      </w:r>
      <w:r w:rsidRPr="00307A9A">
        <w:t xml:space="preserve"> It has some hepatic toxicity and should only be purchased from reputable laboratories. It is not a prescription drug and can be purchased over the counter. The following table of recommendations takes into account the </w:t>
      </w:r>
      <w:smartTag w:uri="urn:schemas-microsoft-com:office:smarttags" w:element="PlaceName">
        <w:r w:rsidRPr="00307A9A">
          <w:t>American</w:t>
        </w:r>
      </w:smartTag>
      <w:r w:rsidRPr="00307A9A">
        <w:t xml:space="preserve"> </w:t>
      </w:r>
      <w:smartTag w:uri="urn:schemas-microsoft-com:office:smarttags" w:element="PlaceType">
        <w:r w:rsidRPr="00307A9A">
          <w:t>Academy</w:t>
        </w:r>
      </w:smartTag>
      <w:r w:rsidRPr="00307A9A">
        <w:t xml:space="preserve"> of Neurology and American Headache Society’s latest guideline </w:t>
      </w:r>
      <w:r w:rsidR="00D4549A" w:rsidRPr="00307A9A">
        <w:t>recommendations</w:t>
      </w:r>
      <w:r w:rsidR="006054C0" w:rsidRPr="00307A9A">
        <w:rPr>
          <w:rStyle w:val="GuideCitesCharChar"/>
        </w:rPr>
        <w:t xml:space="preserve"> </w:t>
      </w:r>
      <w:r w:rsidRPr="00307A9A">
        <w:rPr>
          <w:rStyle w:val="GuideCitesCharChar"/>
        </w:rPr>
        <w:t>(</w:t>
      </w:r>
      <w:hyperlink w:anchor="Silberstein2012" w:history="1">
        <w:r w:rsidRPr="005F21EA">
          <w:rPr>
            <w:rStyle w:val="Hyperlink"/>
            <w:rFonts w:cs="Arial"/>
            <w:highlight w:val="yellow"/>
          </w:rPr>
          <w:t>Silberstein</w:t>
        </w:r>
        <w:r w:rsidR="00613164" w:rsidRPr="005F21EA">
          <w:rPr>
            <w:rStyle w:val="Hyperlink"/>
            <w:rFonts w:cs="Arial"/>
            <w:highlight w:val="yellow"/>
          </w:rPr>
          <w:t>,</w:t>
        </w:r>
        <w:r w:rsidRPr="005F21EA">
          <w:rPr>
            <w:rStyle w:val="Hyperlink"/>
            <w:rFonts w:cs="Arial"/>
            <w:highlight w:val="yellow"/>
          </w:rPr>
          <w:t xml:space="preserve"> 2012</w:t>
        </w:r>
      </w:hyperlink>
      <w:r w:rsidR="00613164" w:rsidRPr="00B34EAE">
        <w:rPr>
          <w:rStyle w:val="GuideCitesCharChar"/>
          <w:highlight w:val="yellow"/>
        </w:rPr>
        <w:t>;</w:t>
      </w:r>
      <w:r w:rsidRPr="00B34EAE">
        <w:rPr>
          <w:rStyle w:val="GuideCitesCharChar"/>
          <w:highlight w:val="yellow"/>
        </w:rPr>
        <w:t xml:space="preserve"> </w:t>
      </w:r>
      <w:hyperlink w:anchor="Holland2012" w:history="1">
        <w:r w:rsidRPr="005F21EA">
          <w:rPr>
            <w:rStyle w:val="Hyperlink"/>
            <w:rFonts w:cs="Arial"/>
            <w:highlight w:val="yellow"/>
          </w:rPr>
          <w:t>Holland</w:t>
        </w:r>
        <w:r w:rsidR="00613164" w:rsidRPr="005F21EA">
          <w:rPr>
            <w:rStyle w:val="Hyperlink"/>
            <w:rFonts w:cs="Arial"/>
            <w:highlight w:val="yellow"/>
          </w:rPr>
          <w:t>,</w:t>
        </w:r>
        <w:r w:rsidRPr="005F21EA">
          <w:rPr>
            <w:rStyle w:val="Hyperlink"/>
            <w:rFonts w:cs="Arial"/>
            <w:highlight w:val="yellow"/>
          </w:rPr>
          <w:t xml:space="preserve"> 2012</w:t>
        </w:r>
      </w:hyperlink>
      <w:r w:rsidRPr="00307A9A">
        <w:rPr>
          <w:rStyle w:val="GuideCitesCharChar"/>
        </w:rPr>
        <w:t>)</w:t>
      </w:r>
      <w:r w:rsidR="007A5DB9" w:rsidRPr="00307A9A">
        <w:t>.</w:t>
      </w:r>
      <w:r w:rsidRPr="004E28BB">
        <w:br/>
      </w:r>
      <w:r w:rsidR="007A5DB9" w:rsidRPr="004E28BB">
        <w:br/>
      </w:r>
      <w:r w:rsidRPr="004E28BB">
        <w:t xml:space="preserve">Widely accepted treatments for post-traumatic headache may include, but are not limited to: interdisciplinary treatment, pharmacology, joint manipulation, physical therapy, massage, acupuncture, biofeedback, psychotherapy </w:t>
      </w:r>
      <w:r w:rsidR="007D7F42">
        <w:t xml:space="preserve">(i.e., </w:t>
      </w:r>
      <w:r w:rsidRPr="004E28BB">
        <w:t>cognitive behavioral therapy</w:t>
      </w:r>
      <w:r w:rsidR="007D7F42">
        <w:t>),</w:t>
      </w:r>
      <w:r w:rsidRPr="004E28BB">
        <w:t xml:space="preserve"> and diet.</w:t>
      </w:r>
      <w:r w:rsidR="006054C0" w:rsidRPr="004E28BB">
        <w:t xml:space="preserve"> </w:t>
      </w:r>
      <w:r w:rsidR="007D7F42">
        <w:t>There is s</w:t>
      </w:r>
      <w:r w:rsidRPr="004E28BB">
        <w:t>ome evidence that spinal manipulation is effective for treatment of cervicogenic headaches</w:t>
      </w:r>
      <w:r w:rsidR="002E3BF8">
        <w:t xml:space="preserve"> </w:t>
      </w:r>
      <w:r w:rsidR="002E3BF8" w:rsidRPr="00B34EAE">
        <w:rPr>
          <w:rStyle w:val="GuideCitesCharChar"/>
          <w:highlight w:val="yellow"/>
        </w:rPr>
        <w:t>([</w:t>
      </w:r>
      <w:hyperlink w:anchor="Bronfort2004" w:history="1">
        <w:r w:rsidR="002E3BF8" w:rsidRPr="00BA0447">
          <w:rPr>
            <w:rStyle w:val="Hyperlink"/>
            <w:rFonts w:cs="Arial"/>
            <w:highlight w:val="yellow"/>
          </w:rPr>
          <w:t>Cochrane] Bronfort, 2004</w:t>
        </w:r>
      </w:hyperlink>
      <w:r w:rsidR="002E3BF8" w:rsidRPr="004E28BB">
        <w:rPr>
          <w:rStyle w:val="GuideCitesCharChar"/>
        </w:rPr>
        <w:t>)</w:t>
      </w:r>
      <w:r w:rsidR="002E3BF8" w:rsidRPr="004E28BB">
        <w:t xml:space="preserve">. </w:t>
      </w:r>
      <w:r w:rsidRPr="004E28BB">
        <w:t xml:space="preserve"> There is some evidence that exercise is equally efficacious as manipulation and can be used in combination with manipulation</w:t>
      </w:r>
      <w:r w:rsidR="002E3BF8" w:rsidRPr="004E28BB">
        <w:rPr>
          <w:rStyle w:val="GuideCitesCharChar"/>
        </w:rPr>
        <w:t>([</w:t>
      </w:r>
      <w:hyperlink w:anchor="Bronfort2004" w:history="1">
        <w:r w:rsidR="002E3BF8" w:rsidRPr="00BA0447">
          <w:rPr>
            <w:rStyle w:val="Hyperlink"/>
            <w:rFonts w:cs="Arial"/>
            <w:highlight w:val="yellow"/>
          </w:rPr>
          <w:t>Cochrane] Bronfort, 2004</w:t>
        </w:r>
      </w:hyperlink>
      <w:r w:rsidR="002E3BF8" w:rsidRPr="004E28BB">
        <w:rPr>
          <w:rStyle w:val="GuideCitesCharChar"/>
        </w:rPr>
        <w:t>)</w:t>
      </w:r>
      <w:r w:rsidR="002E3BF8" w:rsidRPr="004E28BB">
        <w:t>.</w:t>
      </w:r>
      <w:r w:rsidR="006054C0" w:rsidRPr="004E28BB">
        <w:t xml:space="preserve"> </w:t>
      </w:r>
      <w:r w:rsidRPr="004E28BB">
        <w:t>The usual course of treatment was 3</w:t>
      </w:r>
      <w:r w:rsidR="007D7F42">
        <w:t>–</w:t>
      </w:r>
      <w:r w:rsidRPr="004E28BB">
        <w:t>6 weeks and effects were still found at one year</w:t>
      </w:r>
      <w:r w:rsidRPr="004E28BB">
        <w:rPr>
          <w:rStyle w:val="GuideCitesCharChar"/>
        </w:rPr>
        <w:t xml:space="preserve"> ([</w:t>
      </w:r>
      <w:hyperlink w:anchor="Bronfort2004" w:history="1">
        <w:r w:rsidRPr="00BA0447">
          <w:rPr>
            <w:rStyle w:val="Hyperlink"/>
            <w:rFonts w:cs="Arial"/>
            <w:highlight w:val="yellow"/>
          </w:rPr>
          <w:t>Cochrane] Bronfort, 2004</w:t>
        </w:r>
      </w:hyperlink>
      <w:r w:rsidRPr="004E28BB">
        <w:rPr>
          <w:rStyle w:val="GuideCitesCharChar"/>
        </w:rPr>
        <w:t>)</w:t>
      </w:r>
      <w:r w:rsidR="007A5DB9" w:rsidRPr="004E28BB">
        <w:t xml:space="preserve">. </w:t>
      </w:r>
      <w:r w:rsidR="00ED7FB1" w:rsidRPr="004E28BB">
        <w:t xml:space="preserve">Refer to </w:t>
      </w:r>
      <w:r w:rsidR="0069203C">
        <w:t xml:space="preserve">the </w:t>
      </w:r>
      <w:r w:rsidR="00ED7FB1" w:rsidRPr="004E28BB">
        <w:t>Cervical Spine Guideline</w:t>
      </w:r>
      <w:r w:rsidR="0069203C">
        <w:t>s</w:t>
      </w:r>
      <w:r w:rsidR="00ED7FB1" w:rsidRPr="004E28BB">
        <w:t xml:space="preserve"> for parameters.</w:t>
      </w:r>
      <w:r w:rsidR="00ED7FB1" w:rsidRPr="004E28BB">
        <w:br/>
      </w:r>
      <w:r w:rsidR="00ED7FB1" w:rsidRPr="004E28BB">
        <w:br/>
      </w:r>
      <w:r w:rsidRPr="004E28BB">
        <w:t>There is strong evidence that acupuncture and sham acupuncture are prophylactic for migraines</w:t>
      </w:r>
      <w:r w:rsidR="002E3BF8" w:rsidRPr="004E28BB">
        <w:rPr>
          <w:rStyle w:val="GuideCitesCharChar"/>
        </w:rPr>
        <w:t>(</w:t>
      </w:r>
      <w:r w:rsidR="002E3BF8" w:rsidRPr="00B34EAE">
        <w:rPr>
          <w:rStyle w:val="GuideCitesCharChar"/>
          <w:highlight w:val="yellow"/>
        </w:rPr>
        <w:t>[</w:t>
      </w:r>
      <w:hyperlink w:anchor="Linde2009" w:history="1">
        <w:r w:rsidR="002E3BF8" w:rsidRPr="00BA0447">
          <w:rPr>
            <w:rStyle w:val="Hyperlink"/>
            <w:rFonts w:cs="Arial"/>
            <w:highlight w:val="yellow"/>
          </w:rPr>
          <w:t>Cochrane] Linde, 2009</w:t>
        </w:r>
      </w:hyperlink>
      <w:r w:rsidR="002E3BF8" w:rsidRPr="004E28BB">
        <w:rPr>
          <w:rStyle w:val="GuideCitesCharChar"/>
        </w:rPr>
        <w:t>)</w:t>
      </w:r>
      <w:r w:rsidRPr="004E28BB">
        <w:t>. There is good evidence that acupuncture has similar results as medication prophylaxis</w:t>
      </w:r>
      <w:r w:rsidR="002E3BF8" w:rsidRPr="004E28BB">
        <w:rPr>
          <w:rStyle w:val="GuideCitesCharChar"/>
        </w:rPr>
        <w:t>([</w:t>
      </w:r>
      <w:hyperlink w:anchor="Linde2009" w:history="1">
        <w:r w:rsidR="002E3BF8" w:rsidRPr="00BA0447">
          <w:rPr>
            <w:rStyle w:val="Hyperlink"/>
            <w:rFonts w:cs="Arial"/>
            <w:highlight w:val="yellow"/>
          </w:rPr>
          <w:t>Cochrane] Linde, 2009</w:t>
        </w:r>
      </w:hyperlink>
      <w:r w:rsidR="002E3BF8" w:rsidRPr="004E28BB">
        <w:rPr>
          <w:rStyle w:val="GuideCitesCharChar"/>
        </w:rPr>
        <w:t>)</w:t>
      </w:r>
      <w:r w:rsidRPr="004E28BB">
        <w:t>. There is some evidence that sham acupuncture is better than no tre</w:t>
      </w:r>
      <w:r w:rsidR="007A5DB9" w:rsidRPr="004E28BB">
        <w:t>atment for migraine prophylaxis</w:t>
      </w:r>
      <w:r w:rsidRPr="004E28BB">
        <w:rPr>
          <w:rStyle w:val="GuideCitesCharChar"/>
        </w:rPr>
        <w:t xml:space="preserve"> </w:t>
      </w:r>
      <w:hyperlink w:anchor="Linde2009" w:history="1">
        <w:r w:rsidRPr="00BA0447">
          <w:rPr>
            <w:rStyle w:val="Hyperlink"/>
            <w:rFonts w:cs="Arial"/>
          </w:rPr>
          <w:t>([</w:t>
        </w:r>
        <w:r w:rsidRPr="00BA0447">
          <w:rPr>
            <w:rStyle w:val="Hyperlink"/>
            <w:rFonts w:cs="Arial"/>
            <w:highlight w:val="yellow"/>
          </w:rPr>
          <w:t>Cochrane] Linde, 2009</w:t>
        </w:r>
      </w:hyperlink>
      <w:r w:rsidRPr="004E28BB">
        <w:rPr>
          <w:rStyle w:val="GuideCitesCharChar"/>
        </w:rPr>
        <w:t>)</w:t>
      </w:r>
      <w:r w:rsidR="007A5DB9" w:rsidRPr="004E28BB">
        <w:t xml:space="preserve">. </w:t>
      </w:r>
      <w:r w:rsidRPr="004E28BB">
        <w:t xml:space="preserve">These procedures should only be continued if functional gains are documented. </w:t>
      </w:r>
      <w:r w:rsidRPr="004E28BB">
        <w:br/>
      </w:r>
      <w:r w:rsidRPr="004E28BB">
        <w:br/>
        <w:t>Psychological evaluation is a generally accepted intervention to identify factors for delayed recovery associated with pain and the potential need for cognitive assessment. Refer to the Chronic Pain Guidelines for specific time frames. Special procedures may be useful for specific or intractable head pain syndromes including nerve blocks for neuralgia, trigger point injections for myofascial pain syndromes (</w:t>
      </w:r>
      <w:r w:rsidR="00756447">
        <w:t>r</w:t>
      </w:r>
      <w:r w:rsidRPr="004E28BB">
        <w:t xml:space="preserve">efer to </w:t>
      </w:r>
      <w:r w:rsidR="000B3579">
        <w:t xml:space="preserve">Section </w:t>
      </w:r>
      <w:hyperlink w:anchor="TBII6MuscleToneJointRestrictionMngt" w:history="1">
        <w:r w:rsidR="008B5C98" w:rsidRPr="004E28BB">
          <w:rPr>
            <w:rStyle w:val="Hyperlink"/>
          </w:rPr>
          <w:t>I</w:t>
        </w:r>
        <w:r w:rsidR="008D11CB" w:rsidRPr="004E28BB">
          <w:rPr>
            <w:rStyle w:val="Hyperlink"/>
          </w:rPr>
          <w:t>.8</w:t>
        </w:r>
        <w:r w:rsidRPr="004E28BB">
          <w:rPr>
            <w:rStyle w:val="Hyperlink"/>
          </w:rPr>
          <w:t xml:space="preserve"> Muscle Tone and Joint Restriction Management</w:t>
        </w:r>
        <w:r w:rsidR="008B5C98" w:rsidRPr="004E28BB">
          <w:rPr>
            <w:rStyle w:val="Hyperlink"/>
            <w:rFonts w:cs="Arial"/>
          </w:rPr>
          <w:t xml:space="preserve"> Including Spasticity</w:t>
        </w:r>
      </w:hyperlink>
      <w:r w:rsidRPr="004E28BB">
        <w:t>)</w:t>
      </w:r>
      <w:r w:rsidR="007D7F42">
        <w:t>,</w:t>
      </w:r>
      <w:r w:rsidRPr="004E28BB">
        <w:t xml:space="preserve"> and </w:t>
      </w:r>
      <w:r w:rsidR="007D7F42">
        <w:t xml:space="preserve">the </w:t>
      </w:r>
      <w:r w:rsidRPr="004E28BB">
        <w:t>use of dental splinting for temporomandibular joint syndrome.</w:t>
      </w:r>
      <w:r w:rsidRPr="004E28BB">
        <w:br/>
      </w:r>
      <w:r w:rsidRPr="004E28BB">
        <w:br/>
        <w:t xml:space="preserve">Inpatient admission is sometimes required when intravenous medications (e.g., </w:t>
      </w:r>
      <w:r w:rsidR="00A52184" w:rsidRPr="004E28BB">
        <w:t>d</w:t>
      </w:r>
      <w:r w:rsidRPr="004E28BB">
        <w:t>ihydroergotamine) and close monitoring are necessary to control migraine or analgesia rebound, especially in individuals with severe depression, suicidal ideation</w:t>
      </w:r>
      <w:r w:rsidR="007D7F42">
        <w:t>,</w:t>
      </w:r>
      <w:r w:rsidRPr="004E28BB">
        <w:t xml:space="preserve"> or complicated medical problems. When greater than two disciplines are necessary, when there is significant dysfunction secondary to headache, when the individual has not returned to work for greater than three months or when treatment is geographically inaccessible, an individualized interdisciplinary outpatient treatment program may be appropriate.</w:t>
      </w:r>
      <w:r w:rsidRPr="004E28BB">
        <w:br/>
      </w:r>
      <w:r w:rsidRPr="004E28BB">
        <w:br/>
        <w:t>Long-term maintenance plans are necessary in chronic headache management. Medications may be necessary for an indefinite period</w:t>
      </w:r>
      <w:r w:rsidR="007D7F42">
        <w:t>;</w:t>
      </w:r>
      <w:r w:rsidRPr="004E28BB">
        <w:t xml:space="preserve"> however</w:t>
      </w:r>
      <w:r w:rsidR="007D7F42">
        <w:t>,</w:t>
      </w:r>
      <w:r w:rsidRPr="004E28BB">
        <w:t xml:space="preserve"> a distin</w:t>
      </w:r>
      <w:r w:rsidR="007D7F42">
        <w:t>ction</w:t>
      </w:r>
      <w:r w:rsidRPr="004E28BB">
        <w:t xml:space="preserve"> should be made between headache conditions that were pre-existing and those caused by the </w:t>
      </w:r>
      <w:r w:rsidR="0056633D">
        <w:t>TBI</w:t>
      </w:r>
      <w:r w:rsidRPr="004E28BB">
        <w:t>. In MTBI</w:t>
      </w:r>
      <w:r w:rsidR="007D7F42">
        <w:t>,</w:t>
      </w:r>
      <w:r w:rsidRPr="004E28BB">
        <w:t xml:space="preserve"> most cases will not result in debilitating frequent headaches. If the patient is suffering from debilitating headaches</w:t>
      </w:r>
      <w:r w:rsidR="007D7F42">
        <w:t>,</w:t>
      </w:r>
      <w:r w:rsidRPr="004E28BB">
        <w:t xml:space="preserve"> a full review of the diagnosis, triggering events</w:t>
      </w:r>
      <w:r w:rsidR="007D7F42">
        <w:t>,</w:t>
      </w:r>
      <w:r w:rsidRPr="004E28BB">
        <w:t xml:space="preserve"> and psychosocial issues should take place. All headache treatment modalities should be independent and functional. Even if headaches are permanent, it is expected that the individual will be functional and able to return to work.</w:t>
      </w:r>
    </w:p>
    <w:p w:rsidR="000408B7" w:rsidRPr="004E28BB" w:rsidRDefault="000408B7" w:rsidP="00D41D04">
      <w:pPr>
        <w:pStyle w:val="ListNumber3"/>
      </w:pPr>
      <w:r w:rsidRPr="004E28BB">
        <w:br w:type="page"/>
      </w:r>
      <w:bookmarkStart w:id="376" w:name="_Toc319922571"/>
      <w:bookmarkStart w:id="377" w:name="_Toc394643336"/>
      <w:r w:rsidRPr="004E28BB">
        <w:rPr>
          <w:rStyle w:val="Guide3-abcdChar"/>
        </w:rPr>
        <w:lastRenderedPageBreak/>
        <w:t>Headache Treatment Algorithm</w:t>
      </w:r>
      <w:bookmarkEnd w:id="376"/>
      <w:bookmarkEnd w:id="377"/>
      <w:r w:rsidRPr="004E28BB">
        <w:t>:</w:t>
      </w:r>
      <w:r w:rsidRPr="004E28BB">
        <w:tab/>
      </w:r>
    </w:p>
    <w:p w:rsidR="000408B7" w:rsidRPr="004E28BB" w:rsidRDefault="000408B7" w:rsidP="00D41D04">
      <w:pPr>
        <w:spacing w:before="120"/>
        <w:jc w:val="center"/>
      </w:pPr>
      <w:r w:rsidRPr="004E28BB">
        <w:t xml:space="preserve">Initial </w:t>
      </w:r>
      <w:r w:rsidR="007D7F42">
        <w:t>E</w:t>
      </w:r>
      <w:r w:rsidRPr="004E28BB">
        <w:t>valuation</w:t>
      </w:r>
    </w:p>
    <w:p w:rsidR="000408B7" w:rsidRPr="004E28BB" w:rsidRDefault="000408B7" w:rsidP="00D41D04">
      <w:pPr>
        <w:spacing w:before="0"/>
        <w:jc w:val="center"/>
      </w:pPr>
      <w:r w:rsidRPr="004E28BB">
        <w:t>HEADACHES INTERFERING WITH FUNCTION</w:t>
      </w:r>
    </w:p>
    <w:p w:rsidR="000408B7" w:rsidRPr="004E28BB" w:rsidRDefault="000408B7" w:rsidP="00D41D04">
      <w:pPr>
        <w:spacing w:before="0"/>
        <w:jc w:val="center"/>
        <w:rPr>
          <w:b/>
        </w:rPr>
      </w:pPr>
      <w:r w:rsidRPr="004E28BB">
        <w:rPr>
          <w:b/>
        </w:rPr>
        <w:t>↓</w:t>
      </w:r>
    </w:p>
    <w:p w:rsidR="000408B7" w:rsidRPr="004E28BB" w:rsidRDefault="000408B7" w:rsidP="00D41D04">
      <w:pPr>
        <w:spacing w:before="0"/>
        <w:jc w:val="center"/>
      </w:pPr>
      <w:r w:rsidRPr="004E28BB">
        <w:t>History and Physical Evaluation</w:t>
      </w:r>
    </w:p>
    <w:p w:rsidR="000408B7" w:rsidRPr="004E28BB" w:rsidRDefault="000408B7" w:rsidP="00D41D04">
      <w:pPr>
        <w:spacing w:before="120"/>
        <w:jc w:val="center"/>
      </w:pPr>
      <w:r w:rsidRPr="004E28BB">
        <w:t>Establish Diagnosis</w:t>
      </w:r>
    </w:p>
    <w:p w:rsidR="000408B7" w:rsidRPr="004E28BB" w:rsidRDefault="000408B7" w:rsidP="00D41D04">
      <w:pPr>
        <w:spacing w:before="120"/>
        <w:jc w:val="center"/>
      </w:pPr>
      <w:r w:rsidRPr="004E28BB">
        <w:t>Lab Studies</w:t>
      </w:r>
    </w:p>
    <w:p w:rsidR="000408B7" w:rsidRPr="004E28BB" w:rsidRDefault="000408B7" w:rsidP="00D41D04">
      <w:pPr>
        <w:spacing w:before="0"/>
        <w:jc w:val="center"/>
      </w:pPr>
      <w:r w:rsidRPr="004E28BB">
        <w:t>Possible Brain Imaging</w:t>
      </w:r>
    </w:p>
    <w:p w:rsidR="000408B7" w:rsidRPr="004E28BB" w:rsidRDefault="000408B7" w:rsidP="00D41D04">
      <w:pPr>
        <w:spacing w:before="0"/>
        <w:jc w:val="center"/>
        <w:rPr>
          <w:b/>
        </w:rPr>
      </w:pPr>
      <w:r w:rsidRPr="004E28BB">
        <w:rPr>
          <w:b/>
        </w:rPr>
        <w:t>↓</w:t>
      </w:r>
    </w:p>
    <w:p w:rsidR="000408B7" w:rsidRPr="004E28BB" w:rsidRDefault="000408B7" w:rsidP="00D41D04">
      <w:pPr>
        <w:spacing w:before="0"/>
        <w:jc w:val="center"/>
      </w:pPr>
      <w:r w:rsidRPr="004E28BB">
        <w:t>Initiate Treatment</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4"/>
        <w:gridCol w:w="3324"/>
        <w:gridCol w:w="3420"/>
      </w:tblGrid>
      <w:tr w:rsidR="0053645B" w:rsidRPr="004E28BB" w:rsidTr="00F37AF4">
        <w:trPr>
          <w:jc w:val="center"/>
        </w:trPr>
        <w:tc>
          <w:tcPr>
            <w:tcW w:w="3624" w:type="dxa"/>
            <w:vMerge w:val="restart"/>
          </w:tcPr>
          <w:p w:rsidR="0053645B" w:rsidRPr="004E28BB" w:rsidRDefault="0053645B" w:rsidP="00D41D04">
            <w:pPr>
              <w:pStyle w:val="upar1"/>
              <w:tabs>
                <w:tab w:val="center" w:pos="4500"/>
                <w:tab w:val="left" w:pos="6840"/>
              </w:tabs>
              <w:spacing w:before="120" w:after="120"/>
              <w:rPr>
                <w:b/>
              </w:rPr>
            </w:pPr>
            <w:r w:rsidRPr="004E28BB">
              <w:rPr>
                <w:b/>
              </w:rPr>
              <w:t xml:space="preserve">Pharmacological - Preventives </w:t>
            </w:r>
          </w:p>
          <w:p w:rsidR="0053645B" w:rsidRPr="004E28BB" w:rsidRDefault="0053645B" w:rsidP="00D41D04">
            <w:pPr>
              <w:pStyle w:val="upar1"/>
              <w:tabs>
                <w:tab w:val="center" w:pos="4500"/>
                <w:tab w:val="left" w:pos="6840"/>
              </w:tabs>
              <w:spacing w:before="120"/>
              <w:rPr>
                <w:b/>
              </w:rPr>
            </w:pPr>
            <w:r w:rsidRPr="004E28BB">
              <w:t>To be used if 2+ headaches/week, or increased headache severity or duration</w:t>
            </w:r>
          </w:p>
        </w:tc>
        <w:tc>
          <w:tcPr>
            <w:tcW w:w="3324" w:type="dxa"/>
            <w:vMerge w:val="restart"/>
          </w:tcPr>
          <w:p w:rsidR="0053645B" w:rsidRPr="004E28BB" w:rsidRDefault="0053645B" w:rsidP="00D41D04">
            <w:pPr>
              <w:pStyle w:val="upar1"/>
              <w:tabs>
                <w:tab w:val="center" w:pos="4500"/>
                <w:tab w:val="left" w:pos="6840"/>
              </w:tabs>
              <w:spacing w:before="120" w:after="120"/>
              <w:rPr>
                <w:b/>
              </w:rPr>
            </w:pPr>
            <w:r w:rsidRPr="004E28BB">
              <w:rPr>
                <w:b/>
              </w:rPr>
              <w:t>Pharmacological - Abortives</w:t>
            </w:r>
          </w:p>
          <w:p w:rsidR="0053645B" w:rsidRPr="004E28BB" w:rsidRDefault="0053645B" w:rsidP="00D41D04">
            <w:pPr>
              <w:pStyle w:val="upar1"/>
              <w:tabs>
                <w:tab w:val="center" w:pos="4500"/>
                <w:tab w:val="left" w:pos="6840"/>
              </w:tabs>
              <w:spacing w:before="120"/>
              <w:rPr>
                <w:b/>
              </w:rPr>
            </w:pPr>
            <w:r w:rsidRPr="004E28BB">
              <w:t>Limit use to prevent medication overuse headache</w:t>
            </w:r>
          </w:p>
        </w:tc>
        <w:tc>
          <w:tcPr>
            <w:tcW w:w="3420" w:type="dxa"/>
          </w:tcPr>
          <w:p w:rsidR="0053645B" w:rsidRPr="004E28BB" w:rsidRDefault="0053645B" w:rsidP="00D41D04">
            <w:pPr>
              <w:pStyle w:val="upar1"/>
              <w:tabs>
                <w:tab w:val="center" w:pos="4500"/>
                <w:tab w:val="left" w:pos="6840"/>
              </w:tabs>
              <w:spacing w:before="120" w:after="120"/>
              <w:rPr>
                <w:b/>
              </w:rPr>
            </w:pPr>
            <w:r w:rsidRPr="004E28BB">
              <w:rPr>
                <w:b/>
              </w:rPr>
              <w:t>Non-Pharmacological</w:t>
            </w:r>
          </w:p>
        </w:tc>
      </w:tr>
      <w:tr w:rsidR="0053645B" w:rsidRPr="004E28BB" w:rsidTr="00F37AF4">
        <w:trPr>
          <w:trHeight w:val="525"/>
          <w:jc w:val="center"/>
        </w:trPr>
        <w:tc>
          <w:tcPr>
            <w:tcW w:w="3624" w:type="dxa"/>
            <w:vMerge/>
          </w:tcPr>
          <w:p w:rsidR="0053645B" w:rsidRPr="004E28BB" w:rsidRDefault="0053645B" w:rsidP="00D41D04">
            <w:pPr>
              <w:pStyle w:val="upar1"/>
              <w:tabs>
                <w:tab w:val="center" w:pos="4500"/>
                <w:tab w:val="left" w:pos="6840"/>
              </w:tabs>
              <w:spacing w:before="120"/>
            </w:pPr>
          </w:p>
        </w:tc>
        <w:tc>
          <w:tcPr>
            <w:tcW w:w="3324" w:type="dxa"/>
            <w:vMerge/>
          </w:tcPr>
          <w:p w:rsidR="0053645B" w:rsidRPr="004E28BB" w:rsidRDefault="0053645B" w:rsidP="00D41D04">
            <w:pPr>
              <w:pStyle w:val="upar1"/>
              <w:tabs>
                <w:tab w:val="center" w:pos="4500"/>
                <w:tab w:val="left" w:pos="6840"/>
              </w:tabs>
              <w:spacing w:before="120"/>
            </w:pPr>
          </w:p>
        </w:tc>
        <w:tc>
          <w:tcPr>
            <w:tcW w:w="3420" w:type="dxa"/>
          </w:tcPr>
          <w:p w:rsidR="0053645B" w:rsidRPr="004E28BB" w:rsidRDefault="0053645B" w:rsidP="00D41D04">
            <w:pPr>
              <w:pStyle w:val="upar1"/>
              <w:tabs>
                <w:tab w:val="center" w:pos="4500"/>
                <w:tab w:val="left" w:pos="6840"/>
              </w:tabs>
              <w:spacing w:before="120"/>
            </w:pPr>
            <w:r w:rsidRPr="004E28BB">
              <w:t>Education and identification of triggers</w:t>
            </w:r>
          </w:p>
        </w:tc>
      </w:tr>
      <w:tr w:rsidR="0053645B" w:rsidRPr="004E28BB" w:rsidTr="00F37AF4">
        <w:trPr>
          <w:trHeight w:val="525"/>
          <w:jc w:val="center"/>
        </w:trPr>
        <w:tc>
          <w:tcPr>
            <w:tcW w:w="3624" w:type="dxa"/>
            <w:vMerge/>
          </w:tcPr>
          <w:p w:rsidR="0053645B" w:rsidRPr="004E28BB" w:rsidRDefault="0053645B" w:rsidP="00D41D04">
            <w:pPr>
              <w:pStyle w:val="upar1"/>
              <w:tabs>
                <w:tab w:val="center" w:pos="4500"/>
                <w:tab w:val="left" w:pos="6840"/>
              </w:tabs>
              <w:spacing w:before="120"/>
            </w:pPr>
          </w:p>
        </w:tc>
        <w:tc>
          <w:tcPr>
            <w:tcW w:w="3324" w:type="dxa"/>
            <w:vMerge/>
          </w:tcPr>
          <w:p w:rsidR="0053645B" w:rsidRPr="004E28BB" w:rsidRDefault="0053645B" w:rsidP="00D41D04">
            <w:pPr>
              <w:pStyle w:val="upar1"/>
              <w:tabs>
                <w:tab w:val="center" w:pos="4500"/>
                <w:tab w:val="left" w:pos="6840"/>
              </w:tabs>
              <w:spacing w:before="120"/>
            </w:pPr>
          </w:p>
        </w:tc>
        <w:tc>
          <w:tcPr>
            <w:tcW w:w="3420" w:type="dxa"/>
          </w:tcPr>
          <w:p w:rsidR="0053645B" w:rsidRPr="004E28BB" w:rsidRDefault="0053645B" w:rsidP="0053645B">
            <w:pPr>
              <w:pStyle w:val="upar1"/>
              <w:tabs>
                <w:tab w:val="center" w:pos="4500"/>
                <w:tab w:val="left" w:pos="6840"/>
              </w:tabs>
              <w:spacing w:before="120"/>
            </w:pPr>
            <w:r w:rsidRPr="004E28BB">
              <w:t>Medication if terminated rebound present</w:t>
            </w:r>
          </w:p>
        </w:tc>
      </w:tr>
      <w:tr w:rsidR="000408B7" w:rsidRPr="004E28BB" w:rsidTr="00D4549A">
        <w:trPr>
          <w:jc w:val="center"/>
        </w:trPr>
        <w:tc>
          <w:tcPr>
            <w:tcW w:w="3624" w:type="dxa"/>
          </w:tcPr>
          <w:p w:rsidR="000408B7" w:rsidRPr="004E28BB" w:rsidRDefault="000408B7" w:rsidP="00D41D04">
            <w:pPr>
              <w:pStyle w:val="upar1"/>
              <w:tabs>
                <w:tab w:val="center" w:pos="4500"/>
                <w:tab w:val="left" w:pos="6840"/>
              </w:tabs>
              <w:spacing w:before="120"/>
            </w:pPr>
            <w:r w:rsidRPr="004E28BB">
              <w:t>Tricyclic Antidepressants</w:t>
            </w:r>
            <w:r w:rsidR="006054C0" w:rsidRPr="004E28BB">
              <w:t xml:space="preserve"> </w:t>
            </w:r>
            <w:r w:rsidRPr="004E28BB">
              <w:t>venlafaxine or amitriptyline</w:t>
            </w:r>
          </w:p>
          <w:p w:rsidR="000408B7" w:rsidRPr="004E28BB" w:rsidRDefault="000408B7" w:rsidP="00D41D04">
            <w:pPr>
              <w:pStyle w:val="upar1"/>
              <w:tabs>
                <w:tab w:val="center" w:pos="4500"/>
                <w:tab w:val="left" w:pos="6840"/>
              </w:tabs>
              <w:spacing w:before="120"/>
            </w:pPr>
          </w:p>
        </w:tc>
        <w:tc>
          <w:tcPr>
            <w:tcW w:w="3324" w:type="dxa"/>
          </w:tcPr>
          <w:p w:rsidR="000408B7" w:rsidRPr="004E28BB" w:rsidRDefault="000408B7" w:rsidP="00D41D04">
            <w:pPr>
              <w:pStyle w:val="upar1"/>
              <w:tabs>
                <w:tab w:val="center" w:pos="4500"/>
                <w:tab w:val="left" w:pos="6840"/>
              </w:tabs>
              <w:spacing w:before="120"/>
            </w:pPr>
            <w:r w:rsidRPr="004E28BB">
              <w:t>Anti-inflammatories or acetaminophen</w:t>
            </w:r>
          </w:p>
        </w:tc>
        <w:tc>
          <w:tcPr>
            <w:tcW w:w="3420" w:type="dxa"/>
          </w:tcPr>
          <w:p w:rsidR="000408B7" w:rsidRPr="004E28BB" w:rsidRDefault="000408B7" w:rsidP="00D41D04">
            <w:pPr>
              <w:pStyle w:val="upar1"/>
              <w:tabs>
                <w:tab w:val="center" w:pos="4500"/>
                <w:tab w:val="left" w:pos="6840"/>
              </w:tabs>
              <w:spacing w:before="120"/>
            </w:pPr>
            <w:r w:rsidRPr="004E28BB">
              <w:t>Physical Therapy</w:t>
            </w:r>
          </w:p>
        </w:tc>
      </w:tr>
      <w:tr w:rsidR="0053645B" w:rsidRPr="004E28BB" w:rsidTr="00D4549A">
        <w:trPr>
          <w:jc w:val="center"/>
        </w:trPr>
        <w:tc>
          <w:tcPr>
            <w:tcW w:w="3624" w:type="dxa"/>
          </w:tcPr>
          <w:p w:rsidR="0053645B" w:rsidRPr="004E28BB" w:rsidRDefault="0053645B" w:rsidP="00D41D04">
            <w:pPr>
              <w:pStyle w:val="upar1"/>
              <w:tabs>
                <w:tab w:val="center" w:pos="4500"/>
                <w:tab w:val="left" w:pos="6840"/>
              </w:tabs>
              <w:spacing w:before="120"/>
            </w:pPr>
            <w:r w:rsidRPr="004E28BB">
              <w:t>Beta Blockers</w:t>
            </w:r>
          </w:p>
        </w:tc>
        <w:tc>
          <w:tcPr>
            <w:tcW w:w="3324" w:type="dxa"/>
            <w:vMerge w:val="restart"/>
          </w:tcPr>
          <w:p w:rsidR="0053645B" w:rsidRPr="004E28BB" w:rsidRDefault="0053645B" w:rsidP="00D41D04">
            <w:pPr>
              <w:pStyle w:val="upar1"/>
              <w:tabs>
                <w:tab w:val="center" w:pos="4500"/>
                <w:tab w:val="left" w:pos="6840"/>
              </w:tabs>
              <w:spacing w:before="120"/>
            </w:pPr>
            <w:r w:rsidRPr="004E28BB">
              <w:t>Sumatriptan and other “Triptans” for migraine type headaches</w:t>
            </w:r>
          </w:p>
        </w:tc>
        <w:tc>
          <w:tcPr>
            <w:tcW w:w="3420" w:type="dxa"/>
          </w:tcPr>
          <w:p w:rsidR="0053645B" w:rsidRPr="004E28BB" w:rsidRDefault="0053645B" w:rsidP="00D41D04">
            <w:pPr>
              <w:pStyle w:val="upar1"/>
              <w:tabs>
                <w:tab w:val="center" w:pos="4500"/>
                <w:tab w:val="left" w:pos="6840"/>
              </w:tabs>
              <w:spacing w:before="120"/>
            </w:pPr>
            <w:r w:rsidRPr="004E28BB">
              <w:t xml:space="preserve">Biofeedback </w:t>
            </w:r>
          </w:p>
        </w:tc>
      </w:tr>
      <w:tr w:rsidR="0053645B" w:rsidRPr="004E28BB" w:rsidTr="00D4549A">
        <w:trPr>
          <w:jc w:val="center"/>
        </w:trPr>
        <w:tc>
          <w:tcPr>
            <w:tcW w:w="3624" w:type="dxa"/>
          </w:tcPr>
          <w:p w:rsidR="0053645B" w:rsidRPr="004E28BB" w:rsidRDefault="0053645B" w:rsidP="00D41D04">
            <w:pPr>
              <w:pStyle w:val="upar1"/>
              <w:tabs>
                <w:tab w:val="center" w:pos="4500"/>
                <w:tab w:val="left" w:pos="6840"/>
              </w:tabs>
              <w:spacing w:before="120"/>
            </w:pPr>
            <w:r w:rsidRPr="004E28BB">
              <w:t>Tryptans</w:t>
            </w:r>
          </w:p>
        </w:tc>
        <w:tc>
          <w:tcPr>
            <w:tcW w:w="3324" w:type="dxa"/>
            <w:vMerge/>
          </w:tcPr>
          <w:p w:rsidR="0053645B" w:rsidRPr="004E28BB" w:rsidRDefault="0053645B" w:rsidP="00D41D04">
            <w:pPr>
              <w:pStyle w:val="upar1"/>
              <w:tabs>
                <w:tab w:val="center" w:pos="4500"/>
                <w:tab w:val="left" w:pos="6840"/>
              </w:tabs>
              <w:spacing w:before="120"/>
            </w:pPr>
          </w:p>
        </w:tc>
        <w:tc>
          <w:tcPr>
            <w:tcW w:w="3420" w:type="dxa"/>
          </w:tcPr>
          <w:p w:rsidR="0053645B" w:rsidRPr="004E28BB" w:rsidRDefault="0053645B" w:rsidP="00D41D04">
            <w:pPr>
              <w:pStyle w:val="upar1"/>
              <w:tabs>
                <w:tab w:val="center" w:pos="4500"/>
                <w:tab w:val="left" w:pos="6840"/>
              </w:tabs>
              <w:spacing w:before="120"/>
            </w:pPr>
            <w:r w:rsidRPr="004E28BB">
              <w:t xml:space="preserve">Acupuncture (Refer to Chronic Pain Guidelines – </w:t>
            </w:r>
            <w:r w:rsidR="00811C8B">
              <w:t>Section</w:t>
            </w:r>
            <w:r w:rsidRPr="004E28BB">
              <w:t xml:space="preserve"> F.2)</w:t>
            </w:r>
          </w:p>
        </w:tc>
      </w:tr>
      <w:tr w:rsidR="0053645B" w:rsidRPr="004E28BB" w:rsidTr="00D4549A">
        <w:trPr>
          <w:jc w:val="center"/>
        </w:trPr>
        <w:tc>
          <w:tcPr>
            <w:tcW w:w="3624" w:type="dxa"/>
          </w:tcPr>
          <w:p w:rsidR="0053645B" w:rsidRPr="004E28BB" w:rsidRDefault="0053645B" w:rsidP="00D41D04">
            <w:pPr>
              <w:pStyle w:val="upar1"/>
              <w:tabs>
                <w:tab w:val="center" w:pos="4500"/>
                <w:tab w:val="left" w:pos="6840"/>
              </w:tabs>
              <w:spacing w:before="120"/>
            </w:pPr>
            <w:r w:rsidRPr="004E28BB">
              <w:t>Topiramate</w:t>
            </w:r>
          </w:p>
          <w:p w:rsidR="0053645B" w:rsidRPr="004E28BB" w:rsidRDefault="0053645B" w:rsidP="00D41D04">
            <w:pPr>
              <w:pStyle w:val="upar1"/>
              <w:tabs>
                <w:tab w:val="center" w:pos="4500"/>
                <w:tab w:val="left" w:pos="6840"/>
              </w:tabs>
              <w:spacing w:before="120"/>
            </w:pPr>
            <w:r w:rsidRPr="004E28BB">
              <w:t>Divalproex/Valproate</w:t>
            </w:r>
          </w:p>
        </w:tc>
        <w:tc>
          <w:tcPr>
            <w:tcW w:w="3324" w:type="dxa"/>
            <w:vMerge w:val="restart"/>
          </w:tcPr>
          <w:p w:rsidR="0053645B" w:rsidRPr="004E28BB" w:rsidRDefault="0053645B" w:rsidP="00D41D04">
            <w:pPr>
              <w:pStyle w:val="upar1"/>
              <w:tabs>
                <w:tab w:val="center" w:pos="4500"/>
                <w:tab w:val="left" w:pos="6840"/>
              </w:tabs>
              <w:spacing w:before="120"/>
            </w:pPr>
            <w:r w:rsidRPr="004E28BB">
              <w:t>An anti-emetic may accompany either medication metoclopramide</w:t>
            </w:r>
            <w:r w:rsidR="00F64E42">
              <w:t xml:space="preserve"> </w:t>
            </w:r>
          </w:p>
        </w:tc>
        <w:tc>
          <w:tcPr>
            <w:tcW w:w="3420" w:type="dxa"/>
          </w:tcPr>
          <w:p w:rsidR="0053645B" w:rsidRPr="004E28BB" w:rsidRDefault="0053645B" w:rsidP="00D41D04">
            <w:pPr>
              <w:pStyle w:val="upar1"/>
              <w:tabs>
                <w:tab w:val="center" w:pos="4500"/>
                <w:tab w:val="left" w:pos="6840"/>
              </w:tabs>
              <w:spacing w:before="120"/>
            </w:pPr>
            <w:r w:rsidRPr="004E28BB">
              <w:t>Psychology including cognitive behavioral therapy</w:t>
            </w:r>
          </w:p>
        </w:tc>
      </w:tr>
      <w:tr w:rsidR="0053645B" w:rsidRPr="004E28BB" w:rsidTr="00D4549A">
        <w:trPr>
          <w:jc w:val="center"/>
        </w:trPr>
        <w:tc>
          <w:tcPr>
            <w:tcW w:w="3624" w:type="dxa"/>
          </w:tcPr>
          <w:p w:rsidR="0053645B" w:rsidRPr="004E28BB" w:rsidRDefault="0053645B" w:rsidP="00D41D04">
            <w:pPr>
              <w:pStyle w:val="upar1"/>
              <w:tabs>
                <w:tab w:val="center" w:pos="4500"/>
                <w:tab w:val="left" w:pos="6840"/>
              </w:tabs>
              <w:spacing w:before="120"/>
            </w:pPr>
            <w:r w:rsidRPr="004E28BB">
              <w:t xml:space="preserve">Complementary medications </w:t>
            </w:r>
          </w:p>
          <w:p w:rsidR="0053645B" w:rsidRPr="004E28BB" w:rsidRDefault="0053645B" w:rsidP="00D41D04">
            <w:pPr>
              <w:pStyle w:val="upar1"/>
              <w:tabs>
                <w:tab w:val="center" w:pos="4500"/>
                <w:tab w:val="left" w:pos="6840"/>
              </w:tabs>
              <w:spacing w:before="120"/>
            </w:pPr>
            <w:r w:rsidRPr="004E28BB">
              <w:t xml:space="preserve">Petasites hybridus root (butterbur) Use pharmaceutical grade product </w:t>
            </w:r>
          </w:p>
          <w:p w:rsidR="0053645B" w:rsidRPr="004E28BB" w:rsidRDefault="0053645B" w:rsidP="00D41D04">
            <w:pPr>
              <w:pStyle w:val="upar1"/>
              <w:tabs>
                <w:tab w:val="center" w:pos="4500"/>
                <w:tab w:val="left" w:pos="6840"/>
              </w:tabs>
              <w:spacing w:before="120"/>
            </w:pPr>
            <w:r w:rsidRPr="004E28BB">
              <w:t>Histamine</w:t>
            </w:r>
          </w:p>
          <w:p w:rsidR="0053645B" w:rsidRPr="004E28BB" w:rsidRDefault="0053645B" w:rsidP="00D41D04">
            <w:pPr>
              <w:pStyle w:val="upar1"/>
              <w:tabs>
                <w:tab w:val="center" w:pos="4500"/>
                <w:tab w:val="left" w:pos="6840"/>
              </w:tabs>
              <w:spacing w:before="120"/>
            </w:pPr>
            <w:r w:rsidRPr="004E28BB">
              <w:t>Riboflavin</w:t>
            </w:r>
          </w:p>
          <w:p w:rsidR="0053645B" w:rsidRPr="004E28BB" w:rsidRDefault="0053645B" w:rsidP="00D41D04">
            <w:pPr>
              <w:pStyle w:val="upar1"/>
              <w:tabs>
                <w:tab w:val="center" w:pos="4500"/>
                <w:tab w:val="left" w:pos="6840"/>
              </w:tabs>
              <w:spacing w:before="120"/>
            </w:pPr>
            <w:r w:rsidRPr="004E28BB">
              <w:t>Magnesium</w:t>
            </w:r>
          </w:p>
        </w:tc>
        <w:tc>
          <w:tcPr>
            <w:tcW w:w="3324" w:type="dxa"/>
            <w:vMerge/>
          </w:tcPr>
          <w:p w:rsidR="0053645B" w:rsidRPr="004E28BB" w:rsidRDefault="0053645B" w:rsidP="00D41D04">
            <w:pPr>
              <w:pStyle w:val="upar1"/>
              <w:tabs>
                <w:tab w:val="center" w:pos="4500"/>
                <w:tab w:val="left" w:pos="6840"/>
              </w:tabs>
              <w:spacing w:before="120"/>
            </w:pPr>
          </w:p>
        </w:tc>
        <w:tc>
          <w:tcPr>
            <w:tcW w:w="3420" w:type="dxa"/>
          </w:tcPr>
          <w:p w:rsidR="0053645B" w:rsidRPr="004E28BB" w:rsidRDefault="0053645B" w:rsidP="00D41D04">
            <w:pPr>
              <w:pStyle w:val="upar1"/>
              <w:tabs>
                <w:tab w:val="center" w:pos="4500"/>
                <w:tab w:val="left" w:pos="6840"/>
              </w:tabs>
              <w:spacing w:before="120"/>
            </w:pPr>
            <w:r w:rsidRPr="004E28BB">
              <w:t>Joint Manipulation Therapy</w:t>
            </w:r>
            <w:r w:rsidR="000B3579">
              <w:t xml:space="preserve"> </w:t>
            </w:r>
            <w:r w:rsidRPr="004E28BB">
              <w:t>(Refer to Cervical Spine Guideline</w:t>
            </w:r>
            <w:r w:rsidR="00221A7D">
              <w:t>s</w:t>
            </w:r>
            <w:r w:rsidRPr="004E28BB">
              <w:t xml:space="preserve"> for time parameters.)</w:t>
            </w:r>
          </w:p>
        </w:tc>
      </w:tr>
      <w:tr w:rsidR="0053645B" w:rsidRPr="004E28BB" w:rsidTr="00D4549A">
        <w:trPr>
          <w:jc w:val="center"/>
        </w:trPr>
        <w:tc>
          <w:tcPr>
            <w:tcW w:w="3624" w:type="dxa"/>
          </w:tcPr>
          <w:p w:rsidR="0053645B" w:rsidRPr="004E28BB" w:rsidRDefault="0053645B" w:rsidP="00D41D04">
            <w:pPr>
              <w:pStyle w:val="upar1"/>
              <w:tabs>
                <w:tab w:val="center" w:pos="4500"/>
                <w:tab w:val="left" w:pos="6840"/>
              </w:tabs>
              <w:spacing w:before="120"/>
            </w:pPr>
            <w:r w:rsidRPr="004E28BB">
              <w:t>Others with possible effect</w:t>
            </w:r>
          </w:p>
          <w:p w:rsidR="0053645B" w:rsidRPr="004E28BB" w:rsidRDefault="0053645B" w:rsidP="00D41D04">
            <w:pPr>
              <w:pStyle w:val="upar1"/>
              <w:tabs>
                <w:tab w:val="center" w:pos="4500"/>
                <w:tab w:val="left" w:pos="6840"/>
              </w:tabs>
              <w:spacing w:before="120"/>
            </w:pPr>
            <w:r w:rsidRPr="004E28BB">
              <w:t xml:space="preserve">ACE inhibitors, Angiotensin receptor blockers, a-agonists, carbamazepine, </w:t>
            </w:r>
          </w:p>
        </w:tc>
        <w:tc>
          <w:tcPr>
            <w:tcW w:w="3324" w:type="dxa"/>
            <w:vMerge/>
          </w:tcPr>
          <w:p w:rsidR="0053645B" w:rsidRPr="004E28BB" w:rsidRDefault="0053645B" w:rsidP="00D41D04">
            <w:pPr>
              <w:pStyle w:val="upar1"/>
              <w:tabs>
                <w:tab w:val="center" w:pos="4500"/>
                <w:tab w:val="left" w:pos="6840"/>
              </w:tabs>
              <w:spacing w:before="120"/>
            </w:pPr>
          </w:p>
        </w:tc>
        <w:tc>
          <w:tcPr>
            <w:tcW w:w="3420" w:type="dxa"/>
          </w:tcPr>
          <w:p w:rsidR="0053645B" w:rsidRPr="004E28BB" w:rsidRDefault="0053645B" w:rsidP="00D41D04">
            <w:pPr>
              <w:pStyle w:val="upar1"/>
              <w:tabs>
                <w:tab w:val="center" w:pos="4500"/>
                <w:tab w:val="left" w:pos="6840"/>
              </w:tabs>
              <w:spacing w:before="120"/>
            </w:pPr>
          </w:p>
        </w:tc>
      </w:tr>
    </w:tbl>
    <w:p w:rsidR="000408B7" w:rsidRPr="004E28BB" w:rsidRDefault="000408B7" w:rsidP="00D41D04">
      <w:pPr>
        <w:spacing w:before="0"/>
        <w:jc w:val="center"/>
        <w:rPr>
          <w:b/>
        </w:rPr>
      </w:pPr>
      <w:r w:rsidRPr="004E28BB">
        <w:rPr>
          <w:b/>
        </w:rPr>
        <w:t>↓</w:t>
      </w:r>
    </w:p>
    <w:p w:rsidR="000408B7" w:rsidRPr="004E28BB" w:rsidRDefault="000408B7" w:rsidP="00D41D04">
      <w:pPr>
        <w:spacing w:before="120"/>
        <w:jc w:val="center"/>
      </w:pPr>
      <w:r w:rsidRPr="004E28BB">
        <w:t>Headache control</w:t>
      </w:r>
    </w:p>
    <w:tbl>
      <w:tblPr>
        <w:tblW w:w="10368" w:type="dxa"/>
        <w:jc w:val="center"/>
        <w:tblLook w:val="01E0" w:firstRow="1" w:lastRow="1" w:firstColumn="1" w:lastColumn="1" w:noHBand="0" w:noVBand="0"/>
      </w:tblPr>
      <w:tblGrid>
        <w:gridCol w:w="3528"/>
        <w:gridCol w:w="3420"/>
        <w:gridCol w:w="3420"/>
      </w:tblGrid>
      <w:tr w:rsidR="000408B7" w:rsidRPr="004E28BB" w:rsidTr="000362A7">
        <w:trPr>
          <w:trHeight w:val="297"/>
          <w:jc w:val="center"/>
        </w:trPr>
        <w:tc>
          <w:tcPr>
            <w:tcW w:w="3528" w:type="dxa"/>
          </w:tcPr>
          <w:p w:rsidR="000408B7" w:rsidRPr="004E28BB" w:rsidRDefault="000408B7" w:rsidP="00D41D04">
            <w:pPr>
              <w:spacing w:before="0"/>
              <w:jc w:val="center"/>
              <w:rPr>
                <w:u w:val="single"/>
              </w:rPr>
            </w:pPr>
            <w:r w:rsidRPr="004E28BB">
              <w:rPr>
                <w:u w:val="single"/>
              </w:rPr>
              <w:t>Good</w:t>
            </w:r>
          </w:p>
        </w:tc>
        <w:tc>
          <w:tcPr>
            <w:tcW w:w="3420" w:type="dxa"/>
          </w:tcPr>
          <w:p w:rsidR="000408B7" w:rsidRPr="004E28BB" w:rsidRDefault="000408B7" w:rsidP="00D41D04">
            <w:pPr>
              <w:spacing w:before="0"/>
              <w:jc w:val="center"/>
              <w:rPr>
                <w:u w:val="single"/>
              </w:rPr>
            </w:pPr>
          </w:p>
        </w:tc>
        <w:tc>
          <w:tcPr>
            <w:tcW w:w="3420" w:type="dxa"/>
          </w:tcPr>
          <w:p w:rsidR="000408B7" w:rsidRPr="004E28BB" w:rsidRDefault="007843ED" w:rsidP="00D41D04">
            <w:pPr>
              <w:spacing w:before="0"/>
              <w:jc w:val="center"/>
              <w:rPr>
                <w:u w:val="single"/>
              </w:rPr>
            </w:pPr>
            <w:r>
              <w:rPr>
                <w:u w:val="single"/>
              </w:rPr>
              <w:t>Sub-</w:t>
            </w:r>
            <w:r w:rsidR="000408B7" w:rsidRPr="004E28BB">
              <w:rPr>
                <w:u w:val="single"/>
              </w:rPr>
              <w:t>optimal</w:t>
            </w:r>
          </w:p>
        </w:tc>
      </w:tr>
      <w:tr w:rsidR="000408B7" w:rsidRPr="004E28BB" w:rsidTr="000362A7">
        <w:trPr>
          <w:jc w:val="center"/>
        </w:trPr>
        <w:tc>
          <w:tcPr>
            <w:tcW w:w="3528" w:type="dxa"/>
          </w:tcPr>
          <w:p w:rsidR="000408B7" w:rsidRPr="004E28BB" w:rsidRDefault="000408B7" w:rsidP="007D7F42">
            <w:pPr>
              <w:spacing w:before="0"/>
            </w:pPr>
            <w:r w:rsidRPr="004E28BB">
              <w:t>Continue treatment 3</w:t>
            </w:r>
            <w:r w:rsidR="007D7F42">
              <w:t>–</w:t>
            </w:r>
            <w:r w:rsidRPr="004E28BB">
              <w:t>6 months</w:t>
            </w:r>
            <w:r w:rsidR="000B3579">
              <w:t>,</w:t>
            </w:r>
            <w:r w:rsidRPr="004E28BB">
              <w:t xml:space="preserve"> then taper.</w:t>
            </w:r>
          </w:p>
        </w:tc>
        <w:tc>
          <w:tcPr>
            <w:tcW w:w="3420" w:type="dxa"/>
          </w:tcPr>
          <w:p w:rsidR="000408B7" w:rsidRPr="004E28BB" w:rsidRDefault="000408B7" w:rsidP="00D41D04">
            <w:pPr>
              <w:spacing w:before="0"/>
            </w:pPr>
          </w:p>
        </w:tc>
        <w:tc>
          <w:tcPr>
            <w:tcW w:w="3420" w:type="dxa"/>
          </w:tcPr>
          <w:p w:rsidR="000408B7" w:rsidRPr="004E28BB" w:rsidRDefault="000408B7" w:rsidP="00D41D04">
            <w:pPr>
              <w:spacing w:before="0"/>
            </w:pPr>
            <w:r w:rsidRPr="004E28BB">
              <w:t>Reassess diagnosis, optimize treatment</w:t>
            </w:r>
            <w:r w:rsidR="007D7F42">
              <w:t>,</w:t>
            </w:r>
            <w:r w:rsidRPr="004E28BB">
              <w:t xml:space="preserve"> and identify other contributors.</w:t>
            </w:r>
          </w:p>
        </w:tc>
      </w:tr>
      <w:tr w:rsidR="000408B7" w:rsidRPr="004E28BB" w:rsidTr="000362A7">
        <w:trPr>
          <w:jc w:val="center"/>
        </w:trPr>
        <w:tc>
          <w:tcPr>
            <w:tcW w:w="3528" w:type="dxa"/>
          </w:tcPr>
          <w:p w:rsidR="000408B7" w:rsidRPr="004E28BB" w:rsidRDefault="000408B7" w:rsidP="00D41D04">
            <w:pPr>
              <w:spacing w:before="0"/>
            </w:pPr>
            <w:r w:rsidRPr="004E28BB">
              <w:t>Preventive medications as appropriate.</w:t>
            </w:r>
          </w:p>
        </w:tc>
        <w:tc>
          <w:tcPr>
            <w:tcW w:w="3420" w:type="dxa"/>
          </w:tcPr>
          <w:p w:rsidR="000408B7" w:rsidRPr="004E28BB" w:rsidRDefault="000408B7" w:rsidP="00D41D04">
            <w:pPr>
              <w:spacing w:before="0"/>
            </w:pPr>
          </w:p>
        </w:tc>
        <w:tc>
          <w:tcPr>
            <w:tcW w:w="3420" w:type="dxa"/>
          </w:tcPr>
          <w:p w:rsidR="000408B7" w:rsidRPr="004E28BB" w:rsidRDefault="000408B7" w:rsidP="00D41D04">
            <w:pPr>
              <w:spacing w:before="0"/>
            </w:pPr>
            <w:r w:rsidRPr="004E28BB">
              <w:t>Referral to specialist.</w:t>
            </w:r>
          </w:p>
        </w:tc>
      </w:tr>
    </w:tbl>
    <w:p w:rsidR="00C319C3" w:rsidRPr="004E28BB" w:rsidRDefault="000408B7" w:rsidP="00D41D04">
      <w:pPr>
        <w:pStyle w:val="ListNumber3"/>
      </w:pPr>
      <w:bookmarkStart w:id="378" w:name="_Toc319922572"/>
      <w:r w:rsidRPr="004E28BB">
        <w:rPr>
          <w:rStyle w:val="Guide3-abcdChar"/>
        </w:rPr>
        <w:br w:type="page"/>
      </w:r>
      <w:bookmarkStart w:id="379" w:name="_Toc394643337"/>
      <w:r w:rsidRPr="004E28BB">
        <w:rPr>
          <w:rStyle w:val="Guide3-abcdChar"/>
        </w:rPr>
        <w:lastRenderedPageBreak/>
        <w:t>Botulinum Injections</w:t>
      </w:r>
      <w:bookmarkEnd w:id="378"/>
      <w:r w:rsidR="007D7F42" w:rsidRPr="007D7F42">
        <w:rPr>
          <w:rStyle w:val="Guide3-abcdChar"/>
          <w:b w:val="0"/>
          <w:u w:val="none"/>
        </w:rPr>
        <w:t>:</w:t>
      </w:r>
      <w:bookmarkEnd w:id="379"/>
      <w:r w:rsidRPr="004E28BB">
        <w:t xml:space="preserve"> </w:t>
      </w:r>
      <w:r w:rsidR="007D7F42">
        <w:t>N</w:t>
      </w:r>
      <w:r w:rsidRPr="004E28BB">
        <w:t>o longer generally recommended for cervicogenic or other headaches based on good evidence of lack of effect</w:t>
      </w:r>
      <w:r w:rsidRPr="004E28BB">
        <w:rPr>
          <w:rStyle w:val="GuideCitesCharChar"/>
        </w:rPr>
        <w:t xml:space="preserve"> </w:t>
      </w:r>
      <w:hyperlink w:anchor="Langevin2011" w:history="1">
        <w:r w:rsidRPr="00BA0447">
          <w:rPr>
            <w:rStyle w:val="Hyperlink"/>
            <w:rFonts w:cs="Arial"/>
            <w:highlight w:val="yellow"/>
          </w:rPr>
          <w:t>([Cochrane] Langevin, 2011</w:t>
        </w:r>
      </w:hyperlink>
      <w:r w:rsidRPr="00DB2187">
        <w:rPr>
          <w:rStyle w:val="GuideCitesCharChar"/>
          <w:highlight w:val="yellow"/>
        </w:rPr>
        <w:t xml:space="preserve">; </w:t>
      </w:r>
      <w:hyperlink w:anchor="Linde2011" w:history="1">
        <w:r w:rsidRPr="00BA0447">
          <w:rPr>
            <w:rStyle w:val="Hyperlink"/>
            <w:rFonts w:cs="Arial"/>
            <w:highlight w:val="yellow"/>
          </w:rPr>
          <w:t>Linde, 2011</w:t>
        </w:r>
      </w:hyperlink>
      <w:r w:rsidRPr="00DB2187">
        <w:rPr>
          <w:rStyle w:val="GuideCitesCharChar"/>
          <w:highlight w:val="yellow"/>
        </w:rPr>
        <w:t xml:space="preserve">, </w:t>
      </w:r>
      <w:hyperlink w:anchor="Aurora2011" w:history="1">
        <w:r w:rsidRPr="00BA0447">
          <w:rPr>
            <w:rStyle w:val="Hyperlink"/>
            <w:rFonts w:cs="Arial"/>
            <w:highlight w:val="yellow"/>
          </w:rPr>
          <w:t>Aurora, 2011</w:t>
        </w:r>
      </w:hyperlink>
      <w:r w:rsidRPr="00DB2187">
        <w:rPr>
          <w:rStyle w:val="GuideCitesCharChar"/>
          <w:highlight w:val="yellow"/>
        </w:rPr>
        <w:t xml:space="preserve">; </w:t>
      </w:r>
      <w:hyperlink w:anchor="Naumann2008" w:history="1">
        <w:r w:rsidRPr="00BA0447">
          <w:rPr>
            <w:rStyle w:val="Hyperlink"/>
            <w:rFonts w:cs="Arial"/>
            <w:highlight w:val="yellow"/>
          </w:rPr>
          <w:t>Naumann, 2008</w:t>
        </w:r>
      </w:hyperlink>
      <w:r w:rsidRPr="00DB2187">
        <w:rPr>
          <w:rStyle w:val="GuideCitesCharChar"/>
          <w:highlight w:val="yellow"/>
        </w:rPr>
        <w:t>)</w:t>
      </w:r>
      <w:r w:rsidR="007A5DB9" w:rsidRPr="004E28BB">
        <w:t xml:space="preserve">. </w:t>
      </w:r>
      <w:r w:rsidRPr="004E28BB">
        <w:t>There is good evidence that botox is not more effective than placebo for reducing the fr</w:t>
      </w:r>
      <w:r w:rsidR="007A5DB9" w:rsidRPr="004E28BB">
        <w:t>equency of episodic migraines</w:t>
      </w:r>
      <w:r w:rsidRPr="004E28BB">
        <w:rPr>
          <w:rStyle w:val="GuideCitesCharChar"/>
        </w:rPr>
        <w:t xml:space="preserve"> </w:t>
      </w:r>
      <w:r w:rsidRPr="00DB2187">
        <w:rPr>
          <w:rStyle w:val="GuideCitesCharChar"/>
          <w:highlight w:val="yellow"/>
        </w:rPr>
        <w:t>(</w:t>
      </w:r>
      <w:hyperlink w:anchor="Shuhendler2009" w:history="1">
        <w:r w:rsidRPr="00BA0447">
          <w:rPr>
            <w:rStyle w:val="Hyperlink"/>
            <w:rFonts w:cs="Arial"/>
            <w:highlight w:val="yellow"/>
          </w:rPr>
          <w:t>Shuhendler, 2009</w:t>
        </w:r>
      </w:hyperlink>
      <w:r w:rsidRPr="00DB2187">
        <w:rPr>
          <w:rStyle w:val="GuideCitesCharChar"/>
          <w:highlight w:val="yellow"/>
        </w:rPr>
        <w:t>)</w:t>
      </w:r>
      <w:r w:rsidR="007A5DB9" w:rsidRPr="00DB2187">
        <w:rPr>
          <w:highlight w:val="yellow"/>
        </w:rPr>
        <w:t>.</w:t>
      </w:r>
      <w:r w:rsidR="007A5DB9" w:rsidRPr="004E28BB">
        <w:t xml:space="preserve"> </w:t>
      </w:r>
      <w:r w:rsidRPr="004E28BB">
        <w:t>It may be considered in a very small subset of patients with chronic migraines 12</w:t>
      </w:r>
      <w:r w:rsidR="007D7F42">
        <w:t>–</w:t>
      </w:r>
      <w:r w:rsidRPr="004E28BB">
        <w:t>15 days/month who have failed all other conservative treatment</w:t>
      </w:r>
      <w:r w:rsidR="007D7F42">
        <w:t>,</w:t>
      </w:r>
      <w:r w:rsidRPr="004E28BB">
        <w:t xml:space="preserve"> including trials of </w:t>
      </w:r>
      <w:r w:rsidR="004C00BC">
        <w:t>at least three</w:t>
      </w:r>
      <w:r w:rsidRPr="004E28BB">
        <w:t xml:space="preserve"> drug classes</w:t>
      </w:r>
      <w:r w:rsidR="007D7F42">
        <w:t>,</w:t>
      </w:r>
      <w:r w:rsidRPr="004E28BB">
        <w:t xml:space="preserve"> and </w:t>
      </w:r>
      <w:r w:rsidR="007D7F42">
        <w:t xml:space="preserve">who </w:t>
      </w:r>
      <w:r w:rsidRPr="004E28BB">
        <w:t>have committed to any life style chang</w:t>
      </w:r>
      <w:r w:rsidR="007A5DB9" w:rsidRPr="004E28BB">
        <w:t>es related to headache triggers</w:t>
      </w:r>
      <w:r w:rsidRPr="004E28BB">
        <w:rPr>
          <w:rStyle w:val="GuideCitesCharChar"/>
        </w:rPr>
        <w:t xml:space="preserve"> </w:t>
      </w:r>
      <w:r w:rsidRPr="00DB2187">
        <w:rPr>
          <w:rStyle w:val="GuideCitesCharChar"/>
          <w:highlight w:val="yellow"/>
        </w:rPr>
        <w:t>(</w:t>
      </w:r>
      <w:hyperlink w:anchor="Jackson2012a" w:history="1">
        <w:r w:rsidRPr="00BA0447">
          <w:rPr>
            <w:rStyle w:val="Hyperlink"/>
            <w:rFonts w:cs="Arial"/>
            <w:highlight w:val="yellow"/>
          </w:rPr>
          <w:t>Jackson, 2012</w:t>
        </w:r>
        <w:r w:rsidR="00AA4B8F" w:rsidRPr="00BA0447">
          <w:rPr>
            <w:rStyle w:val="Hyperlink"/>
            <w:rFonts w:cs="Arial"/>
            <w:highlight w:val="yellow"/>
          </w:rPr>
          <w:t>a,</w:t>
        </w:r>
      </w:hyperlink>
      <w:hyperlink w:anchor="Jackson2012b" w:history="1">
        <w:r w:rsidR="00AA4B8F" w:rsidRPr="00BA0447">
          <w:rPr>
            <w:rStyle w:val="Hyperlink"/>
            <w:rFonts w:cs="Arial"/>
            <w:highlight w:val="yellow"/>
          </w:rPr>
          <w:t>b</w:t>
        </w:r>
      </w:hyperlink>
      <w:r w:rsidRPr="00DB2187">
        <w:rPr>
          <w:rStyle w:val="GuideCitesCharChar"/>
          <w:highlight w:val="yellow"/>
        </w:rPr>
        <w:t>)</w:t>
      </w:r>
      <w:r w:rsidR="007A5DB9" w:rsidRPr="004E28BB">
        <w:t>.</w:t>
      </w:r>
    </w:p>
    <w:p w:rsidR="000408B7" w:rsidRPr="004E28BB" w:rsidRDefault="000408B7" w:rsidP="00D41D04">
      <w:pPr>
        <w:pStyle w:val="ListNumber2"/>
      </w:pPr>
      <w:bookmarkStart w:id="380" w:name="TBIG8TherapeuticExercise"/>
      <w:bookmarkStart w:id="381" w:name="_Toc394643338"/>
      <w:bookmarkEnd w:id="380"/>
      <w:r w:rsidRPr="004E28BB">
        <w:rPr>
          <w:rStyle w:val="Guide2-123Char"/>
        </w:rPr>
        <w:t>THERAPEUTIC EXERCISE</w:t>
      </w:r>
      <w:bookmarkEnd w:id="381"/>
      <w:r w:rsidRPr="004E28BB">
        <w:t xml:space="preserve">: </w:t>
      </w:r>
      <w:r w:rsidR="007D7F42">
        <w:t>W</w:t>
      </w:r>
      <w:r w:rsidRPr="004E28BB">
        <w:t>ith or without mechanical assistance or resistance, may include isoinertial, isotonic, isometric</w:t>
      </w:r>
      <w:r w:rsidR="000430E9">
        <w:t>,</w:t>
      </w:r>
      <w:r w:rsidRPr="004E28BB">
        <w:t xml:space="preserve"> and isokinetic types of exercises as part of the overall occupational therapy physical therapy program, not to be used in isolation.</w:t>
      </w:r>
      <w:r w:rsidR="006054C0" w:rsidRPr="004E28BB">
        <w:t xml:space="preserve"> </w:t>
      </w:r>
      <w:r w:rsidRPr="004E28BB">
        <w:br/>
      </w:r>
      <w:r w:rsidRPr="004E28BB">
        <w:br/>
        <w:t>Studies of older adults have consistently shown both cognitive and neuro-physiologic functional gains for those participating in regular aerobic activity</w:t>
      </w:r>
      <w:r w:rsidRPr="00773307">
        <w:rPr>
          <w:rStyle w:val="GuideCitesCharChar"/>
        </w:rPr>
        <w:t xml:space="preserve"> (</w:t>
      </w:r>
      <w:hyperlink w:anchor="Barnes2003" w:history="1">
        <w:r w:rsidRPr="00BA0447">
          <w:rPr>
            <w:rStyle w:val="Hyperlink"/>
            <w:rFonts w:cs="Arial"/>
            <w:highlight w:val="yellow"/>
          </w:rPr>
          <w:t>Barnes, 2003</w:t>
        </w:r>
      </w:hyperlink>
      <w:r w:rsidRPr="008C59B8">
        <w:rPr>
          <w:rStyle w:val="GuideCitesCharChar"/>
          <w:highlight w:val="yellow"/>
        </w:rPr>
        <w:t>;</w:t>
      </w:r>
      <w:r w:rsidRPr="00773307">
        <w:rPr>
          <w:rStyle w:val="GuideCitesCharChar"/>
        </w:rPr>
        <w:t xml:space="preserve"> </w:t>
      </w:r>
      <w:hyperlink w:anchor="Colcomb2003" w:history="1">
        <w:r w:rsidRPr="00BA0447">
          <w:rPr>
            <w:rStyle w:val="Hyperlink"/>
            <w:rFonts w:cs="Arial"/>
            <w:highlight w:val="yellow"/>
          </w:rPr>
          <w:t>Colcombe, 2003</w:t>
        </w:r>
      </w:hyperlink>
      <w:r w:rsidRPr="008C59B8">
        <w:rPr>
          <w:rStyle w:val="GuideCitesCharChar"/>
          <w:highlight w:val="yellow"/>
        </w:rPr>
        <w:t xml:space="preserve">; </w:t>
      </w:r>
      <w:hyperlink w:anchor="Colcomb2004" w:history="1">
        <w:r w:rsidR="000A3B58" w:rsidRPr="00BA0447">
          <w:rPr>
            <w:rStyle w:val="Hyperlink"/>
            <w:rFonts w:cs="Arial"/>
            <w:highlight w:val="yellow"/>
          </w:rPr>
          <w:t xml:space="preserve">Colcombe, </w:t>
        </w:r>
        <w:r w:rsidRPr="00BA0447">
          <w:rPr>
            <w:rStyle w:val="Hyperlink"/>
            <w:rFonts w:cs="Arial"/>
            <w:highlight w:val="yellow"/>
          </w:rPr>
          <w:t>2004</w:t>
        </w:r>
      </w:hyperlink>
      <w:r w:rsidRPr="00773307">
        <w:rPr>
          <w:rStyle w:val="GuideCitesCharChar"/>
        </w:rPr>
        <w:t xml:space="preserve">; </w:t>
      </w:r>
      <w:hyperlink w:anchor="Kramer1999" w:history="1">
        <w:r w:rsidRPr="00BA0447">
          <w:rPr>
            <w:rStyle w:val="Hyperlink"/>
            <w:rFonts w:cs="Arial"/>
            <w:highlight w:val="yellow"/>
          </w:rPr>
          <w:t>Kramer, 1999</w:t>
        </w:r>
      </w:hyperlink>
      <w:r w:rsidRPr="008C59B8">
        <w:rPr>
          <w:rStyle w:val="GuideCitesCharChar"/>
          <w:highlight w:val="yellow"/>
        </w:rPr>
        <w:t>;</w:t>
      </w:r>
      <w:hyperlink w:anchor="Lojovich2010" w:history="1">
        <w:r w:rsidRPr="00BA0447">
          <w:rPr>
            <w:rStyle w:val="Hyperlink"/>
            <w:rFonts w:cs="Arial"/>
          </w:rPr>
          <w:t xml:space="preserve"> </w:t>
        </w:r>
        <w:r w:rsidRPr="00BA0447">
          <w:rPr>
            <w:rStyle w:val="Hyperlink"/>
            <w:rFonts w:cs="Arial"/>
            <w:highlight w:val="yellow"/>
          </w:rPr>
          <w:t>Lojovich, 2010</w:t>
        </w:r>
      </w:hyperlink>
      <w:r w:rsidRPr="00773307">
        <w:rPr>
          <w:rStyle w:val="GuideCitesCharChar"/>
        </w:rPr>
        <w:t xml:space="preserve">; </w:t>
      </w:r>
      <w:hyperlink w:anchor="Weuve2004" w:history="1">
        <w:r w:rsidRPr="00BA0447">
          <w:rPr>
            <w:rStyle w:val="Hyperlink"/>
            <w:rFonts w:cs="Arial"/>
            <w:highlight w:val="yellow"/>
          </w:rPr>
          <w:t>Weuve, 2004</w:t>
        </w:r>
      </w:hyperlink>
      <w:r w:rsidRPr="00773307">
        <w:rPr>
          <w:rStyle w:val="GuideCitesCharChar"/>
        </w:rPr>
        <w:t>)</w:t>
      </w:r>
      <w:r w:rsidR="007A5DB9" w:rsidRPr="004E28BB">
        <w:t xml:space="preserve">. </w:t>
      </w:r>
      <w:r w:rsidRPr="004E28BB">
        <w:t>Apparent physiological benefits from exercise include improved neuroplasticity after the initial period of 3</w:t>
      </w:r>
      <w:r w:rsidR="000430E9">
        <w:t>–</w:t>
      </w:r>
      <w:r w:rsidRPr="004E28BB">
        <w:t>10 days, improved cognition, decreased emotional stress</w:t>
      </w:r>
      <w:r w:rsidR="000430E9">
        <w:t>,</w:t>
      </w:r>
      <w:r w:rsidRPr="004E28BB">
        <w:t xml:space="preserve"> and improved hypothalamic-pituitary-ad</w:t>
      </w:r>
      <w:r w:rsidR="007A5DB9" w:rsidRPr="004E28BB">
        <w:t>renal axis function</w:t>
      </w:r>
      <w:r w:rsidRPr="004E28BB">
        <w:rPr>
          <w:rStyle w:val="GuideCitesCharChar"/>
        </w:rPr>
        <w:t xml:space="preserve"> (</w:t>
      </w:r>
      <w:hyperlink w:anchor="Archer2011" w:history="1">
        <w:r w:rsidRPr="00BA0447">
          <w:rPr>
            <w:rStyle w:val="Hyperlink"/>
            <w:rFonts w:cs="Arial"/>
            <w:highlight w:val="yellow"/>
          </w:rPr>
          <w:t>Archer, 2011</w:t>
        </w:r>
      </w:hyperlink>
      <w:r w:rsidRPr="004E28BB">
        <w:rPr>
          <w:rStyle w:val="GuideCitesCharChar"/>
        </w:rPr>
        <w:t>)</w:t>
      </w:r>
      <w:r w:rsidR="007A5DB9" w:rsidRPr="004E28BB">
        <w:t xml:space="preserve">. </w:t>
      </w:r>
      <w:r w:rsidRPr="004E28BB">
        <w:t>Brain derived neurotrophic factor (BDNF) increases with exercise, although likely transiently</w:t>
      </w:r>
      <w:r w:rsidRPr="004E28BB">
        <w:rPr>
          <w:rStyle w:val="GuideCitesCharChar"/>
        </w:rPr>
        <w:t xml:space="preserve"> (</w:t>
      </w:r>
      <w:hyperlink w:anchor="Ferris2007" w:history="1">
        <w:r w:rsidRPr="00BA0447">
          <w:rPr>
            <w:rStyle w:val="Hyperlink"/>
            <w:rFonts w:cs="Arial"/>
            <w:highlight w:val="yellow"/>
          </w:rPr>
          <w:t>Ferris, 2007</w:t>
        </w:r>
      </w:hyperlink>
      <w:r w:rsidRPr="008C59B8">
        <w:rPr>
          <w:rStyle w:val="GuideCitesCharChar"/>
          <w:highlight w:val="yellow"/>
        </w:rPr>
        <w:t xml:space="preserve">; </w:t>
      </w:r>
      <w:hyperlink w:anchor="Knaepen2010" w:history="1">
        <w:r w:rsidRPr="00BA0447">
          <w:rPr>
            <w:rStyle w:val="Hyperlink"/>
            <w:rFonts w:cs="Arial"/>
            <w:highlight w:val="yellow"/>
          </w:rPr>
          <w:t>Knaepen, 2010</w:t>
        </w:r>
      </w:hyperlink>
      <w:r w:rsidRPr="004E28BB">
        <w:rPr>
          <w:rStyle w:val="GuideCitesCharChar"/>
        </w:rPr>
        <w:t>)</w:t>
      </w:r>
      <w:r w:rsidR="007A5DB9" w:rsidRPr="004E28BB">
        <w:t xml:space="preserve">. </w:t>
      </w:r>
      <w:r w:rsidRPr="004E28BB">
        <w:t>Animals studies have shown a decrease in BDNF when exercise is begun during the first few weeks</w:t>
      </w:r>
      <w:r w:rsidRPr="004E28BB">
        <w:rPr>
          <w:rStyle w:val="GuideCitesCharChar"/>
        </w:rPr>
        <w:t xml:space="preserve"> (</w:t>
      </w:r>
      <w:hyperlink w:anchor="Graesbach2004a" w:history="1">
        <w:r w:rsidRPr="00BA0447">
          <w:rPr>
            <w:rStyle w:val="Hyperlink"/>
            <w:rFonts w:cs="Arial"/>
            <w:highlight w:val="yellow"/>
          </w:rPr>
          <w:t>Griesbach, 2004a</w:t>
        </w:r>
      </w:hyperlink>
      <w:r w:rsidRPr="00DF149C">
        <w:rPr>
          <w:rStyle w:val="GuideCitesCharChar"/>
          <w:highlight w:val="yellow"/>
        </w:rPr>
        <w:t>,</w:t>
      </w:r>
      <w:hyperlink w:anchor="Graesbach2004b" w:history="1">
        <w:r w:rsidRPr="00BA0447">
          <w:rPr>
            <w:rStyle w:val="Hyperlink"/>
            <w:rFonts w:cs="Arial"/>
            <w:highlight w:val="yellow"/>
          </w:rPr>
          <w:t>b</w:t>
        </w:r>
      </w:hyperlink>
      <w:r w:rsidRPr="00DF149C">
        <w:rPr>
          <w:rStyle w:val="GuideCitesCharChar"/>
          <w:highlight w:val="yellow"/>
        </w:rPr>
        <w:t xml:space="preserve">; </w:t>
      </w:r>
      <w:hyperlink w:anchor="Graesbach2012" w:history="1">
        <w:r w:rsidR="000A3B58" w:rsidRPr="00D96D46">
          <w:rPr>
            <w:rStyle w:val="Hyperlink"/>
            <w:rFonts w:cs="Arial"/>
            <w:highlight w:val="yellow"/>
          </w:rPr>
          <w:t xml:space="preserve">Griesbach </w:t>
        </w:r>
        <w:r w:rsidRPr="00D96D46">
          <w:rPr>
            <w:rStyle w:val="Hyperlink"/>
            <w:rFonts w:cs="Arial"/>
            <w:highlight w:val="yellow"/>
          </w:rPr>
          <w:t>2012</w:t>
        </w:r>
      </w:hyperlink>
      <w:r w:rsidRPr="004E28BB">
        <w:rPr>
          <w:rStyle w:val="GuideCitesCharChar"/>
        </w:rPr>
        <w:t>)</w:t>
      </w:r>
      <w:r w:rsidR="007A5DB9" w:rsidRPr="004E28BB">
        <w:t>.</w:t>
      </w:r>
      <w:r w:rsidR="008B5C98" w:rsidRPr="004E28BB">
        <w:t xml:space="preserve"> </w:t>
      </w:r>
      <w:r w:rsidRPr="004E28BB">
        <w:t xml:space="preserve">Limited physical and cognitive activity is recommended in the first </w:t>
      </w:r>
      <w:r w:rsidR="00316AC2">
        <w:t xml:space="preserve">three </w:t>
      </w:r>
      <w:r w:rsidRPr="004E28BB">
        <w:t>days after a concussion with a gradual increase in activity based on decreased symptoms. Return to full duty depends on the rate of decrease of symptoms. Generally if symptoms recur during increasing job duties or exertion, duties should be decreased slightly</w:t>
      </w:r>
      <w:r w:rsidRPr="004E28BB">
        <w:rPr>
          <w:rStyle w:val="GuideCitesCharChar"/>
        </w:rPr>
        <w:t xml:space="preserve"> (</w:t>
      </w:r>
      <w:hyperlink w:anchor="DefandVetsTBIctr2008" w:history="1">
        <w:r w:rsidRPr="00D96D46">
          <w:rPr>
            <w:rStyle w:val="Hyperlink"/>
            <w:rFonts w:cs="Arial"/>
            <w:highlight w:val="yellow"/>
          </w:rPr>
          <w:t>Defense and Veterans Brain Injury Center, 2008</w:t>
        </w:r>
      </w:hyperlink>
      <w:r w:rsidRPr="004E28BB">
        <w:rPr>
          <w:rStyle w:val="GuideCitesCharChar"/>
        </w:rPr>
        <w:t>)</w:t>
      </w:r>
      <w:r w:rsidR="007A5DB9" w:rsidRPr="004E28BB">
        <w:t>.</w:t>
      </w:r>
      <w:r w:rsidRPr="004E28BB">
        <w:br/>
      </w:r>
      <w:r w:rsidRPr="004E28BB">
        <w:br/>
        <w:t>Indications include the need for cardiovascular fitness, improved muscle strength</w:t>
      </w:r>
      <w:r w:rsidR="000430E9">
        <w:t>,</w:t>
      </w:r>
      <w:r w:rsidRPr="004E28BB">
        <w:t xml:space="preserve"> improved connective tissue strength and integrity, increased bone density, promotion of circulation to enhance soft tissue healing, improvement of muscle recruitment, improved proprioception and coordination, and increased </w:t>
      </w:r>
      <w:r w:rsidR="007C2488">
        <w:t>ROM</w:t>
      </w:r>
      <w:r w:rsidRPr="004E28BB">
        <w:t xml:space="preserve">. </w:t>
      </w:r>
      <w:r w:rsidR="00A279B6" w:rsidRPr="004E28BB">
        <w:br/>
      </w:r>
      <w:r w:rsidRPr="004E28BB">
        <w:br/>
        <w:t>Patients and/or caregivers should be instructed in and receive a home exercise program that is progressed as their functional status improves. Upon discharge, the patient and/or caregiver would be independent in the performance of the home exercise program and would have been educated in the importance of continuing such a program. Educational goals would be to maintain or further improve function and to minimize the risk for aggravation of symptoms in the future.</w:t>
      </w:r>
    </w:p>
    <w:p w:rsidR="000408B7" w:rsidRPr="004E28BB" w:rsidRDefault="000408B7" w:rsidP="00D41D04">
      <w:pPr>
        <w:ind w:left="2160" w:hanging="360"/>
      </w:pPr>
      <w:r w:rsidRPr="004E28BB">
        <w:sym w:font="Wingdings" w:char="F076"/>
      </w:r>
      <w:r w:rsidRPr="004E28BB">
        <w:tab/>
        <w:t>Time to Produce Effect: 2 to 6 treatments.</w:t>
      </w:r>
    </w:p>
    <w:p w:rsidR="000408B7" w:rsidRPr="004E28BB" w:rsidRDefault="000408B7" w:rsidP="00D41D04">
      <w:pPr>
        <w:ind w:left="2160" w:hanging="360"/>
      </w:pPr>
      <w:r w:rsidRPr="004E28BB">
        <w:sym w:font="Wingdings" w:char="F076"/>
      </w:r>
      <w:r w:rsidRPr="004E28BB">
        <w:tab/>
        <w:t>Frequency: 1 to 5 times per week.</w:t>
      </w:r>
    </w:p>
    <w:p w:rsidR="000408B7" w:rsidRPr="004E28BB" w:rsidRDefault="000408B7" w:rsidP="00D41D04">
      <w:pPr>
        <w:ind w:left="2160" w:hanging="360"/>
      </w:pPr>
      <w:r w:rsidRPr="004E28BB">
        <w:sym w:font="Wingdings" w:char="F076"/>
      </w:r>
      <w:r w:rsidRPr="004E28BB">
        <w:tab/>
        <w:t>Optimum Duration: 4 to 8 weeks and concurrent with an active daily home exercise program.</w:t>
      </w:r>
    </w:p>
    <w:p w:rsidR="000408B7" w:rsidRPr="004E28BB" w:rsidRDefault="000408B7" w:rsidP="00D41D04">
      <w:pPr>
        <w:ind w:left="2160" w:hanging="360"/>
      </w:pPr>
      <w:r w:rsidRPr="004E28BB">
        <w:sym w:font="Wingdings" w:char="F076"/>
      </w:r>
      <w:r w:rsidRPr="004E28BB">
        <w:tab/>
        <w:t>Maximum Duration: 8 to 12 weeks of therapist oversight. Home exercise should continue indefinitely.</w:t>
      </w:r>
    </w:p>
    <w:p w:rsidR="00906376" w:rsidRPr="004E28BB" w:rsidRDefault="00906376" w:rsidP="00906376">
      <w:pPr>
        <w:pStyle w:val="ListNumber2"/>
      </w:pPr>
      <w:bookmarkStart w:id="382" w:name="TBIG9DisturbancesOfSleep"/>
      <w:bookmarkStart w:id="383" w:name="_Toc319922574"/>
      <w:bookmarkStart w:id="384" w:name="_Toc328055381"/>
      <w:bookmarkStart w:id="385" w:name="_Toc394643339"/>
      <w:bookmarkEnd w:id="382"/>
      <w:r w:rsidRPr="004E28BB">
        <w:rPr>
          <w:rStyle w:val="Guide2-123Char"/>
        </w:rPr>
        <w:t>DISTURBANCES OF SLEEP</w:t>
      </w:r>
      <w:bookmarkEnd w:id="383"/>
      <w:bookmarkEnd w:id="384"/>
      <w:r w:rsidR="000430E9" w:rsidRPr="000430E9">
        <w:rPr>
          <w:rStyle w:val="Guide2-123Char"/>
          <w:b w:val="0"/>
          <w:u w:val="none"/>
        </w:rPr>
        <w:t>:</w:t>
      </w:r>
      <w:bookmarkEnd w:id="385"/>
      <w:r w:rsidRPr="004E28BB">
        <w:t xml:space="preserve"> </w:t>
      </w:r>
      <w:r w:rsidR="000430E9">
        <w:t>C</w:t>
      </w:r>
      <w:r w:rsidRPr="004E28BB">
        <w:t>ommon in all types of TBI. Objective sleep studies show reduced sleep efficiency, increased sleep onset latency</w:t>
      </w:r>
      <w:r w:rsidR="000430E9">
        <w:t>,</w:t>
      </w:r>
      <w:r w:rsidRPr="004E28BB">
        <w:t xml:space="preserve"> and increas</w:t>
      </w:r>
      <w:r w:rsidR="007A5DB9" w:rsidRPr="004E28BB">
        <w:t>ed time awake after sleep onset</w:t>
      </w:r>
      <w:r w:rsidRPr="004E28BB">
        <w:rPr>
          <w:rStyle w:val="GuideCitesCharChar"/>
        </w:rPr>
        <w:t xml:space="preserve"> (</w:t>
      </w:r>
      <w:hyperlink w:anchor="Ponsford2012" w:history="1">
        <w:r w:rsidRPr="00D96D46">
          <w:rPr>
            <w:rStyle w:val="Hyperlink"/>
            <w:rFonts w:cs="Arial"/>
            <w:highlight w:val="yellow"/>
          </w:rPr>
          <w:t>Ponsford</w:t>
        </w:r>
        <w:r w:rsidR="008B5C98" w:rsidRPr="00D96D46">
          <w:rPr>
            <w:rStyle w:val="Hyperlink"/>
            <w:rFonts w:cs="Arial"/>
            <w:highlight w:val="yellow"/>
          </w:rPr>
          <w:t>,</w:t>
        </w:r>
        <w:r w:rsidRPr="00D96D46">
          <w:rPr>
            <w:rStyle w:val="Hyperlink"/>
            <w:rFonts w:cs="Arial"/>
            <w:highlight w:val="yellow"/>
          </w:rPr>
          <w:t xml:space="preserve"> 2012</w:t>
        </w:r>
      </w:hyperlink>
      <w:r w:rsidRPr="004E28BB">
        <w:rPr>
          <w:rStyle w:val="GuideCitesCharChar"/>
        </w:rPr>
        <w:t>)</w:t>
      </w:r>
      <w:r w:rsidR="007A5DB9" w:rsidRPr="004E28BB">
        <w:t>.</w:t>
      </w:r>
      <w:r w:rsidRPr="004E28BB">
        <w:t xml:space="preserve"> These changes are associated with patient reports of non-restorative sleep. </w:t>
      </w:r>
      <w:r w:rsidR="00825172" w:rsidRPr="004E28BB">
        <w:t xml:space="preserve">Sleep disorders can aggravate neurologic injury. Sleep apnea may be </w:t>
      </w:r>
      <w:r w:rsidR="00825172" w:rsidRPr="004E28BB">
        <w:lastRenderedPageBreak/>
        <w:t xml:space="preserve">associated with endocrine disturbance arising from </w:t>
      </w:r>
      <w:r w:rsidR="0056633D">
        <w:t>TBI</w:t>
      </w:r>
      <w:r w:rsidR="00825172" w:rsidRPr="004E28BB">
        <w:t xml:space="preserve"> and neuroendocrine assessment is highly recommended. Sleep apneas and other sleep disorders should be treated to optimize recovery from </w:t>
      </w:r>
      <w:r w:rsidR="0056633D">
        <w:t>TBI</w:t>
      </w:r>
      <w:r w:rsidR="00825172" w:rsidRPr="004E28BB">
        <w:t xml:space="preserve">. </w:t>
      </w:r>
      <w:r w:rsidR="00825172" w:rsidRPr="004E28BB">
        <w:br/>
      </w:r>
      <w:r w:rsidR="00825172" w:rsidRPr="004E28BB">
        <w:br/>
      </w:r>
      <w:r w:rsidRPr="004E28BB">
        <w:t>Many patients develop behavioral habits that exacerbate and maintain sleep disturbances. Excessive time in bed, irregular sleep routine, napping, low activity, and worrying in bed are all maladaptive responses that can arise in the absence of any psychopathology. There is some evidence that behavioral modification, such as patient education and group or individual counseling, can be effective in re</w:t>
      </w:r>
      <w:r w:rsidR="00410F0C">
        <w:t>versing the effects of insomnia</w:t>
      </w:r>
      <w:r w:rsidRPr="004E28BB">
        <w:t xml:space="preserve"> (Refer to </w:t>
      </w:r>
      <w:r w:rsidR="00221A7D">
        <w:t xml:space="preserve">the </w:t>
      </w:r>
      <w:r w:rsidRPr="004E28BB">
        <w:t>Chronic Pain Guideline</w:t>
      </w:r>
      <w:r w:rsidR="00221A7D">
        <w:t>s</w:t>
      </w:r>
      <w:r w:rsidRPr="004E28BB">
        <w:t>)</w:t>
      </w:r>
      <w:r w:rsidR="00410F0C">
        <w:t xml:space="preserve"> (</w:t>
      </w:r>
      <w:hyperlink w:anchor="Currie2000" w:history="1">
        <w:r w:rsidR="00410F0C" w:rsidRPr="00D96D46">
          <w:rPr>
            <w:rStyle w:val="Hyperlink"/>
            <w:rFonts w:cs="Arial"/>
            <w:highlight w:val="yellow"/>
          </w:rPr>
          <w:t>Currie, 2000</w:t>
        </w:r>
      </w:hyperlink>
      <w:r w:rsidR="00410F0C">
        <w:t xml:space="preserve">). </w:t>
      </w:r>
      <w:r w:rsidRPr="004E28BB">
        <w:t xml:space="preserve"> Behavioral modifications are easily implemented and can include:</w:t>
      </w:r>
    </w:p>
    <w:p w:rsidR="00906376" w:rsidRPr="004E28BB" w:rsidRDefault="00906376" w:rsidP="00906376">
      <w:pPr>
        <w:ind w:left="2160" w:hanging="360"/>
      </w:pPr>
      <w:r w:rsidRPr="004E28BB">
        <w:t>●</w:t>
      </w:r>
      <w:r w:rsidRPr="004E28BB">
        <w:tab/>
        <w:t xml:space="preserve">Maintaining a regular sleep schedule, </w:t>
      </w:r>
      <w:r w:rsidR="000430E9">
        <w:t xml:space="preserve">including </w:t>
      </w:r>
      <w:r w:rsidRPr="004E28BB">
        <w:t>retiring and rising at approximately the same time on weekdays and weekends.</w:t>
      </w:r>
    </w:p>
    <w:p w:rsidR="00906376" w:rsidRPr="004E28BB" w:rsidRDefault="00906376" w:rsidP="00906376">
      <w:pPr>
        <w:ind w:left="2160" w:hanging="360"/>
      </w:pPr>
      <w:r w:rsidRPr="004E28BB">
        <w:t>●</w:t>
      </w:r>
      <w:r w:rsidRPr="004E28BB">
        <w:tab/>
        <w:t>Avoiding daytime napping.</w:t>
      </w:r>
    </w:p>
    <w:p w:rsidR="00906376" w:rsidRPr="004E28BB" w:rsidRDefault="00906376" w:rsidP="00906376">
      <w:pPr>
        <w:ind w:left="2160" w:hanging="360"/>
      </w:pPr>
      <w:r w:rsidRPr="004E28BB">
        <w:t>●</w:t>
      </w:r>
      <w:r w:rsidRPr="004E28BB">
        <w:tab/>
        <w:t>Avoiding caffeinated beverages after lunchtime</w:t>
      </w:r>
      <w:r w:rsidR="0061659E">
        <w:t>.</w:t>
      </w:r>
    </w:p>
    <w:p w:rsidR="00906376" w:rsidRPr="004E28BB" w:rsidRDefault="00906376" w:rsidP="00906376">
      <w:pPr>
        <w:ind w:left="2160" w:hanging="360"/>
      </w:pPr>
      <w:r w:rsidRPr="004E28BB">
        <w:t>●</w:t>
      </w:r>
      <w:r w:rsidRPr="004E28BB">
        <w:tab/>
        <w:t>Making the bedroom quiet and comfortable, eliminating disruptive lights, sounds, television sets, and keeping a bedroom temperature of about 65°F.</w:t>
      </w:r>
    </w:p>
    <w:p w:rsidR="00906376" w:rsidRPr="004E28BB" w:rsidRDefault="00906376" w:rsidP="00906376">
      <w:pPr>
        <w:ind w:left="2160" w:hanging="360"/>
      </w:pPr>
      <w:r w:rsidRPr="004E28BB">
        <w:t>●</w:t>
      </w:r>
      <w:r w:rsidRPr="004E28BB">
        <w:tab/>
        <w:t>Avoiding alcohol or nicotine within two hours of bedtime.</w:t>
      </w:r>
    </w:p>
    <w:p w:rsidR="00906376" w:rsidRPr="004E28BB" w:rsidRDefault="00906376" w:rsidP="00906376">
      <w:pPr>
        <w:ind w:left="2160" w:hanging="360"/>
      </w:pPr>
      <w:r w:rsidRPr="004E28BB">
        <w:t>●</w:t>
      </w:r>
      <w:r w:rsidRPr="004E28BB">
        <w:tab/>
        <w:t>Avoiding large meals within two hours of bedtime.</w:t>
      </w:r>
    </w:p>
    <w:p w:rsidR="00906376" w:rsidRPr="004E28BB" w:rsidRDefault="00906376" w:rsidP="00906376">
      <w:pPr>
        <w:ind w:left="2160" w:hanging="360"/>
      </w:pPr>
      <w:r w:rsidRPr="004E28BB">
        <w:t>●</w:t>
      </w:r>
      <w:r w:rsidRPr="004E28BB">
        <w:tab/>
        <w:t>Exercising vigorously during the day, but not within two hours of bedtime, since this may raise core temperature and activate the nervous system.</w:t>
      </w:r>
    </w:p>
    <w:p w:rsidR="00906376" w:rsidRPr="004E28BB" w:rsidRDefault="00906376" w:rsidP="00906376">
      <w:pPr>
        <w:ind w:left="2160" w:hanging="360"/>
      </w:pPr>
      <w:r w:rsidRPr="004E28BB">
        <w:t>●</w:t>
      </w:r>
      <w:r w:rsidRPr="004E28BB">
        <w:tab/>
        <w:t>Associating the bed with sleep and sexual activity only, using other parts of the home for television, reading</w:t>
      </w:r>
      <w:r w:rsidR="000430E9">
        <w:t>,</w:t>
      </w:r>
      <w:r w:rsidRPr="004E28BB">
        <w:t xml:space="preserve"> and talking on the telephone.</w:t>
      </w:r>
    </w:p>
    <w:p w:rsidR="00906376" w:rsidRPr="004E28BB" w:rsidRDefault="00906376" w:rsidP="00906376">
      <w:pPr>
        <w:ind w:left="2160" w:hanging="360"/>
      </w:pPr>
      <w:r w:rsidRPr="004E28BB">
        <w:t>●</w:t>
      </w:r>
      <w:r w:rsidRPr="004E28BB">
        <w:tab/>
        <w:t xml:space="preserve">Leaving the bedroom when unable to sleep for more than 20 minutes </w:t>
      </w:r>
      <w:r w:rsidR="000430E9">
        <w:t xml:space="preserve">and </w:t>
      </w:r>
      <w:r w:rsidRPr="004E28BB">
        <w:t>returning to the bedroom when ready to sleep again.</w:t>
      </w:r>
    </w:p>
    <w:p w:rsidR="00906376" w:rsidRPr="004E28BB" w:rsidRDefault="00906376" w:rsidP="00906376">
      <w:pPr>
        <w:ind w:left="1440"/>
      </w:pPr>
      <w:r w:rsidRPr="004E28BB">
        <w:t>These modifications should be undertaken before sleeping medication is prescribed for long term use.</w:t>
      </w:r>
      <w:r w:rsidR="00852B3F" w:rsidRPr="004E28BB">
        <w:t xml:space="preserve"> </w:t>
      </w:r>
      <w:r w:rsidR="008B5C98" w:rsidRPr="004E28BB">
        <w:t>Modafinal</w:t>
      </w:r>
      <w:r w:rsidRPr="004E28BB">
        <w:t>, melatonin</w:t>
      </w:r>
      <w:r w:rsidR="000430E9">
        <w:t>,</w:t>
      </w:r>
      <w:r w:rsidRPr="004E28BB">
        <w:t xml:space="preserve"> and light therapy may be helpful for some patients</w:t>
      </w:r>
      <w:r w:rsidRPr="004E28BB">
        <w:rPr>
          <w:rStyle w:val="GuideCitesCharChar"/>
        </w:rPr>
        <w:t xml:space="preserve"> (</w:t>
      </w:r>
      <w:hyperlink w:anchor="Ponsford2012" w:history="1">
        <w:r w:rsidRPr="00D96D46">
          <w:rPr>
            <w:rStyle w:val="Hyperlink"/>
            <w:rFonts w:cs="Arial"/>
            <w:highlight w:val="yellow"/>
          </w:rPr>
          <w:t>Ponsford</w:t>
        </w:r>
        <w:r w:rsidR="00AA4CB3" w:rsidRPr="00D96D46">
          <w:rPr>
            <w:rStyle w:val="Hyperlink"/>
            <w:rFonts w:cs="Arial"/>
            <w:highlight w:val="yellow"/>
          </w:rPr>
          <w:t>,</w:t>
        </w:r>
        <w:r w:rsidRPr="00D96D46">
          <w:rPr>
            <w:rStyle w:val="Hyperlink"/>
            <w:rFonts w:cs="Arial"/>
            <w:highlight w:val="yellow"/>
          </w:rPr>
          <w:t xml:space="preserve"> 2012</w:t>
        </w:r>
      </w:hyperlink>
      <w:r w:rsidRPr="004E28BB">
        <w:rPr>
          <w:rStyle w:val="GuideCitesCharChar"/>
        </w:rPr>
        <w:t>)</w:t>
      </w:r>
      <w:r w:rsidR="007A5DB9" w:rsidRPr="004E28BB">
        <w:t>.</w:t>
      </w:r>
    </w:p>
    <w:p w:rsidR="003661DE" w:rsidRPr="004E28BB" w:rsidRDefault="00840F42" w:rsidP="00D41D04">
      <w:pPr>
        <w:pStyle w:val="Guide1-ABC"/>
      </w:pPr>
      <w:r w:rsidRPr="004E28BB">
        <w:br w:type="page"/>
      </w:r>
      <w:bookmarkStart w:id="386" w:name="TBIHNonOp"/>
      <w:bookmarkStart w:id="387" w:name="OLE_LINK13"/>
      <w:bookmarkStart w:id="388" w:name="_Toc394643340"/>
      <w:bookmarkEnd w:id="386"/>
      <w:r w:rsidR="00A279B6" w:rsidRPr="004E28BB">
        <w:lastRenderedPageBreak/>
        <w:t>NONOPERATIVE THERAPEUTIC PROCEDURES</w:t>
      </w:r>
      <w:r w:rsidR="0061659E">
        <w:t xml:space="preserve"> – </w:t>
      </w:r>
      <w:r w:rsidR="00A279B6" w:rsidRPr="004E28BB">
        <w:t>N</w:t>
      </w:r>
      <w:r w:rsidR="00711ACC" w:rsidRPr="004E28BB">
        <w:t>EUROMEDICAL CONDITIONS in MODERATE/SEVERE BRAIN INJURY</w:t>
      </w:r>
      <w:bookmarkEnd w:id="388"/>
      <w:r w:rsidR="00711ACC" w:rsidRPr="004E28BB">
        <w:t xml:space="preserve"> </w:t>
      </w:r>
    </w:p>
    <w:p w:rsidR="00711ACC" w:rsidRPr="004E28BB" w:rsidRDefault="00711ACC" w:rsidP="00D41D04">
      <w:pPr>
        <w:pStyle w:val="Guide-Main"/>
        <w:ind w:left="720"/>
      </w:pPr>
      <w:r w:rsidRPr="004E28BB">
        <w:rPr>
          <w:rStyle w:val="Guide-MainChar"/>
        </w:rPr>
        <w:t>There are a number of associated neuromedical problems unique to moderate/severe TBI. These conditions often require specialized evaluation and therapeutic interventions by physicians, nurses and relevant interdisciplinary team disciplines. The resultant problems may be classified as follows</w:t>
      </w:r>
      <w:r w:rsidRPr="004E28BB">
        <w:t>:</w:t>
      </w:r>
    </w:p>
    <w:p w:rsidR="00711ACC" w:rsidRPr="004E28BB" w:rsidRDefault="00711ACC" w:rsidP="009C3DC2">
      <w:pPr>
        <w:pStyle w:val="ListNumber2"/>
        <w:numPr>
          <w:ilvl w:val="1"/>
          <w:numId w:val="24"/>
        </w:numPr>
      </w:pPr>
      <w:bookmarkStart w:id="389" w:name="_Toc319922589"/>
      <w:bookmarkStart w:id="390" w:name="_Toc394643341"/>
      <w:r w:rsidRPr="004E28BB">
        <w:rPr>
          <w:rStyle w:val="Guide2-123Char"/>
        </w:rPr>
        <w:t>Neurological Complications</w:t>
      </w:r>
      <w:bookmarkEnd w:id="389"/>
      <w:bookmarkEnd w:id="390"/>
      <w:r w:rsidRPr="004E28BB">
        <w:t xml:space="preserve">: Ongoing evaluation </w:t>
      </w:r>
      <w:r w:rsidR="000430E9">
        <w:t xml:space="preserve">is often necessary </w:t>
      </w:r>
      <w:r w:rsidRPr="004E28BB">
        <w:t>to detect the delayed development of space occupying intraparenchymal lesions, pneumocephalus, hydrocephalus, extra-axial lesions such as subdural and epidural hematomas, and hygromas. If an individual’s neurological status worsens or plateaus, neuroimaging studies may be warranted.</w:t>
      </w:r>
    </w:p>
    <w:p w:rsidR="00711ACC" w:rsidRPr="004E28BB" w:rsidRDefault="00711ACC" w:rsidP="00D41D04">
      <w:pPr>
        <w:pStyle w:val="ListNumber2"/>
      </w:pPr>
      <w:bookmarkStart w:id="391" w:name="_Toc319922590"/>
      <w:bookmarkStart w:id="392" w:name="_Toc394643342"/>
      <w:r w:rsidRPr="004E28BB">
        <w:rPr>
          <w:rStyle w:val="Guide2-123Char"/>
        </w:rPr>
        <w:t>Post-Traumatic Seizures/Post-Traumatic Epilepsy (PTE)</w:t>
      </w:r>
      <w:bookmarkEnd w:id="391"/>
      <w:bookmarkEnd w:id="392"/>
      <w:r w:rsidRPr="004E28BB">
        <w:t xml:space="preserve">: </w:t>
      </w:r>
      <w:bookmarkStart w:id="393" w:name="TBIG12cSpastictyHyperreflexia"/>
      <w:bookmarkStart w:id="394" w:name="_Toc319922592"/>
      <w:bookmarkEnd w:id="393"/>
      <w:r w:rsidRPr="004E28BB">
        <w:t>Major risk factors for the development of PTE include penetrating head wounds, hematoma, depressed skull fracture</w:t>
      </w:r>
      <w:r w:rsidR="000430E9">
        <w:t>,</w:t>
      </w:r>
      <w:r w:rsidRPr="004E28BB">
        <w:t xml:space="preserve"> and early seizures. The issue of seizure prophylaxis remains controversial in high-risk individuals. The role of routine seizure prophylaxis utilizing antiepileptic drugs (AEDs) is recommended for seven to ten days post</w:t>
      </w:r>
      <w:r w:rsidR="007843ED">
        <w:t>-</w:t>
      </w:r>
      <w:r w:rsidRPr="004E28BB">
        <w:t xml:space="preserve">brain trauma. Prophylactic </w:t>
      </w:r>
      <w:r w:rsidR="000430E9">
        <w:t>a</w:t>
      </w:r>
      <w:r w:rsidRPr="004E28BB">
        <w:t>nticonvulsants should not routinely be used after the first week but at times at times may be appropri</w:t>
      </w:r>
      <w:r w:rsidR="007A5DB9" w:rsidRPr="004E28BB">
        <w:t>ate for individual cases</w:t>
      </w:r>
      <w:r w:rsidRPr="004E28BB">
        <w:rPr>
          <w:rStyle w:val="GuideCitesCharChar"/>
        </w:rPr>
        <w:t xml:space="preserve"> (</w:t>
      </w:r>
      <w:hyperlink w:anchor="Chang2003" w:history="1">
        <w:r w:rsidRPr="009018EE">
          <w:rPr>
            <w:rStyle w:val="Hyperlink"/>
            <w:rFonts w:cs="Arial"/>
            <w:highlight w:val="yellow"/>
          </w:rPr>
          <w:t>Chang, 2003</w:t>
        </w:r>
      </w:hyperlink>
      <w:r w:rsidRPr="004E28BB">
        <w:rPr>
          <w:rStyle w:val="GuideCitesCharChar"/>
        </w:rPr>
        <w:t>)</w:t>
      </w:r>
      <w:r w:rsidR="007A5DB9" w:rsidRPr="004E28BB">
        <w:t xml:space="preserve">. </w:t>
      </w:r>
      <w:r w:rsidRPr="004E28BB">
        <w:t xml:space="preserve">The management of late post-traumatic seizures conforms to the treatment of </w:t>
      </w:r>
      <w:r w:rsidR="000430E9">
        <w:t>“</w:t>
      </w:r>
      <w:r w:rsidRPr="004E28BB">
        <w:t>epilepsy.</w:t>
      </w:r>
      <w:r w:rsidR="000430E9">
        <w:t>”</w:t>
      </w:r>
      <w:r w:rsidRPr="004E28BB">
        <w:t xml:space="preserve"> This includes principles of mono-therapy, and compliance, considerations of cognitive</w:t>
      </w:r>
      <w:r w:rsidR="000430E9">
        <w:t>,</w:t>
      </w:r>
      <w:r w:rsidRPr="004E28BB">
        <w:t xml:space="preserve"> behavioral, emotional</w:t>
      </w:r>
      <w:r w:rsidR="000430E9">
        <w:t>,</w:t>
      </w:r>
      <w:r w:rsidRPr="004E28BB">
        <w:t xml:space="preserve"> and psychosocial functioning. </w:t>
      </w:r>
      <w:r w:rsidR="007E0C2F" w:rsidRPr="004E28BB">
        <w:t>Pseudoseizures should be treated by psychological and psychiatric therapy.</w:t>
      </w:r>
    </w:p>
    <w:p w:rsidR="00711ACC" w:rsidRPr="004E28BB" w:rsidRDefault="00711ACC" w:rsidP="00D41D04">
      <w:pPr>
        <w:pStyle w:val="ListNumber2"/>
      </w:pPr>
      <w:bookmarkStart w:id="395" w:name="_Toc394643343"/>
      <w:r w:rsidRPr="004E28BB">
        <w:rPr>
          <w:rStyle w:val="Guide2-123Char"/>
        </w:rPr>
        <w:t>Cardiopulmonary Complications</w:t>
      </w:r>
      <w:bookmarkEnd w:id="394"/>
      <w:bookmarkEnd w:id="395"/>
      <w:r w:rsidRPr="004E28BB">
        <w:t>:</w:t>
      </w:r>
      <w:r w:rsidRPr="004E28BB">
        <w:tab/>
      </w:r>
    </w:p>
    <w:p w:rsidR="00711ACC" w:rsidRPr="004E28BB" w:rsidRDefault="00711ACC" w:rsidP="00D41D04">
      <w:pPr>
        <w:pStyle w:val="ListNumber3"/>
        <w:rPr>
          <w:strike/>
        </w:rPr>
      </w:pPr>
      <w:bookmarkStart w:id="396" w:name="_Toc394643344"/>
      <w:r w:rsidRPr="004E28BB">
        <w:rPr>
          <w:rStyle w:val="Guide3-abcdChar"/>
        </w:rPr>
        <w:t>Cardiac System</w:t>
      </w:r>
      <w:bookmarkEnd w:id="396"/>
      <w:r w:rsidRPr="004E28BB">
        <w:t>: Elevated intracranial pressure and hypoxia may injure the hypothalamus and cardiac regulating centers of the brain, causing pathological changes in autonomic nervous system function. The resulting dysautonomia</w:t>
      </w:r>
      <w:r w:rsidR="000430E9">
        <w:t>,</w:t>
      </w:r>
      <w:r w:rsidRPr="004E28BB">
        <w:t xml:space="preserve"> paroxysmal sympathetic hyperactivity</w:t>
      </w:r>
      <w:r w:rsidR="000430E9">
        <w:t>,</w:t>
      </w:r>
      <w:r w:rsidRPr="004E28BB">
        <w:t xml:space="preserve"> or hyperadrenergic syndrome (autonomic storm) includes fever, hypertension, tachycardia, tachypnea, posturing, and hyperhydrosis (increased sweating and flushing). Hypertension in TBI is associated with tachycardia and increased cardiac output with normal or decreased peripheral vascular resistance. This is different from essential hypertension in which there is normal cardiac output with increased peripheral vascular resistance. The preferred treatment for this type of hypertension from hyperadrenergic activity is a beta adrenergic blocking agent or alpha-2 central agonist. However, these approaches </w:t>
      </w:r>
      <w:r w:rsidR="002523D1" w:rsidRPr="004E28BB">
        <w:t>should</w:t>
      </w:r>
      <w:r w:rsidRPr="004E28BB">
        <w:t xml:space="preserve"> carefully consider the potentially negative cognitive, behavioral</w:t>
      </w:r>
      <w:r w:rsidR="000430E9">
        <w:t>,</w:t>
      </w:r>
      <w:r w:rsidRPr="004E28BB">
        <w:t xml:space="preserve"> and/or emotional side effects of those medications</w:t>
      </w:r>
    </w:p>
    <w:p w:rsidR="00711ACC" w:rsidRPr="004E28BB" w:rsidRDefault="00711ACC" w:rsidP="00D41D04">
      <w:pPr>
        <w:pStyle w:val="ListNumber3"/>
      </w:pPr>
      <w:bookmarkStart w:id="397" w:name="_Toc394643345"/>
      <w:r w:rsidRPr="004E28BB">
        <w:rPr>
          <w:rStyle w:val="Guide3-abcdChar"/>
        </w:rPr>
        <w:t>Pulmonary System</w:t>
      </w:r>
      <w:bookmarkEnd w:id="397"/>
      <w:r w:rsidRPr="004E28BB">
        <w:t>: Moderate/</w:t>
      </w:r>
      <w:r w:rsidR="000430E9">
        <w:t>s</w:t>
      </w:r>
      <w:r w:rsidRPr="004E28BB">
        <w:t>evere TBI and related trauma to the chest wall may adversely affect respiratory function by compromising respiratory drive, swallow reflex</w:t>
      </w:r>
      <w:r w:rsidR="000430E9">
        <w:t>,</w:t>
      </w:r>
      <w:r w:rsidRPr="004E28BB">
        <w:t xml:space="preserve"> and cough. Brain and brain stem injuries also cause abnormal neurogenic breathing patterns and a dysfunctional swallowing mechanism with the potential for aspiration and a weakened cough with poor mobilization of secretions. These individuals are at increased risk for hypoxemia leading to further central nervous system (CNS) injury, pneumonia</w:t>
      </w:r>
      <w:r w:rsidR="000430E9">
        <w:t>,</w:t>
      </w:r>
      <w:r w:rsidRPr="004E28BB">
        <w:t xml:space="preserve"> and adult respiratory distress syndrome. The main principle of therapeutic intervention is the avoidance of respiratory failure with appropriate oxygenation, ventilation</w:t>
      </w:r>
      <w:r w:rsidR="000430E9">
        <w:t>,</w:t>
      </w:r>
      <w:r w:rsidRPr="004E28BB">
        <w:t xml:space="preserve"> and airway control. Treatments may include mechanical ventilation, tracheostomy, routine swallow evaluation to evaluate for aspiration risk, and aggressive pulmonary hygiene.</w:t>
      </w:r>
    </w:p>
    <w:p w:rsidR="00711ACC" w:rsidRPr="004E28BB" w:rsidRDefault="00711ACC" w:rsidP="00D41D04">
      <w:pPr>
        <w:pStyle w:val="ListNumber2"/>
      </w:pPr>
      <w:bookmarkStart w:id="398" w:name="_Toc319922593"/>
      <w:bookmarkStart w:id="399" w:name="_Toc394643346"/>
      <w:r w:rsidRPr="004E28BB">
        <w:rPr>
          <w:rStyle w:val="Guide2-123Char"/>
        </w:rPr>
        <w:lastRenderedPageBreak/>
        <w:t>Sleep Complications</w:t>
      </w:r>
      <w:bookmarkEnd w:id="398"/>
      <w:bookmarkEnd w:id="399"/>
      <w:r w:rsidRPr="004E28BB">
        <w:t>: Sleep disturbance is a relatively common complication following moderate/severe TBI. Common sleep disorders for which individuals are at risk include, but are not limited to, post</w:t>
      </w:r>
      <w:r w:rsidR="000430E9">
        <w:t>-</w:t>
      </w:r>
      <w:r w:rsidRPr="004E28BB">
        <w:t>traumatic hypersomnia, narcolepsy, central sleep apnea, obstructive sleep apnea, nocturnal seizures, periodic limb movement disorder (PLMD), sleep disturbances due to medication and medication side effects, sleep disturbances due to underlying mental health issues and substance abuse and insomnia. Generally accepted subjective measures of post-traumatic sleep disturbance include self-rating scales</w:t>
      </w:r>
      <w:r w:rsidR="000430E9">
        <w:t>;</w:t>
      </w:r>
      <w:r w:rsidRPr="004E28BB">
        <w:t xml:space="preserve"> however</w:t>
      </w:r>
      <w:r w:rsidR="000430E9">
        <w:t>,</w:t>
      </w:r>
      <w:r w:rsidRPr="004E28BB">
        <w:t xml:space="preserve"> in this population</w:t>
      </w:r>
      <w:r w:rsidR="000430E9">
        <w:t>,</w:t>
      </w:r>
      <w:r w:rsidRPr="004E28BB">
        <w:t xml:space="preserve"> it may be preferable to rely on staff when in an inpatient facil</w:t>
      </w:r>
      <w:r w:rsidR="00533FD7" w:rsidRPr="004E28BB">
        <w:t>ity and caregivers when at home.</w:t>
      </w:r>
      <w:r w:rsidRPr="004E28BB">
        <w:t xml:space="preserve"> Objective measures include techniques that monitor changes in select physiologic processes (heart rate, temperature, cortisol levels, blood/oxygen levels, polysomnography, etc.) up to full polysomnography and sleep lab studies. These subjective and objective measures</w:t>
      </w:r>
      <w:r w:rsidR="000430E9">
        <w:t>,</w:t>
      </w:r>
      <w:r w:rsidRPr="004E28BB">
        <w:t xml:space="preserve"> combined with serial clinical evaluation</w:t>
      </w:r>
      <w:r w:rsidR="000430E9">
        <w:t>,</w:t>
      </w:r>
      <w:r w:rsidRPr="004E28BB">
        <w:t xml:space="preserve"> are useful clinical tools in guiding appropriate management. Depending on etiology, management strategies include, but are not limited to, sleep hygiene education, implementation of sleep hygiene, maintaining a normal day/night and wake/sleep cycle, limitation of time in bed </w:t>
      </w:r>
      <w:r w:rsidR="004C00BC">
        <w:t xml:space="preserve">and </w:t>
      </w:r>
      <w:r w:rsidRPr="004E28BB">
        <w:t>naps, surgery, various medical devices (e.g., oral appliance, continuous positive airway pressure)</w:t>
      </w:r>
      <w:r w:rsidR="000430E9">
        <w:t>,</w:t>
      </w:r>
      <w:r w:rsidRPr="004E28BB">
        <w:t xml:space="preserve"> and medication therapy. Also refer to </w:t>
      </w:r>
      <w:r w:rsidR="00811C8B">
        <w:t>Section</w:t>
      </w:r>
      <w:r w:rsidRPr="004E28BB">
        <w:t xml:space="preserve"> </w:t>
      </w:r>
      <w:hyperlink w:anchor="TBIG9DisturbancesOfSleep" w:history="1">
        <w:r w:rsidRPr="004E28BB">
          <w:rPr>
            <w:rStyle w:val="Hyperlink"/>
          </w:rPr>
          <w:t>G.9. Disturbances of Sleep</w:t>
        </w:r>
      </w:hyperlink>
      <w:r w:rsidRPr="004E28BB">
        <w:t>.</w:t>
      </w:r>
    </w:p>
    <w:p w:rsidR="00711ACC" w:rsidRPr="004E28BB" w:rsidRDefault="00711ACC" w:rsidP="00D41D04">
      <w:pPr>
        <w:pStyle w:val="ListNumber2"/>
      </w:pPr>
      <w:bookmarkStart w:id="400" w:name="_Toc319922594"/>
      <w:bookmarkStart w:id="401" w:name="_Toc394643347"/>
      <w:r w:rsidRPr="004E28BB">
        <w:rPr>
          <w:rStyle w:val="Guide2-123Char"/>
        </w:rPr>
        <w:t>Musculoskeletal Complications</w:t>
      </w:r>
      <w:bookmarkEnd w:id="400"/>
      <w:bookmarkEnd w:id="401"/>
      <w:r w:rsidRPr="004E28BB">
        <w:t>:</w:t>
      </w:r>
    </w:p>
    <w:p w:rsidR="00711ACC" w:rsidRPr="004E28BB" w:rsidRDefault="00711ACC" w:rsidP="00D41D04">
      <w:pPr>
        <w:pStyle w:val="ListNumber3"/>
      </w:pPr>
      <w:bookmarkStart w:id="402" w:name="_Toc394643348"/>
      <w:r w:rsidRPr="004E28BB">
        <w:rPr>
          <w:rStyle w:val="Guide3-abcdChar"/>
        </w:rPr>
        <w:t>Long-Bone Fractures</w:t>
      </w:r>
      <w:bookmarkEnd w:id="402"/>
      <w:r w:rsidRPr="004E28BB">
        <w:t>: When long-bone fractures occur in individuals with a TBI, aggressive, early surgical treatment is recommended within two to twelve hours after injury, provid</w:t>
      </w:r>
      <w:r w:rsidR="000430E9">
        <w:t>ed that</w:t>
      </w:r>
      <w:r w:rsidRPr="004E28BB">
        <w:t xml:space="preserve"> hemodynamic stability has been achieved. This would include open reduction and internal fixation, although the specific optimal technique has not been well-documented. Maximal functional use of all extremities should be the goal in this early phase of care. Early stabilization allows the prevention of prolonged immobility that has the subsequent greater risk of infection, venous thrombosis development, pulmonary complications, skin breakdown</w:t>
      </w:r>
      <w:r w:rsidR="000430E9">
        <w:t>,</w:t>
      </w:r>
      <w:r w:rsidRPr="004E28BB">
        <w:t xml:space="preserve"> and contractures. Fracture healing challenges unique to TBI include the deforming effect spasticity exerts on fracture alignment and an exaggerated healing response. Non</w:t>
      </w:r>
      <w:r w:rsidR="0053165C">
        <w:t>-</w:t>
      </w:r>
      <w:r w:rsidRPr="004E28BB">
        <w:t>compliance secondary to confusion and agitation often requires reinforced immobilization, strategies</w:t>
      </w:r>
      <w:r w:rsidR="000430E9">
        <w:t>,</w:t>
      </w:r>
      <w:r w:rsidRPr="004E28BB">
        <w:t xml:space="preserve"> and prolonged time frames of immobilization</w:t>
      </w:r>
      <w:r w:rsidR="000430E9">
        <w:t>,</w:t>
      </w:r>
      <w:r w:rsidRPr="004E28BB">
        <w:t xml:space="preserve"> and </w:t>
      </w:r>
      <w:r w:rsidR="000430E9">
        <w:t xml:space="preserve">it </w:t>
      </w:r>
      <w:r w:rsidRPr="004E28BB">
        <w:t>may preclude the use of common eternal fixation devices. Therefore, it is generally accepted that early, aggressive, surgical management with an emphasis on internal fixation</w:t>
      </w:r>
      <w:r w:rsidR="00202675">
        <w:t xml:space="preserve"> </w:t>
      </w:r>
      <w:r w:rsidR="004C00BC">
        <w:t>should</w:t>
      </w:r>
      <w:r w:rsidRPr="004E28BB">
        <w:t xml:space="preserve"> be instituted </w:t>
      </w:r>
      <w:r w:rsidR="004C00BC">
        <w:t xml:space="preserve">to allow for early mobilization </w:t>
      </w:r>
      <w:r w:rsidRPr="004E28BB">
        <w:t>when medically indicated in this population.</w:t>
      </w:r>
    </w:p>
    <w:p w:rsidR="00711ACC" w:rsidRPr="004E28BB" w:rsidRDefault="00711ACC" w:rsidP="00D41D04">
      <w:pPr>
        <w:pStyle w:val="ListNumber3"/>
      </w:pPr>
      <w:bookmarkStart w:id="403" w:name="_Toc394643349"/>
      <w:r w:rsidRPr="004E28BB">
        <w:rPr>
          <w:rStyle w:val="Guide3-abcdChar"/>
        </w:rPr>
        <w:t>Heterotopic Ossification (HO)</w:t>
      </w:r>
      <w:bookmarkEnd w:id="403"/>
      <w:r w:rsidRPr="004E28BB">
        <w:t xml:space="preserve">: </w:t>
      </w:r>
      <w:r w:rsidR="000430E9">
        <w:t>D</w:t>
      </w:r>
      <w:r w:rsidRPr="004E28BB">
        <w:t>efined as the development of new bone formation in soft tissue planes surrounding neurologically affected joints, especially the hips, elbows, shoulder and knees, in order of common concurrence. Research puts the incidence at 11</w:t>
      </w:r>
      <w:r w:rsidR="0078565B">
        <w:t>–</w:t>
      </w:r>
      <w:r w:rsidRPr="004E28BB">
        <w:t>75</w:t>
      </w:r>
      <w:r w:rsidR="007A5DB9" w:rsidRPr="004E28BB">
        <w:t xml:space="preserve">% following </w:t>
      </w:r>
      <w:r w:rsidR="0078565B">
        <w:t>m</w:t>
      </w:r>
      <w:r w:rsidR="007A5DB9" w:rsidRPr="004E28BB">
        <w:t>oderate/</w:t>
      </w:r>
      <w:r w:rsidR="0078565B">
        <w:t>s</w:t>
      </w:r>
      <w:r w:rsidR="007A5DB9" w:rsidRPr="004E28BB">
        <w:t>evere TBI</w:t>
      </w:r>
      <w:r w:rsidR="00C552CE" w:rsidRPr="004E28BB">
        <w:rPr>
          <w:rStyle w:val="GuideCitesCharChar"/>
        </w:rPr>
        <w:t xml:space="preserve"> </w:t>
      </w:r>
      <w:r w:rsidRPr="004E28BB">
        <w:rPr>
          <w:rStyle w:val="GuideCitesCharChar"/>
        </w:rPr>
        <w:t>(</w:t>
      </w:r>
      <w:hyperlink w:anchor="Harrington2008" w:history="1">
        <w:r w:rsidRPr="009018EE">
          <w:rPr>
            <w:rStyle w:val="Hyperlink"/>
            <w:rFonts w:cs="Arial"/>
            <w:highlight w:val="yellow"/>
          </w:rPr>
          <w:t xml:space="preserve">Harrington, </w:t>
        </w:r>
        <w:r w:rsidR="000A3B58" w:rsidRPr="009018EE">
          <w:rPr>
            <w:rStyle w:val="Hyperlink"/>
            <w:rFonts w:cs="Arial"/>
            <w:highlight w:val="yellow"/>
          </w:rPr>
          <w:t>2008</w:t>
        </w:r>
      </w:hyperlink>
      <w:r w:rsidRPr="004E28BB">
        <w:rPr>
          <w:rStyle w:val="GuideCitesCharChar"/>
        </w:rPr>
        <w:t>)</w:t>
      </w:r>
      <w:r w:rsidR="007A5DB9" w:rsidRPr="004E28BB">
        <w:t>.</w:t>
      </w:r>
      <w:r w:rsidRPr="004E28BB">
        <w:t xml:space="preserve"> If diagnosis and treatment are delayed, ankylosis (bony fusion) may occur with consequent functional limits in mobility. Additional risk factors that often accompany TBI include spinal cord injury, tissue hypoxia, venous stasis, spasticity</w:t>
      </w:r>
      <w:r w:rsidR="0078565B">
        <w:t>,</w:t>
      </w:r>
      <w:r w:rsidRPr="004E28BB">
        <w:t xml:space="preserve"> and autonomic dysfunction. The greatest risk for development is within the first six months post-injury. Observation by nurses and physical therapists is essential and may include documentation of decreased ROM, joint inflammation, pain</w:t>
      </w:r>
      <w:r w:rsidR="0078565B">
        <w:t>,</w:t>
      </w:r>
      <w:r w:rsidRPr="004E28BB">
        <w:t xml:space="preserve"> and/or a low-grade fever. Appropriate work-up may include laboratory studies revealing an elevated sedimentation rate and/or alkaline phosphatase with a normal complete blood count (CBC). Plain x-rays are necessary and appropriate; however, the most sensitive radiological study includes the three-phase bone scan and/or gallium scan, MRI, and color Doppler ultrasound. These may be necessary in both the initial diagnostic and follow-up phases to guide treatment. Optimal treatment outcome involves early diagnosis, ROM exercise, and the use of disodium etidronate, which prevents </w:t>
      </w:r>
      <w:r w:rsidRPr="004E28BB">
        <w:lastRenderedPageBreak/>
        <w:t>mineralization. Other treatment options include non-steroidal anti-inflammatory drugs (NSAIDs), radiation</w:t>
      </w:r>
      <w:r w:rsidR="0078565B">
        <w:t>,</w:t>
      </w:r>
      <w:r w:rsidRPr="004E28BB">
        <w:t xml:space="preserve"> and surgery in the chronic state.</w:t>
      </w:r>
    </w:p>
    <w:p w:rsidR="00711ACC" w:rsidRPr="004E28BB" w:rsidRDefault="00711ACC" w:rsidP="00D41D04">
      <w:pPr>
        <w:pStyle w:val="ListNumber2"/>
      </w:pPr>
      <w:bookmarkStart w:id="404" w:name="_Toc319922595"/>
      <w:bookmarkStart w:id="405" w:name="_Toc394643350"/>
      <w:r w:rsidRPr="004E28BB">
        <w:rPr>
          <w:rStyle w:val="Guide2-123Char"/>
        </w:rPr>
        <w:t>Gastrointestinal Complications</w:t>
      </w:r>
      <w:bookmarkEnd w:id="404"/>
      <w:bookmarkEnd w:id="405"/>
      <w:r w:rsidRPr="004E28BB">
        <w:t xml:space="preserve">: Individuals with </w:t>
      </w:r>
      <w:r w:rsidR="0078565B">
        <w:t>m</w:t>
      </w:r>
      <w:r w:rsidRPr="004E28BB">
        <w:t>oderate/</w:t>
      </w:r>
      <w:r w:rsidR="0078565B">
        <w:t>s</w:t>
      </w:r>
      <w:r w:rsidRPr="004E28BB">
        <w:t>evere TBI have demonstrated delays in gastric emptying with frequent regurgitation of nasogastric administered feedings. This, accompanied with dysphagia and/or an inadequate swallow reflex, place</w:t>
      </w:r>
      <w:r w:rsidR="0078565B">
        <w:t>s</w:t>
      </w:r>
      <w:r w:rsidRPr="004E28BB">
        <w:t xml:space="preserve"> the individual at risk for aspiration pneumonia. Dysphagic individuals and those at risk may require total parenteral nutrition (TPN), gastric and/or post-pyloric feeding techniques. Either a endoscopically placed percutaneous (PEG) or surgically placed gastrostomy and/or jejunostomy may be necessary for adequate ongoing nutritional support. Individuals with gastrointestinal hypomotility may require medications. Also</w:t>
      </w:r>
      <w:r w:rsidR="0078565B">
        <w:t>,</w:t>
      </w:r>
      <w:r w:rsidRPr="004E28BB">
        <w:t xml:space="preserve"> erosive gastritis may be a frequent complication, and the use of H2 blockers, proton pump inhibitors (PPIs)</w:t>
      </w:r>
      <w:r w:rsidR="0078565B">
        <w:t>,</w:t>
      </w:r>
      <w:r w:rsidRPr="004E28BB">
        <w:t xml:space="preserve"> and antacid treatments are usually efficacious. Individuals with TBI may also be at risk for neurogenic bowel</w:t>
      </w:r>
      <w:r w:rsidR="0078565B">
        <w:t>,</w:t>
      </w:r>
      <w:r w:rsidRPr="004E28BB">
        <w:t xml:space="preserve"> which includes constipation, impactions, bowel obstructions</w:t>
      </w:r>
      <w:r w:rsidR="0078565B">
        <w:t>,</w:t>
      </w:r>
      <w:r w:rsidRPr="004E28BB">
        <w:t xml:space="preserve"> and/or loose stools. A nursing care regimen on a routine and then consultative basis, may be necessary to establish routine bowel programs.</w:t>
      </w:r>
    </w:p>
    <w:p w:rsidR="00711ACC" w:rsidRPr="004E28BB" w:rsidRDefault="00711ACC" w:rsidP="00D41D04">
      <w:pPr>
        <w:pStyle w:val="ListNumber2"/>
      </w:pPr>
      <w:bookmarkStart w:id="406" w:name="_Toc319922596"/>
      <w:bookmarkStart w:id="407" w:name="_Toc394643351"/>
      <w:r w:rsidRPr="004E28BB">
        <w:rPr>
          <w:rStyle w:val="Guide2-123Char"/>
        </w:rPr>
        <w:t>Genitourinary Complications</w:t>
      </w:r>
      <w:bookmarkEnd w:id="406"/>
      <w:bookmarkEnd w:id="407"/>
      <w:r w:rsidRPr="004E28BB">
        <w:t>: Moderate/severe TBI may involve cerebral structures controlling bladder storage and emptying functions. This may result in a neurogenic bladder. Treatment of a neurogenic bladder is aimed at adequate emptying, prevention and treatment of infection, preservation of upper renal tract function</w:t>
      </w:r>
      <w:r w:rsidR="0078565B">
        <w:t>,</w:t>
      </w:r>
      <w:r w:rsidRPr="004E28BB">
        <w:t xml:space="preserve"> and avoidance of skin soiling from incontinence. An indwelling urethral catheter is often appropriate in the early stages of recovery. Once the urethral catheter is discontinued, either a condom catheter or diaper/adult brief is used for incontinence.</w:t>
      </w:r>
      <w:r w:rsidRPr="004E28BB">
        <w:br/>
      </w:r>
      <w:r w:rsidRPr="004E28BB">
        <w:br/>
        <w:t xml:space="preserve">Following assessment of bladder emptying utilizing ultrasonography for post-void residual checks and urodynamic studies, decisions may be made regarding longer-term management strategies. This may include intermittent catheterization or rehabilitative bladder training utilizing anticholinergic medications and time-interval voiding techniques. Urological consultation and more comprehensive diagnostic studies that may include, but are not limited to, cystoscopy, urodynamics, and renal functions studies may also be necessary. Sexual dysfunction may also occur, secondary to </w:t>
      </w:r>
      <w:r w:rsidR="0078565B">
        <w:t>m</w:t>
      </w:r>
      <w:r w:rsidRPr="004E28BB">
        <w:t>oderate/</w:t>
      </w:r>
      <w:r w:rsidR="0078565B">
        <w:t>s</w:t>
      </w:r>
      <w:r w:rsidRPr="004E28BB">
        <w:t>evere TBI</w:t>
      </w:r>
      <w:r w:rsidR="0078565B">
        <w:t>.</w:t>
      </w:r>
      <w:r w:rsidRPr="004E28BB">
        <w:t xml:space="preserve"> </w:t>
      </w:r>
      <w:r w:rsidR="0078565B">
        <w:t>E</w:t>
      </w:r>
      <w:r w:rsidRPr="004E28BB">
        <w:t>xamples include disinhibition, arousal disorders, and erectile dysfunction. If present, comprehensive assessment is appropriate in guiding therapeutic management.</w:t>
      </w:r>
    </w:p>
    <w:p w:rsidR="00711ACC" w:rsidRPr="004E28BB" w:rsidRDefault="00711ACC" w:rsidP="00D41D04">
      <w:pPr>
        <w:pStyle w:val="ListNumber2"/>
      </w:pPr>
      <w:bookmarkStart w:id="408" w:name="_Toc319922597"/>
      <w:bookmarkStart w:id="409" w:name="_Toc394643352"/>
      <w:r w:rsidRPr="004E28BB">
        <w:rPr>
          <w:rStyle w:val="Guide2-123Char"/>
        </w:rPr>
        <w:t>Neuroendocrine Complications</w:t>
      </w:r>
      <w:bookmarkEnd w:id="408"/>
      <w:bookmarkEnd w:id="409"/>
      <w:r w:rsidRPr="004E28BB">
        <w:t>: Neuroendocrine abnormalities following Moderate/Severe TBI are common. Hypopituitarism occurs in approximately 28% of all TBI and although more common in moderate/severe TBI</w:t>
      </w:r>
      <w:r w:rsidR="0078565B">
        <w:t>,</w:t>
      </w:r>
      <w:r w:rsidRPr="004E28BB">
        <w:t xml:space="preserve"> may also occur in </w:t>
      </w:r>
      <w:r w:rsidR="0078565B">
        <w:t>M</w:t>
      </w:r>
      <w:r w:rsidRPr="004E28BB">
        <w:t>TBI with a r</w:t>
      </w:r>
      <w:r w:rsidR="007A5DB9" w:rsidRPr="004E28BB">
        <w:t>ate approximating 17%</w:t>
      </w:r>
      <w:r w:rsidRPr="004E28BB">
        <w:rPr>
          <w:rStyle w:val="GuideCitesCharChar"/>
        </w:rPr>
        <w:t xml:space="preserve"> (</w:t>
      </w:r>
      <w:hyperlink w:anchor="Schneider2007" w:history="1">
        <w:r w:rsidRPr="009018EE">
          <w:rPr>
            <w:rStyle w:val="Hyperlink"/>
            <w:rFonts w:cs="Arial"/>
            <w:highlight w:val="yellow"/>
          </w:rPr>
          <w:t>Schneider, 2007</w:t>
        </w:r>
      </w:hyperlink>
      <w:r w:rsidRPr="004E28BB">
        <w:rPr>
          <w:rStyle w:val="GuideCitesCharChar"/>
        </w:rPr>
        <w:t>)</w:t>
      </w:r>
      <w:r w:rsidR="007A5DB9" w:rsidRPr="004E28BB">
        <w:t>.</w:t>
      </w:r>
      <w:r w:rsidRPr="004E28BB">
        <w:t xml:space="preserve"> The degree of neuroendocrine dysfunction may vary based on differential injuries to the hypothalamus, anterior/posterior pituitary, upper or lower portions of the pituitary stalk</w:t>
      </w:r>
      <w:r w:rsidR="0078565B">
        <w:t>,</w:t>
      </w:r>
      <w:r w:rsidRPr="004E28BB">
        <w:t xml:space="preserve"> and connections to other brain and brainstem structures. Secondary endocrine effects may include, but are not limited to</w:t>
      </w:r>
      <w:r w:rsidR="0078565B">
        <w:t>,</w:t>
      </w:r>
      <w:r w:rsidRPr="004E28BB">
        <w:t xml:space="preserve"> the abnormalities of the following: salt and water metabolism including syndrome of inappropriate antidiuretic hormone (SIADH) and temporary or permanent diabetes insipidus (DI), thyroid function, sexual function, hormonal reproductive function, control of body temperature, ACTH-cortisol levels, glucose metabolism, gonadotropin</w:t>
      </w:r>
      <w:r w:rsidR="0078565B">
        <w:t>,</w:t>
      </w:r>
      <w:r w:rsidRPr="004E28BB">
        <w:t xml:space="preserve"> and growth hormones. These potential complications may require specialized medical evaluation and treatment if correlative symptoms exist and/or persist. Pharmaceutical treatment for other complications may also </w:t>
      </w:r>
      <w:r w:rsidR="0078565B">
        <w:t>a</w:t>
      </w:r>
      <w:r w:rsidRPr="004E28BB">
        <w:t xml:space="preserve">ffect endocrine systems and require treatment. </w:t>
      </w:r>
    </w:p>
    <w:p w:rsidR="00711ACC" w:rsidRPr="004E28BB" w:rsidRDefault="00711ACC" w:rsidP="00D41D04">
      <w:pPr>
        <w:pStyle w:val="ListNumber2"/>
      </w:pPr>
      <w:bookmarkStart w:id="410" w:name="_Toc319922598"/>
      <w:bookmarkStart w:id="411" w:name="_Toc394643353"/>
      <w:r w:rsidRPr="004E28BB">
        <w:rPr>
          <w:rStyle w:val="Guide2-123Char"/>
        </w:rPr>
        <w:t>Fluid and Electrolyte Complications</w:t>
      </w:r>
      <w:bookmarkEnd w:id="410"/>
      <w:bookmarkEnd w:id="411"/>
      <w:r w:rsidRPr="004E28BB">
        <w:t xml:space="preserve">: </w:t>
      </w:r>
      <w:r w:rsidR="0078565B">
        <w:t>A</w:t>
      </w:r>
      <w:r w:rsidRPr="004E28BB">
        <w:t xml:space="preserve">bnormalities in individuals with </w:t>
      </w:r>
      <w:r w:rsidR="0078565B">
        <w:t>m</w:t>
      </w:r>
      <w:r w:rsidRPr="004E28BB">
        <w:t>oderate/</w:t>
      </w:r>
      <w:r w:rsidR="0078565B">
        <w:t>s</w:t>
      </w:r>
      <w:r w:rsidRPr="004E28BB">
        <w:t xml:space="preserve">evere TBI are usually iatrogenic or trauma induced. Specific problems may include, but are not limited to, a resulting water and salt retention with decreased urine output. There may also be problems with hyponatremia from inappropriate antidiuretic hormone, cerebral salt wasting, and increased production of aldosterone. Also, </w:t>
      </w:r>
      <w:r w:rsidRPr="004E28BB">
        <w:lastRenderedPageBreak/>
        <w:t>hypernatremia from dehydration or DI may occur. This may require careful evaluation with laboratory studies initially and serially on a follow-up basis.</w:t>
      </w:r>
    </w:p>
    <w:p w:rsidR="00711ACC" w:rsidRPr="004E28BB" w:rsidRDefault="00711ACC" w:rsidP="00D41D04">
      <w:pPr>
        <w:pStyle w:val="ListNumber2"/>
      </w:pPr>
      <w:bookmarkStart w:id="412" w:name="_Toc319922599"/>
      <w:bookmarkStart w:id="413" w:name="_Toc394643354"/>
      <w:r w:rsidRPr="004E28BB">
        <w:rPr>
          <w:rStyle w:val="Guide2-123Char"/>
        </w:rPr>
        <w:t>Immobilization and Disuse Complications</w:t>
      </w:r>
      <w:bookmarkEnd w:id="412"/>
      <w:bookmarkEnd w:id="413"/>
      <w:r w:rsidRPr="004E28BB">
        <w:t xml:space="preserve">: In an comatose individual, skin is at risk for the development of pressure decubitus ulcers that may slowly progress and increase </w:t>
      </w:r>
      <w:r w:rsidR="0078565B">
        <w:t xml:space="preserve">the </w:t>
      </w:r>
      <w:r w:rsidRPr="004E28BB">
        <w:t>length of hospital stays. Tissue pressure, shear</w:t>
      </w:r>
      <w:r w:rsidR="0078565B">
        <w:t>,</w:t>
      </w:r>
      <w:r w:rsidRPr="004E28BB">
        <w:t xml:space="preserve"> and deformation cause the ischemia. Vigilant rehabilitation nursing including accurate staging, specialized beds, wheelchair cushions, padding, positioning</w:t>
      </w:r>
      <w:r w:rsidR="0078565B">
        <w:t>,</w:t>
      </w:r>
      <w:r w:rsidRPr="004E28BB">
        <w:t xml:space="preserve"> and weight shift management</w:t>
      </w:r>
      <w:r w:rsidR="0078565B">
        <w:t>,</w:t>
      </w:r>
      <w:r w:rsidRPr="004E28BB">
        <w:t xml:space="preserve"> protects the individual from these complications.</w:t>
      </w:r>
    </w:p>
    <w:p w:rsidR="00840F42" w:rsidRPr="004E28BB" w:rsidRDefault="00711ACC" w:rsidP="00D41D04">
      <w:pPr>
        <w:pStyle w:val="ListNumber2"/>
      </w:pPr>
      <w:bookmarkStart w:id="414" w:name="_Toc319922600"/>
      <w:bookmarkStart w:id="415" w:name="_Toc394643355"/>
      <w:r w:rsidRPr="004E28BB">
        <w:rPr>
          <w:rStyle w:val="Guide2-123Char"/>
        </w:rPr>
        <w:t>Vascular Complications</w:t>
      </w:r>
      <w:bookmarkEnd w:id="414"/>
      <w:bookmarkEnd w:id="415"/>
      <w:r w:rsidRPr="004E28BB">
        <w:t xml:space="preserve">: Individuals with TBI are at risk for developing deep venous thrombosis (DVT) and pulmonary embolus (PE). Since diagnosis by clinical examination is difficult in this population, a high degree of suspicion is warranted. While in the hospital, daily nursing screening with lower extremity measurements is recommended. Abnormalities requiring confirmation may entail noninvasive studies such as Doppler ultrasonographic flow examination and impedance plethysmography. Also, hematologic conditions, such as, but not limited to, coagulopathies may require comprehensive specialized hematologic evaluation. It is generally accepted that prophylaxis with low molecular weight heparin, intermittent compression devices (ICDs), or sequential compression stockings may reduce the incidence of both complications. If the diagnostic use of noninvasive studies as mentioned are equivocal and/or </w:t>
      </w:r>
      <w:r w:rsidR="0053165C">
        <w:t>non-</w:t>
      </w:r>
      <w:r w:rsidRPr="004E28BB">
        <w:t>confirmatory, then venography and/or angiography may be necessary. If thrombotic complications occur, standard treatment includes intravenous heparin or subcutaneous low molecular weight heparin followed by oral warfarin sodium. Other newer pharmaceutical agents may also be appropriate. If neuromedical risks of anticoagulation are present and/or complications related to anticoagulation or progressive thrombosis arise, then placement of an inferior vena cava filter may be necessary.</w:t>
      </w:r>
    </w:p>
    <w:p w:rsidR="00711ACC" w:rsidRPr="004E28BB" w:rsidRDefault="00840F42" w:rsidP="00D41D04">
      <w:pPr>
        <w:pStyle w:val="Guide1-ABC"/>
      </w:pPr>
      <w:r w:rsidRPr="004E28BB">
        <w:br w:type="page"/>
      </w:r>
      <w:bookmarkStart w:id="416" w:name="TBIINonOp"/>
      <w:bookmarkStart w:id="417" w:name="_Toc394643356"/>
      <w:bookmarkEnd w:id="387"/>
      <w:bookmarkEnd w:id="416"/>
      <w:r w:rsidR="003B4CBC" w:rsidRPr="004E28BB">
        <w:lastRenderedPageBreak/>
        <w:t>NONOPERATIVE THERAPEUTIC PROCEDURES – REHABILITATION</w:t>
      </w:r>
      <w:bookmarkEnd w:id="417"/>
    </w:p>
    <w:p w:rsidR="003B4CBC" w:rsidRPr="004E28BB" w:rsidRDefault="003B4CBC" w:rsidP="009C3DC2">
      <w:pPr>
        <w:pStyle w:val="ListNumber2"/>
        <w:numPr>
          <w:ilvl w:val="1"/>
          <w:numId w:val="25"/>
        </w:numPr>
      </w:pPr>
      <w:bookmarkStart w:id="418" w:name="OLE_LINK14"/>
      <w:bookmarkStart w:id="419" w:name="_Toc394643357"/>
      <w:r w:rsidRPr="004E28BB">
        <w:rPr>
          <w:rStyle w:val="Guide2-123Char"/>
        </w:rPr>
        <w:t>INTERDISCIPLINARY REHABILITATION PROGRAMS</w:t>
      </w:r>
      <w:bookmarkEnd w:id="419"/>
      <w:r w:rsidR="00212E30" w:rsidRPr="004E28BB">
        <w:t>:</w:t>
      </w:r>
      <w:r w:rsidRPr="004E28BB">
        <w:t xml:space="preserve"> </w:t>
      </w:r>
      <w:r w:rsidR="00125071">
        <w:t>T</w:t>
      </w:r>
      <w:r w:rsidRPr="004E28BB">
        <w:t xml:space="preserve">he recommended treatment for individuals with MTBI who have not responded to less intensive modes of treatment and for moderate/severe TBI. These programs should assess the impact of the injury on the patient’s medical, physical, psychological, social, and/or vocational functioning. The number of professions involved in the team in a TBI program may vary due to the complexity of the needs of the person served. The Division recommends consideration of referral to an interdisciplinary program based on </w:t>
      </w:r>
      <w:r w:rsidR="00125071">
        <w:t xml:space="preserve">the </w:t>
      </w:r>
      <w:r w:rsidRPr="004E28BB">
        <w:t xml:space="preserve">results of a </w:t>
      </w:r>
      <w:r w:rsidR="00C552CE" w:rsidRPr="004E28BB">
        <w:t>comprehensive</w:t>
      </w:r>
      <w:r w:rsidRPr="004E28BB">
        <w:t xml:space="preserve"> neuropsychologica</w:t>
      </w:r>
      <w:r w:rsidR="00C44041" w:rsidRPr="004E28BB">
        <w:t>l and/or psychiatric assessment,</w:t>
      </w:r>
      <w:r w:rsidRPr="004E28BB">
        <w:t xml:space="preserve"> </w:t>
      </w:r>
      <w:r w:rsidR="00125071">
        <w:t xml:space="preserve">which should be conducted </w:t>
      </w:r>
      <w:r w:rsidR="00C44041" w:rsidRPr="004E28BB">
        <w:t>p</w:t>
      </w:r>
      <w:r w:rsidRPr="004E28BB">
        <w:t>ost-injury in MTBI individuals with delayed recovery and as soon as appropriate for more severe cases.</w:t>
      </w:r>
      <w:r w:rsidR="009B0153">
        <w:t xml:space="preserve"> The sequencing of treatment is based on the individual’s ability to tolerate and benefit from the specific therapies. For example, a patient with severe balance problems will be unable to participate in physical rehabilitation. </w:t>
      </w:r>
      <w:r w:rsidR="00C552CE" w:rsidRPr="004E28BB">
        <w:br/>
      </w:r>
      <w:r w:rsidRPr="004E28BB">
        <w:br/>
        <w:t xml:space="preserve">Patients with addiction and/or substance abuse problems or high dose opioid or other drugs of potential abuse may require inpatient and/or outpatient chemical dependency treatment programs before or in conjunction with other interdisciplinary rehabilitation. Guidelines from the American Society of Addiction Medicine are available and may be consulted relating to the intensity of services required for different classes of patients in order to achieve successful treatment. </w:t>
      </w:r>
      <w:r w:rsidRPr="004E28BB">
        <w:br/>
      </w:r>
      <w:r w:rsidRPr="004E28BB">
        <w:br/>
        <w:t xml:space="preserve">Interdisciplinary programs may be considered for patients who are currently employed, those who cannot attend all day programs, those with language barriers, or those living in areas not offering formal programs. Before treatment has been initiated, the patient, patient’s </w:t>
      </w:r>
      <w:r w:rsidR="00387A03">
        <w:t>family and/or support system</w:t>
      </w:r>
      <w:r w:rsidRPr="004E28BB">
        <w:t xml:space="preserve">, physician, and insurer should agree on </w:t>
      </w:r>
      <w:r w:rsidR="00125071">
        <w:t xml:space="preserve">the </w:t>
      </w:r>
      <w:r w:rsidRPr="004E28BB">
        <w:t>treatment approach, methods, and goals. Generally the type of outpatient program needed will depend on the degree of impact the injury has had on the patient’s medical, physical, psychological, social</w:t>
      </w:r>
      <w:r w:rsidR="00125071">
        <w:t>,</w:t>
      </w:r>
      <w:r w:rsidRPr="004E28BB">
        <w:t xml:space="preserve"> and/or vocational functioning. There is some evidence that intensive therapy, 15 hours/week for 16 weeks in a group setting emphasizing integration of cognitive, interpersonal</w:t>
      </w:r>
      <w:r w:rsidR="00125071">
        <w:t>,</w:t>
      </w:r>
      <w:r w:rsidRPr="004E28BB">
        <w:t xml:space="preserve"> and functional gains, is superior to the same amount of therapy fro</w:t>
      </w:r>
      <w:r w:rsidR="007A5DB9" w:rsidRPr="004E28BB">
        <w:t>m multiple individual providers</w:t>
      </w:r>
      <w:r w:rsidRPr="004E28BB">
        <w:rPr>
          <w:rStyle w:val="GuideCitesCharChar"/>
        </w:rPr>
        <w:t xml:space="preserve"> (</w:t>
      </w:r>
      <w:hyperlink w:anchor="Cicerone2008" w:history="1">
        <w:r w:rsidRPr="009018EE">
          <w:rPr>
            <w:rStyle w:val="Hyperlink"/>
            <w:rFonts w:cs="Arial"/>
            <w:highlight w:val="yellow"/>
          </w:rPr>
          <w:t>Cicerone, 2008</w:t>
        </w:r>
      </w:hyperlink>
      <w:r w:rsidRPr="004E28BB">
        <w:rPr>
          <w:rStyle w:val="GuideCitesCharChar"/>
        </w:rPr>
        <w:t>)</w:t>
      </w:r>
      <w:r w:rsidR="007A5DB9" w:rsidRPr="004E28BB">
        <w:t>.</w:t>
      </w:r>
      <w:r w:rsidRPr="004E28BB">
        <w:br/>
      </w:r>
      <w:r w:rsidRPr="004E28BB">
        <w:br/>
        <w:t xml:space="preserve">When referring a patient for integrated interdisciplinary rehabilitation, the Division recommends the program meets the criteria of the Commission on Accreditation of Rehabilitation Facilities (CARF). </w:t>
      </w:r>
      <w:r w:rsidRPr="004E28BB">
        <w:br/>
      </w:r>
      <w:r w:rsidRPr="004E28BB">
        <w:br/>
        <w:t xml:space="preserve">There is good evidence that MTBI patients without </w:t>
      </w:r>
      <w:r w:rsidR="00FA2FC4">
        <w:t>PTA</w:t>
      </w:r>
      <w:r w:rsidRPr="004E28BB">
        <w:t xml:space="preserve"> do not require </w:t>
      </w:r>
      <w:r w:rsidR="007A5DB9" w:rsidRPr="004E28BB">
        <w:t>routine multi-disciplinary care</w:t>
      </w:r>
      <w:r w:rsidRPr="004E28BB">
        <w:rPr>
          <w:rStyle w:val="GuideCitesCharChar"/>
        </w:rPr>
        <w:t xml:space="preserve"> (</w:t>
      </w:r>
      <w:r w:rsidRPr="00C90E07">
        <w:rPr>
          <w:rStyle w:val="GuideCitesCharChar"/>
          <w:highlight w:val="yellow"/>
        </w:rPr>
        <w:t>[</w:t>
      </w:r>
      <w:hyperlink w:anchor="TurnerStokes2005" w:history="1">
        <w:r w:rsidRPr="009018EE">
          <w:rPr>
            <w:rStyle w:val="Hyperlink"/>
            <w:rFonts w:cs="Arial"/>
            <w:highlight w:val="yellow"/>
          </w:rPr>
          <w:t>Cochrane] Turner-Stokes, 2005</w:t>
        </w:r>
      </w:hyperlink>
      <w:r w:rsidRPr="004E28BB">
        <w:rPr>
          <w:rStyle w:val="GuideCitesCharChar"/>
        </w:rPr>
        <w:t>)</w:t>
      </w:r>
      <w:r w:rsidR="007A5DB9" w:rsidRPr="004E28BB">
        <w:t xml:space="preserve">. </w:t>
      </w:r>
      <w:r w:rsidRPr="004E28BB">
        <w:t xml:space="preserve">Inpatient rehabilitation programs are rarely needed for MTBI but may be necessary for patients with any of the following conditions: (a) High risk for medical instability; (b) Moderate-to-severe impairment of functional status; (c) Moderate impairment of cognitive and/or emotional status; (d) Dependence on medications from which he or she needs to be withdrawn; and (e) </w:t>
      </w:r>
      <w:r w:rsidR="00125071">
        <w:t>T</w:t>
      </w:r>
      <w:r w:rsidRPr="004E28BB">
        <w:t xml:space="preserve">he need for 24-hour supervision. </w:t>
      </w:r>
      <w:r w:rsidRPr="004E28BB">
        <w:br/>
      </w:r>
      <w:r w:rsidRPr="004E28BB">
        <w:br/>
      </w:r>
      <w:r w:rsidR="00801993" w:rsidRPr="004E28BB">
        <w:t>P</w:t>
      </w:r>
      <w:r w:rsidRPr="004E28BB">
        <w:t>rograms should include the following dimensions:</w:t>
      </w:r>
    </w:p>
    <w:p w:rsidR="003B4CBC" w:rsidRPr="004E28BB" w:rsidRDefault="003B4CBC" w:rsidP="00D41D04">
      <w:pPr>
        <w:ind w:left="2160" w:hanging="360"/>
      </w:pPr>
      <w:r w:rsidRPr="004E28BB">
        <w:t>●</w:t>
      </w:r>
      <w:r w:rsidRPr="004E28BB">
        <w:tab/>
      </w:r>
      <w:r w:rsidRPr="004E28BB">
        <w:rPr>
          <w:u w:val="single"/>
        </w:rPr>
        <w:t>Communication</w:t>
      </w:r>
      <w:r w:rsidRPr="004E28BB">
        <w:t xml:space="preserve">: To ensure positive functional outcomes, communication between the patient, insurer and all professionals involved must be coordinated and consistent. Any exchange of information </w:t>
      </w:r>
      <w:r w:rsidR="002523D1" w:rsidRPr="004E28BB">
        <w:t>should</w:t>
      </w:r>
      <w:r w:rsidRPr="004E28BB">
        <w:t xml:space="preserve"> be provided to all professionals, including the patient. Care decisions should be communicated to all and should include the family </w:t>
      </w:r>
      <w:r w:rsidR="00387A03">
        <w:t>and/or</w:t>
      </w:r>
      <w:r w:rsidRPr="004E28BB">
        <w:t xml:space="preserve"> support system.</w:t>
      </w:r>
    </w:p>
    <w:p w:rsidR="003B4CBC" w:rsidRPr="004E28BB" w:rsidRDefault="003B4CBC" w:rsidP="00D41D04">
      <w:pPr>
        <w:ind w:left="2160" w:hanging="360"/>
      </w:pPr>
      <w:r w:rsidRPr="004E28BB">
        <w:lastRenderedPageBreak/>
        <w:t>●</w:t>
      </w:r>
      <w:r w:rsidRPr="004E28BB">
        <w:tab/>
      </w:r>
      <w:r w:rsidRPr="004E28BB">
        <w:rPr>
          <w:u w:val="single"/>
        </w:rPr>
        <w:t>Documentation</w:t>
      </w:r>
      <w:r w:rsidRPr="004E28BB">
        <w:t xml:space="preserve">: </w:t>
      </w:r>
      <w:r w:rsidR="00C44041" w:rsidRPr="004E28BB">
        <w:t>A</w:t>
      </w:r>
      <w:r w:rsidRPr="004E28BB">
        <w:t xml:space="preserve">ll professionals </w:t>
      </w:r>
      <w:r w:rsidR="00C44041" w:rsidRPr="004E28BB">
        <w:t>are expected to maintain thorough documentation regarding</w:t>
      </w:r>
      <w:r w:rsidRPr="004E28BB">
        <w:t xml:space="preserve"> discussions with the patient</w:t>
      </w:r>
      <w:r w:rsidR="00125071">
        <w:t>/</w:t>
      </w:r>
      <w:r w:rsidRPr="004E28BB">
        <w:t>caregiver</w:t>
      </w:r>
      <w:r w:rsidR="00125071">
        <w:t>s</w:t>
      </w:r>
      <w:r w:rsidR="00C44041" w:rsidRPr="004E28BB">
        <w:t>.</w:t>
      </w:r>
      <w:r w:rsidRPr="004E28BB">
        <w:t xml:space="preserve"> </w:t>
      </w:r>
      <w:r w:rsidR="00C44041" w:rsidRPr="004E28BB">
        <w:t>I</w:t>
      </w:r>
      <w:r w:rsidRPr="004E28BB">
        <w:t xml:space="preserve">t should be clear that functional goals are being actively pursued and measured on a regular basis to determine their achievement or need for modification. All programs should be able to assess activity limitation, participation restrictions, environmental factors, heath status and impairments in a manner consistent with the ICF </w:t>
      </w:r>
      <w:r w:rsidR="00221A7D">
        <w:t>G</w:t>
      </w:r>
      <w:r w:rsidRPr="004E28BB">
        <w:t xml:space="preserve">uidelines </w:t>
      </w:r>
      <w:r w:rsidR="00756447">
        <w:t>(r</w:t>
      </w:r>
      <w:r w:rsidRPr="004E28BB">
        <w:t xml:space="preserve">efer to </w:t>
      </w:r>
      <w:r w:rsidR="00212E30">
        <w:t xml:space="preserve">Section </w:t>
      </w:r>
      <w:hyperlink w:anchor="TBIC5Disability" w:history="1">
        <w:r w:rsidRPr="004E28BB">
          <w:rPr>
            <w:rStyle w:val="Hyperlink"/>
          </w:rPr>
          <w:t>C.5. Disability</w:t>
        </w:r>
      </w:hyperlink>
      <w:r w:rsidR="00756447">
        <w:t>)</w:t>
      </w:r>
      <w:r w:rsidRPr="004E28BB">
        <w:t>.</w:t>
      </w:r>
    </w:p>
    <w:p w:rsidR="003B4CBC" w:rsidRPr="004E28BB" w:rsidRDefault="003B4CBC" w:rsidP="00D41D04">
      <w:pPr>
        <w:ind w:left="2160" w:hanging="360"/>
      </w:pPr>
      <w:r w:rsidRPr="004E28BB">
        <w:t>●</w:t>
      </w:r>
      <w:r w:rsidRPr="004E28BB">
        <w:tab/>
      </w:r>
      <w:r w:rsidRPr="004E28BB">
        <w:rPr>
          <w:u w:val="single"/>
        </w:rPr>
        <w:t>Patient Education</w:t>
      </w:r>
      <w:r w:rsidRPr="004E28BB">
        <w:t>: Patients with TBI need to re-establish a healthy balance in lifestyle. All providers should educate</w:t>
      </w:r>
      <w:r w:rsidR="00C44041" w:rsidRPr="004E28BB">
        <w:t xml:space="preserve"> and provide training and resources for</w:t>
      </w:r>
      <w:r w:rsidRPr="004E28BB">
        <w:t xml:space="preserve"> patients/caregivers on how to overcome barriers to resuming daily activity, including management of behavioral issues, cognitive losses, decreased energy levels, financial constraints, decreased physical ability, and change in family </w:t>
      </w:r>
      <w:r w:rsidR="005C7D65">
        <w:t xml:space="preserve">and/or support system </w:t>
      </w:r>
      <w:r w:rsidRPr="004E28BB">
        <w:t>dynamics.</w:t>
      </w:r>
    </w:p>
    <w:p w:rsidR="003B4CBC" w:rsidRPr="004E28BB" w:rsidRDefault="003B4CBC" w:rsidP="00D41D04">
      <w:pPr>
        <w:ind w:left="2160" w:hanging="360"/>
      </w:pPr>
      <w:r w:rsidRPr="004E28BB">
        <w:t>●</w:t>
      </w:r>
      <w:r w:rsidRPr="004E28BB">
        <w:tab/>
      </w:r>
      <w:r w:rsidRPr="004E28BB">
        <w:rPr>
          <w:u w:val="single"/>
        </w:rPr>
        <w:t>Neuropsychological Evaluation and Treatment</w:t>
      </w:r>
      <w:r w:rsidRPr="004E28BB">
        <w:t xml:space="preserve">: Initial full neuropsychological evaluation should occur with periodic assessments to </w:t>
      </w:r>
      <w:r w:rsidR="00C44041" w:rsidRPr="004E28BB">
        <w:t>document</w:t>
      </w:r>
      <w:r w:rsidRPr="004E28BB">
        <w:t xml:space="preserve"> progress and re-evaluate treatment plans. Treatment may include cognitive, behavioral</w:t>
      </w:r>
      <w:r w:rsidR="00125071">
        <w:t>,</w:t>
      </w:r>
      <w:r w:rsidRPr="004E28BB">
        <w:t xml:space="preserve"> and psychological aspects.</w:t>
      </w:r>
    </w:p>
    <w:p w:rsidR="003B4CBC" w:rsidRPr="004E28BB" w:rsidRDefault="003B4CBC" w:rsidP="00D41D04">
      <w:pPr>
        <w:ind w:left="2160" w:hanging="360"/>
      </w:pPr>
      <w:r w:rsidRPr="004E28BB">
        <w:t>●</w:t>
      </w:r>
      <w:r w:rsidRPr="004E28BB">
        <w:tab/>
      </w:r>
      <w:r w:rsidRPr="004E28BB">
        <w:rPr>
          <w:u w:val="single"/>
        </w:rPr>
        <w:t>Psychosocial Evaluation and Treatment</w:t>
      </w:r>
      <w:r w:rsidRPr="004E28BB">
        <w:t>: Psychosocial evaluation should be initiated, if not previously done. Providers of care should have a thorough understanding of the patient’s personality profile</w:t>
      </w:r>
      <w:r w:rsidR="00125071">
        <w:t>,</w:t>
      </w:r>
      <w:r w:rsidRPr="004E28BB">
        <w:t xml:space="preserve"> especially if dependency issues are involved. Psychosocial treatment may enhance the patient’s ability to participate in rehabilitation, manage stress, and increase their problem-solving and self-management skills.</w:t>
      </w:r>
    </w:p>
    <w:p w:rsidR="003B4CBC" w:rsidRPr="004E28BB" w:rsidRDefault="003B4CBC" w:rsidP="00D41D04">
      <w:pPr>
        <w:ind w:left="2160" w:hanging="360"/>
      </w:pPr>
      <w:r w:rsidRPr="004E28BB">
        <w:t>●</w:t>
      </w:r>
      <w:r w:rsidRPr="004E28BB">
        <w:tab/>
      </w:r>
      <w:r w:rsidRPr="004E28BB">
        <w:rPr>
          <w:u w:val="single"/>
        </w:rPr>
        <w:t>Treatment Modalities</w:t>
      </w:r>
      <w:r w:rsidRPr="004E28BB">
        <w:t>: Use of modalities may be necessary early in the process to facilitate compliance with and tolerance to therapeutic exercise, physical conditioning, and increasing functional activities for moderate</w:t>
      </w:r>
      <w:r w:rsidR="00125071">
        <w:t>/</w:t>
      </w:r>
      <w:r w:rsidRPr="004E28BB">
        <w:t xml:space="preserve">severe TBI. Active treatments should be emphasized over passive treatments. Active treatments should encourage self-coping skills and compensatory behavior, which can be continued independently at home or at work. Treatments that can foster a sense of dependency by the patient on the caregiver should be avoided. Treatment length should be decided based on observed functional improvement. A complete list of active and passive therapies is included in </w:t>
      </w:r>
      <w:r w:rsidR="00811C8B">
        <w:t>Section</w:t>
      </w:r>
      <w:r w:rsidR="002A2F13" w:rsidRPr="004E28BB">
        <w:t>s</w:t>
      </w:r>
      <w:r w:rsidRPr="004E28BB">
        <w:t xml:space="preserve"> </w:t>
      </w:r>
      <w:hyperlink w:anchor="TBIGTherapeuticProceduresNonOp" w:history="1">
        <w:r w:rsidRPr="004E28BB">
          <w:rPr>
            <w:rStyle w:val="Hyperlink"/>
          </w:rPr>
          <w:t xml:space="preserve">G. </w:t>
        </w:r>
        <w:r w:rsidR="002A2F13" w:rsidRPr="004E28BB">
          <w:rPr>
            <w:rStyle w:val="Hyperlink"/>
          </w:rPr>
          <w:t xml:space="preserve">Nonoperative </w:t>
        </w:r>
        <w:r w:rsidRPr="004E28BB">
          <w:rPr>
            <w:rStyle w:val="Hyperlink"/>
          </w:rPr>
          <w:t>Therapeutic Procedures</w:t>
        </w:r>
        <w:r w:rsidR="002A2F13" w:rsidRPr="004E28BB">
          <w:rPr>
            <w:rStyle w:val="Hyperlink"/>
          </w:rPr>
          <w:t xml:space="preserve"> – Initial Treatment Considerations</w:t>
        </w:r>
        <w:r w:rsidRPr="004E28BB">
          <w:rPr>
            <w:rStyle w:val="Hyperlink"/>
          </w:rPr>
          <w:t>,</w:t>
        </w:r>
      </w:hyperlink>
      <w:r w:rsidR="002A2F13" w:rsidRPr="004E28BB">
        <w:t xml:space="preserve"> </w:t>
      </w:r>
      <w:hyperlink w:anchor="TBIHNonOp" w:history="1">
        <w:r w:rsidR="002A2F13" w:rsidRPr="004E28BB">
          <w:rPr>
            <w:rStyle w:val="Hyperlink"/>
            <w:rFonts w:cs="Arial"/>
          </w:rPr>
          <w:t>H. Nonoperative Therapeutic Procedures – Neuromedical Conditions in Moderate/Severe Brain Injury</w:t>
        </w:r>
      </w:hyperlink>
      <w:r w:rsidR="002A2F13" w:rsidRPr="004E28BB">
        <w:t xml:space="preserve">, </w:t>
      </w:r>
      <w:hyperlink w:anchor="TBIINonOp" w:history="1">
        <w:r w:rsidR="002A2F13" w:rsidRPr="004E28BB">
          <w:rPr>
            <w:rStyle w:val="Hyperlink"/>
            <w:rFonts w:cs="Arial"/>
          </w:rPr>
          <w:t>I. Nonoperative Therapeutic Procedures – Rehabilitation</w:t>
        </w:r>
      </w:hyperlink>
      <w:r w:rsidR="002A2F13" w:rsidRPr="004E28BB">
        <w:t xml:space="preserve">, </w:t>
      </w:r>
      <w:hyperlink w:anchor="TBIJNonOp" w:history="1">
        <w:r w:rsidR="002A2F13" w:rsidRPr="004E28BB">
          <w:rPr>
            <w:rStyle w:val="Hyperlink"/>
            <w:rFonts w:cs="Arial"/>
          </w:rPr>
          <w:t>J. Nonoperative Therapeutic Procedures – Vision, Speech, Swallowing, Balance &amp; Hearing</w:t>
        </w:r>
      </w:hyperlink>
      <w:r w:rsidR="002A2F13" w:rsidRPr="004E28BB">
        <w:t xml:space="preserve">, and </w:t>
      </w:r>
      <w:hyperlink w:anchor="TBIKNonOp" w:history="1">
        <w:r w:rsidR="002A2F13" w:rsidRPr="004E28BB">
          <w:rPr>
            <w:rStyle w:val="Hyperlink"/>
            <w:rFonts w:cs="Arial"/>
          </w:rPr>
          <w:t xml:space="preserve">K. Nonoperative Therapeutic Procedures – </w:t>
        </w:r>
        <w:r w:rsidR="00125071">
          <w:rPr>
            <w:rStyle w:val="Hyperlink"/>
            <w:rFonts w:cs="Arial"/>
          </w:rPr>
          <w:t>Return to W</w:t>
        </w:r>
        <w:r w:rsidR="00387A03">
          <w:rPr>
            <w:rStyle w:val="Hyperlink"/>
            <w:rFonts w:cs="Arial"/>
          </w:rPr>
          <w:t>ork</w:t>
        </w:r>
        <w:r w:rsidR="002A2F13" w:rsidRPr="004E28BB">
          <w:rPr>
            <w:rStyle w:val="Hyperlink"/>
            <w:rFonts w:cs="Arial"/>
          </w:rPr>
          <w:t>, Driving &amp; Other</w:t>
        </w:r>
      </w:hyperlink>
      <w:r w:rsidR="002A2F13" w:rsidRPr="004E28BB">
        <w:t>.</w:t>
      </w:r>
      <w:r w:rsidRPr="004E28BB">
        <w:t xml:space="preserve"> All treatment time frames may be extended based on the patient’s positive functional improvement.</w:t>
      </w:r>
    </w:p>
    <w:p w:rsidR="003B4CBC" w:rsidRPr="004E28BB" w:rsidRDefault="003B4CBC" w:rsidP="00D41D04">
      <w:pPr>
        <w:ind w:left="2160" w:hanging="360"/>
      </w:pPr>
      <w:r w:rsidRPr="004E28BB">
        <w:t>●</w:t>
      </w:r>
      <w:r w:rsidRPr="004E28BB">
        <w:tab/>
      </w:r>
      <w:r w:rsidRPr="004E28BB">
        <w:rPr>
          <w:u w:val="single"/>
        </w:rPr>
        <w:t>Therapeutic Exercise Programs</w:t>
      </w:r>
      <w:r w:rsidRPr="004E28BB">
        <w:t>: A therapeutic exercise program should be initiated at the start of any treatment rehabilitation. Such programs should emphasize education, independence, and the importance of an on-going exercise regime. For MTBI there is no sufficient evidence to support the recommendation of any particular exercise regimen ov</w:t>
      </w:r>
      <w:r w:rsidR="004F2219" w:rsidRPr="004E28BB">
        <w:t xml:space="preserve">er any other exercise regimen. </w:t>
      </w:r>
    </w:p>
    <w:p w:rsidR="003B4CBC" w:rsidRPr="004E28BB" w:rsidRDefault="003B4CBC" w:rsidP="00D41D04">
      <w:pPr>
        <w:ind w:left="2160" w:hanging="360"/>
      </w:pPr>
      <w:r w:rsidRPr="004E28BB">
        <w:t>●</w:t>
      </w:r>
      <w:r w:rsidRPr="004E28BB">
        <w:tab/>
      </w:r>
      <w:r w:rsidR="00125071">
        <w:rPr>
          <w:u w:val="single"/>
        </w:rPr>
        <w:t>Return to W</w:t>
      </w:r>
      <w:r w:rsidR="00387A03">
        <w:rPr>
          <w:u w:val="single"/>
        </w:rPr>
        <w:t>ork</w:t>
      </w:r>
      <w:r w:rsidRPr="004E28BB">
        <w:t xml:space="preserve">: Rehabilitation programs should provide assistance in creating work profiles. For more specific information regarding </w:t>
      </w:r>
      <w:r w:rsidR="00387A03">
        <w:t>return to work</w:t>
      </w:r>
      <w:r w:rsidRPr="004E28BB">
        <w:t xml:space="preserve">, refer to </w:t>
      </w:r>
      <w:r w:rsidR="00811C8B">
        <w:t>Section</w:t>
      </w:r>
      <w:r w:rsidRPr="004E28BB">
        <w:t xml:space="preserve"> </w:t>
      </w:r>
      <w:hyperlink w:anchor="TBIK2ReturnToWork" w:history="1">
        <w:r w:rsidR="004D5B20" w:rsidRPr="004E28BB">
          <w:rPr>
            <w:rStyle w:val="Hyperlink"/>
          </w:rPr>
          <w:t>K.</w:t>
        </w:r>
        <w:r w:rsidRPr="004E28BB">
          <w:rPr>
            <w:rStyle w:val="Hyperlink"/>
          </w:rPr>
          <w:t xml:space="preserve">2 </w:t>
        </w:r>
        <w:r w:rsidR="00125071">
          <w:rPr>
            <w:rStyle w:val="Hyperlink"/>
          </w:rPr>
          <w:t>Return to W</w:t>
        </w:r>
        <w:r w:rsidR="00387A03">
          <w:rPr>
            <w:rStyle w:val="Hyperlink"/>
          </w:rPr>
          <w:t>ork</w:t>
        </w:r>
      </w:hyperlink>
      <w:r w:rsidRPr="004E28BB">
        <w:t>.</w:t>
      </w:r>
    </w:p>
    <w:p w:rsidR="003B4CBC" w:rsidRPr="004E28BB" w:rsidRDefault="003B4CBC" w:rsidP="00D41D04">
      <w:pPr>
        <w:ind w:left="2160" w:hanging="360"/>
      </w:pPr>
      <w:r w:rsidRPr="004E28BB">
        <w:lastRenderedPageBreak/>
        <w:t>●</w:t>
      </w:r>
      <w:r w:rsidRPr="004E28BB">
        <w:tab/>
      </w:r>
      <w:r w:rsidRPr="004E28BB">
        <w:rPr>
          <w:u w:val="single"/>
        </w:rPr>
        <w:t>Vocational Assistance</w:t>
      </w:r>
      <w:r w:rsidRPr="004E28BB">
        <w:t>: Vocational assistance can define future employment opportunities or assist patients in obtaining future employment</w:t>
      </w:r>
      <w:r w:rsidR="00756447">
        <w:t xml:space="preserve"> (r</w:t>
      </w:r>
      <w:r w:rsidRPr="004E28BB">
        <w:t xml:space="preserve">efer to </w:t>
      </w:r>
      <w:r w:rsidR="00811C8B">
        <w:t>Section</w:t>
      </w:r>
      <w:r w:rsidRPr="004E28BB">
        <w:t xml:space="preserve"> </w:t>
      </w:r>
      <w:hyperlink w:anchor="TBIK2ReturnToWork" w:history="1">
        <w:r w:rsidR="004D5B20" w:rsidRPr="004E28BB">
          <w:rPr>
            <w:rStyle w:val="Hyperlink"/>
          </w:rPr>
          <w:t>K</w:t>
        </w:r>
        <w:r w:rsidRPr="004E28BB">
          <w:rPr>
            <w:rStyle w:val="Hyperlink"/>
          </w:rPr>
          <w:t xml:space="preserve">.2 </w:t>
        </w:r>
        <w:r w:rsidR="00125071">
          <w:rPr>
            <w:rStyle w:val="Hyperlink"/>
          </w:rPr>
          <w:t>Return to W</w:t>
        </w:r>
        <w:r w:rsidR="00387A03">
          <w:rPr>
            <w:rStyle w:val="Hyperlink"/>
          </w:rPr>
          <w:t>ork</w:t>
        </w:r>
      </w:hyperlink>
      <w:r w:rsidRPr="004E28BB">
        <w:t xml:space="preserve"> for detailed information</w:t>
      </w:r>
      <w:r w:rsidR="00756447">
        <w:t>)</w:t>
      </w:r>
      <w:r w:rsidRPr="004E28BB">
        <w:t>.</w:t>
      </w:r>
    </w:p>
    <w:p w:rsidR="003B4CBC" w:rsidRPr="004E28BB" w:rsidRDefault="003B4CBC" w:rsidP="00D41D04">
      <w:pPr>
        <w:ind w:left="1440"/>
      </w:pPr>
      <w:r w:rsidRPr="004E28BB">
        <w:t>Interdisciplinary brain injury programs are characterized by a variety of disciplines that participate in the assessment, planning, and/or implementation of the treatment program. These programs provide outcome</w:t>
      </w:r>
      <w:r w:rsidR="00125071">
        <w:t xml:space="preserve"> </w:t>
      </w:r>
      <w:r w:rsidRPr="004E28BB">
        <w:t>focused, coordinated, goal-oriented interdisciplinary team services to measure and improve the functioning of persons and are for patients with greater levels of perceived disability, dysfunction, de-conditioning</w:t>
      </w:r>
      <w:r w:rsidR="00125071">
        <w:t>,</w:t>
      </w:r>
      <w:r w:rsidRPr="004E28BB">
        <w:t xml:space="preserve"> and psychological involvement. Programs should have sufficient personnel to work with the individual in the following areas: behavior</w:t>
      </w:r>
      <w:r w:rsidR="00125071">
        <w:t>al</w:t>
      </w:r>
      <w:r w:rsidRPr="004E28BB">
        <w:t>, functional, medical, cognitive, pain management, psychological, social</w:t>
      </w:r>
      <w:r w:rsidR="00125071">
        <w:t>,</w:t>
      </w:r>
      <w:r w:rsidRPr="004E28BB">
        <w:t xml:space="preserve"> and vocational. All programs for moderate/severe TBI should be able to address all of the associated neuromedical conditions listed in this guideline. Programs should share information about the scope of the services and the outcomes achieved with patients, authorized providers, and insurers.</w:t>
      </w:r>
    </w:p>
    <w:p w:rsidR="003B4CBC" w:rsidRPr="004E28BB" w:rsidRDefault="003B4CBC" w:rsidP="00D41D04">
      <w:pPr>
        <w:ind w:left="1440"/>
      </w:pPr>
      <w:r w:rsidRPr="004E28BB">
        <w:t>The following programs are listed in alphabetical order.</w:t>
      </w:r>
    </w:p>
    <w:p w:rsidR="003B4CBC" w:rsidRPr="004E28BB" w:rsidRDefault="003B4CBC" w:rsidP="00D41D04">
      <w:pPr>
        <w:pStyle w:val="ListNumber3"/>
        <w:rPr>
          <w:i/>
        </w:rPr>
      </w:pPr>
      <w:bookmarkStart w:id="420" w:name="TBII1aBehavioralPrograms"/>
      <w:bookmarkStart w:id="421" w:name="_Toc394643358"/>
      <w:bookmarkEnd w:id="420"/>
      <w:r w:rsidRPr="004E28BB">
        <w:rPr>
          <w:rStyle w:val="Guide3-abcdChar"/>
        </w:rPr>
        <w:t>Behavioral Programs</w:t>
      </w:r>
      <w:bookmarkEnd w:id="421"/>
      <w:r w:rsidRPr="004E28BB">
        <w:t xml:space="preserve">: </w:t>
      </w:r>
      <w:r w:rsidR="00125071">
        <w:t>G</w:t>
      </w:r>
      <w:r w:rsidR="00C44041" w:rsidRPr="004E28BB">
        <w:t>enerally accepted</w:t>
      </w:r>
      <w:r w:rsidRPr="004E28BB">
        <w:t xml:space="preserve"> TBI inpatient or residential rehabilitation programs designed for individuals with </w:t>
      </w:r>
      <w:r w:rsidR="0056633D">
        <w:t>TBI</w:t>
      </w:r>
      <w:r w:rsidRPr="004E28BB">
        <w:t xml:space="preserve"> who have persistent and significant maladaptive behaviors. While all </w:t>
      </w:r>
      <w:r w:rsidR="0056633D">
        <w:t>TBI</w:t>
      </w:r>
      <w:r w:rsidRPr="004E28BB">
        <w:t xml:space="preserve"> rehabilitation programs treat behavior, behavioral programs are usually required for individuals who are unsafe, or who have suicidal, homicidal, or violent behavior and individuals who cannot be treated in less restrictive environments. Behavioral programs may be physically located in secured hospital units or</w:t>
      </w:r>
      <w:r w:rsidR="00125071">
        <w:t xml:space="preserve"> in</w:t>
      </w:r>
      <w:r w:rsidRPr="004E28BB">
        <w:t xml:space="preserve"> community-based residential programs, which may also be secured.</w:t>
      </w:r>
      <w:r w:rsidRPr="004E28BB">
        <w:br/>
      </w:r>
      <w:r w:rsidRPr="004E28BB">
        <w:br/>
        <w:t>Behavioral programs generally use an interdisciplinary approach that may include behavior analysis and modification, medications, socialization skills training, substance abuse treatment, family therapy</w:t>
      </w:r>
      <w:r w:rsidR="00125071">
        <w:t>,</w:t>
      </w:r>
      <w:r w:rsidRPr="004E28BB">
        <w:t xml:space="preserve"> and physical management programs, as well as traditional interdisciplinary treatment. Length of stay may greatly vary depending on etiology and severity of the behavioral disorders and may typically range from one to six months or longer. Upon discharge from behavioral programs, disposition is either back to inpatient acute rehabilitation, inpatient programs, supported living programs or home and community-based programs. Use of psychiatric hospitals that are not experienced in </w:t>
      </w:r>
      <w:r w:rsidR="0056633D">
        <w:t>TBI</w:t>
      </w:r>
      <w:r w:rsidRPr="004E28BB">
        <w:t xml:space="preserve"> rehabilitation is not recommended. Behavioral programs are also appropriate for severe behavioral problems due to other concomitant diagnoses, such as alcohol or substance abuse, and psychiatric disorders, including any personality disorders. Categorical adolescent inpatient hospital and residential programs may be appropriate for adolescent behavioral disorders due to TBI.</w:t>
      </w:r>
      <w:bookmarkStart w:id="422" w:name="TBIG11aBehavioralPrograms"/>
      <w:bookmarkEnd w:id="422"/>
      <w:r w:rsidRPr="004E28BB">
        <w:t xml:space="preserve"> Programs should be accredited by Joint Commission.</w:t>
      </w:r>
      <w:bookmarkStart w:id="423" w:name="TBIG1bComprehensiveIntegratedInpatient"/>
      <w:bookmarkStart w:id="424" w:name="_Toc319922580"/>
    </w:p>
    <w:p w:rsidR="003B4CBC" w:rsidRPr="004E28BB" w:rsidRDefault="003B4CBC" w:rsidP="00D41D04">
      <w:pPr>
        <w:pStyle w:val="ListNumber3"/>
        <w:rPr>
          <w:i/>
        </w:rPr>
      </w:pPr>
      <w:bookmarkStart w:id="425" w:name="TBII1bComprehensiveIntegratedInpatient"/>
      <w:bookmarkStart w:id="426" w:name="_Toc394643359"/>
      <w:bookmarkEnd w:id="425"/>
      <w:r w:rsidRPr="004E28BB">
        <w:rPr>
          <w:rStyle w:val="Guide3-abcdChar"/>
        </w:rPr>
        <w:t>Comprehensive Integrated Inpatient Interdisciplinary Rehabilitation Programs</w:t>
      </w:r>
      <w:bookmarkEnd w:id="423"/>
      <w:bookmarkEnd w:id="424"/>
      <w:bookmarkEnd w:id="426"/>
      <w:r w:rsidRPr="004E28BB">
        <w:t xml:space="preserve">: </w:t>
      </w:r>
      <w:r w:rsidR="00125071">
        <w:t>A</w:t>
      </w:r>
      <w:r w:rsidRPr="004E28BB">
        <w:t xml:space="preserve"> generally accepted and widely used treatment. Inpatient brain injury rehabilitation programs should have designated staff for TBI, designated TBI patient rooms, designated TBI treatment facilities and programs</w:t>
      </w:r>
      <w:r w:rsidR="00125071">
        <w:t>,</w:t>
      </w:r>
      <w:r w:rsidRPr="004E28BB">
        <w:t xml:space="preserve"> and </w:t>
      </w:r>
      <w:r w:rsidR="00125071">
        <w:t xml:space="preserve">they should </w:t>
      </w:r>
      <w:r w:rsidRPr="004E28BB">
        <w:t>serve at least 25 to 30 TBI individuals per year. One six</w:t>
      </w:r>
      <w:r w:rsidR="00125071">
        <w:t>-</w:t>
      </w:r>
      <w:r w:rsidRPr="004E28BB">
        <w:t>week, non-randomized study with blinded outcome evaluators and a neuropsychological focus demonstrated impr</w:t>
      </w:r>
      <w:r w:rsidR="007A5DB9" w:rsidRPr="004E28BB">
        <w:t>ovement in overall productivity</w:t>
      </w:r>
      <w:r w:rsidRPr="004E28BB">
        <w:rPr>
          <w:rStyle w:val="GuideCitesCharChar"/>
        </w:rPr>
        <w:t xml:space="preserve"> (</w:t>
      </w:r>
      <w:hyperlink w:anchor="Sarajuri2005" w:history="1">
        <w:r w:rsidRPr="009018EE">
          <w:rPr>
            <w:rStyle w:val="Hyperlink"/>
            <w:rFonts w:cs="Arial"/>
            <w:highlight w:val="yellow"/>
          </w:rPr>
          <w:t>Sarajuuri, 2005</w:t>
        </w:r>
      </w:hyperlink>
      <w:r w:rsidRPr="004E28BB">
        <w:rPr>
          <w:rStyle w:val="GuideCitesCharChar"/>
        </w:rPr>
        <w:t>)</w:t>
      </w:r>
      <w:r w:rsidR="007A5DB9" w:rsidRPr="004E28BB">
        <w:t>.</w:t>
      </w:r>
      <w:r w:rsidR="006054C0" w:rsidRPr="004E28BB">
        <w:t xml:space="preserve"> </w:t>
      </w:r>
      <w:r w:rsidRPr="004E28BB">
        <w:t>Another meta-analysis provided good evidence that inpatient care in specialized stroke units resulted in less disability and less need for long term institutional care</w:t>
      </w:r>
      <w:r w:rsidRPr="004E28BB">
        <w:rPr>
          <w:rStyle w:val="GuideCitesCharChar"/>
        </w:rPr>
        <w:t xml:space="preserve"> ([</w:t>
      </w:r>
      <w:hyperlink w:anchor="StrokeUnit2007" w:history="1">
        <w:r w:rsidRPr="009018EE">
          <w:rPr>
            <w:rStyle w:val="Hyperlink"/>
            <w:rFonts w:cs="Arial"/>
            <w:highlight w:val="yellow"/>
          </w:rPr>
          <w:t>Cochrane] Stroke Units Trialists</w:t>
        </w:r>
        <w:r w:rsidR="000A3B58" w:rsidRPr="009018EE">
          <w:rPr>
            <w:rStyle w:val="Hyperlink"/>
            <w:rFonts w:cs="Arial"/>
            <w:highlight w:val="yellow"/>
          </w:rPr>
          <w:t>’</w:t>
        </w:r>
        <w:r w:rsidRPr="009018EE">
          <w:rPr>
            <w:rStyle w:val="Hyperlink"/>
            <w:rFonts w:cs="Arial"/>
            <w:highlight w:val="yellow"/>
          </w:rPr>
          <w:t xml:space="preserve"> </w:t>
        </w:r>
        <w:r w:rsidR="004D5B20" w:rsidRPr="009018EE">
          <w:rPr>
            <w:rStyle w:val="Hyperlink"/>
            <w:rFonts w:cs="Arial"/>
            <w:highlight w:val="yellow"/>
          </w:rPr>
          <w:t>Collaboration</w:t>
        </w:r>
        <w:r w:rsidRPr="009018EE">
          <w:rPr>
            <w:rStyle w:val="Hyperlink"/>
            <w:rFonts w:cs="Arial"/>
            <w:highlight w:val="yellow"/>
          </w:rPr>
          <w:t>, 2007</w:t>
        </w:r>
      </w:hyperlink>
      <w:r w:rsidRPr="00C90E07">
        <w:rPr>
          <w:rStyle w:val="GuideCitesCharChar"/>
          <w:highlight w:val="yellow"/>
        </w:rPr>
        <w:t>])</w:t>
      </w:r>
      <w:r w:rsidR="007A5DB9" w:rsidRPr="00C90E07">
        <w:rPr>
          <w:highlight w:val="yellow"/>
        </w:rPr>
        <w:t>.</w:t>
      </w:r>
      <w:r w:rsidRPr="004E28BB">
        <w:t xml:space="preserve"> Inpatient programs should be accredited by the Joint Commission on Accreditation of Healthcare Organizations (Joint Commission) and have components consistent with the Commission on the Accreditation of Rehabilitation Facilities (CARF). CARF </w:t>
      </w:r>
      <w:r w:rsidRPr="004E28BB">
        <w:lastRenderedPageBreak/>
        <w:t>eligibility or certification implies that programs meet specific care standards of design and efficacy.</w:t>
      </w:r>
      <w:r w:rsidRPr="004E28BB">
        <w:br/>
      </w:r>
      <w:r w:rsidRPr="004E28BB">
        <w:br/>
        <w:t>The interdisciplinary team maintains consistent integration and communication to ensure that all interdisciplinary team members are aware of the plan of care for the patient, are exchanging information, and implement the care</w:t>
      </w:r>
      <w:r w:rsidR="00C44041" w:rsidRPr="004E28BB">
        <w:t xml:space="preserve"> plan</w:t>
      </w:r>
      <w:r w:rsidRPr="004E28BB">
        <w:t xml:space="preserve">. The team members make interdisciplinary team decisions with the patient and then ensure that decisions are communicated to the entire care team. </w:t>
      </w:r>
      <w:r w:rsidRPr="004E28BB">
        <w:br/>
      </w:r>
      <w:r w:rsidRPr="004E28BB">
        <w:br/>
        <w:t xml:space="preserve">The Medical Director of the program should be board certified in physiatry, or be board certified in his or her specialty area and have completed a one year fellowship in rehabilitation, or have two years experience in an interdisciplinary brain injury rehabilitation program. Individuals who assist in the accomplishment of functional, physical, psychological, social and vocational goal </w:t>
      </w:r>
      <w:r w:rsidR="002523D1" w:rsidRPr="004E28BB">
        <w:t>should</w:t>
      </w:r>
      <w:r w:rsidRPr="004E28BB">
        <w:t xml:space="preserve"> include a medical director, team physician(s), and </w:t>
      </w:r>
      <w:r w:rsidR="00125071">
        <w:t xml:space="preserve">a </w:t>
      </w:r>
      <w:r w:rsidRPr="004E28BB">
        <w:t xml:space="preserve">team neuropsychologist. Other </w:t>
      </w:r>
      <w:r w:rsidR="00125071">
        <w:t>members of</w:t>
      </w:r>
      <w:r w:rsidRPr="004E28BB">
        <w:t xml:space="preserve"> the team may include, but are not limited to: biofeedback therapist, </w:t>
      </w:r>
      <w:r w:rsidR="00125071">
        <w:t>o</w:t>
      </w:r>
      <w:r w:rsidRPr="004E28BB">
        <w:t xml:space="preserve">ccupational </w:t>
      </w:r>
      <w:r w:rsidR="00125071">
        <w:t>t</w:t>
      </w:r>
      <w:r w:rsidRPr="004E28BB">
        <w:t xml:space="preserve">herapist, </w:t>
      </w:r>
      <w:r w:rsidR="00125071">
        <w:t>p</w:t>
      </w:r>
      <w:r w:rsidR="00C44041" w:rsidRPr="004E28BB">
        <w:t xml:space="preserve">hysical </w:t>
      </w:r>
      <w:r w:rsidR="00125071">
        <w:t>t</w:t>
      </w:r>
      <w:r w:rsidR="00C44041" w:rsidRPr="004E28BB">
        <w:t xml:space="preserve">herapist, </w:t>
      </w:r>
      <w:r w:rsidR="00125071">
        <w:t>c</w:t>
      </w:r>
      <w:r w:rsidR="00C44041" w:rsidRPr="004E28BB">
        <w:t>hiropractor</w:t>
      </w:r>
      <w:r w:rsidRPr="004E28BB">
        <w:t xml:space="preserve">, </w:t>
      </w:r>
      <w:r w:rsidR="00125071">
        <w:t>r</w:t>
      </w:r>
      <w:r w:rsidRPr="004E28BB">
        <w:t xml:space="preserve">egistered </w:t>
      </w:r>
      <w:r w:rsidR="00125071">
        <w:t>n</w:t>
      </w:r>
      <w:r w:rsidRPr="004E28BB">
        <w:t>urse, case manager, exercise physiologist, therapeutic recreation specialist</w:t>
      </w:r>
      <w:r w:rsidR="00125071">
        <w:t>,</w:t>
      </w:r>
      <w:r w:rsidRPr="004E28BB">
        <w:t xml:space="preserve"> psychologist, psychia</w:t>
      </w:r>
      <w:r w:rsidR="00C44041" w:rsidRPr="004E28BB">
        <w:t>trist, speech-language pathologist</w:t>
      </w:r>
      <w:r w:rsidRPr="004E28BB">
        <w:t xml:space="preserve">, </w:t>
      </w:r>
      <w:r w:rsidR="008A3581">
        <w:t xml:space="preserve">music therapist, </w:t>
      </w:r>
      <w:r w:rsidRPr="004E28BB">
        <w:t>optometr</w:t>
      </w:r>
      <w:r w:rsidR="00C44041" w:rsidRPr="004E28BB">
        <w:t>ist</w:t>
      </w:r>
      <w:r w:rsidRPr="004E28BB">
        <w:t>, ophthalmolog</w:t>
      </w:r>
      <w:r w:rsidR="00C44041" w:rsidRPr="004E28BB">
        <w:t>ist</w:t>
      </w:r>
      <w:r w:rsidR="001D127F">
        <w:t>,</w:t>
      </w:r>
      <w:r w:rsidRPr="004E28BB">
        <w:t xml:space="preserve"> and/or nutritionist.</w:t>
      </w:r>
      <w:r w:rsidRPr="004E28BB">
        <w:br/>
      </w:r>
      <w:r w:rsidRPr="004E28BB">
        <w:br/>
        <w:t>The length of initial rehabilitation depends on the severity of deficits, complications</w:t>
      </w:r>
      <w:r w:rsidR="00125071">
        <w:t>,</w:t>
      </w:r>
      <w:r w:rsidRPr="004E28BB">
        <w:t xml:space="preserve"> and the </w:t>
      </w:r>
      <w:r w:rsidR="00125071">
        <w:t xml:space="preserve">individual’s </w:t>
      </w:r>
      <w:r w:rsidRPr="004E28BB">
        <w:t>medical progress. Continued lengths of stay should be based on documented functional progress, and may typically range from 30 to 90 days for moderate/severe injury. The individual should be re-evaluated every 30 days. On-site insurance case managers are encouraged to be a part of the treatment team, attend team conferences</w:t>
      </w:r>
      <w:r w:rsidR="00125071">
        <w:t>,</w:t>
      </w:r>
      <w:r w:rsidRPr="004E28BB">
        <w:t xml:space="preserve"> and assist the individual</w:t>
      </w:r>
      <w:r w:rsidR="00C44041" w:rsidRPr="004E28BB">
        <w:t xml:space="preserve"> and</w:t>
      </w:r>
      <w:r w:rsidRPr="004E28BB">
        <w:t xml:space="preserve"> his/her family</w:t>
      </w:r>
      <w:r w:rsidR="00387A03">
        <w:t xml:space="preserve"> and</w:t>
      </w:r>
      <w:r w:rsidRPr="004E28BB">
        <w:t>/</w:t>
      </w:r>
      <w:r w:rsidR="00387A03">
        <w:t xml:space="preserve">or </w:t>
      </w:r>
      <w:r w:rsidRPr="004E28BB">
        <w:t xml:space="preserve">support system members </w:t>
      </w:r>
      <w:r w:rsidR="00C44041" w:rsidRPr="004E28BB">
        <w:t>with facility discharge planning</w:t>
      </w:r>
      <w:r w:rsidRPr="004E28BB">
        <w:t xml:space="preserve"> in short and long-term management and goal setting.</w:t>
      </w:r>
    </w:p>
    <w:p w:rsidR="003B4CBC" w:rsidRPr="004E28BB" w:rsidRDefault="003B4CBC" w:rsidP="00D41D04">
      <w:pPr>
        <w:pStyle w:val="ListNumber3"/>
      </w:pPr>
      <w:bookmarkStart w:id="427" w:name="TBIG11cHomeAndcommunity"/>
      <w:bookmarkStart w:id="428" w:name="TBII1cHomeAndCommunity"/>
      <w:bookmarkStart w:id="429" w:name="_Toc319922581"/>
      <w:bookmarkStart w:id="430" w:name="_Toc394643360"/>
      <w:bookmarkEnd w:id="427"/>
      <w:bookmarkEnd w:id="428"/>
      <w:r w:rsidRPr="004E28BB">
        <w:rPr>
          <w:rStyle w:val="Guide3-abcdChar"/>
        </w:rPr>
        <w:t>Home and Community-Based Rehabilitation</w:t>
      </w:r>
      <w:bookmarkEnd w:id="429"/>
      <w:bookmarkEnd w:id="430"/>
      <w:r w:rsidRPr="004E28BB">
        <w:t xml:space="preserve">: </w:t>
      </w:r>
      <w:r w:rsidR="00125071">
        <w:t>E</w:t>
      </w:r>
      <w:r w:rsidRPr="004E28BB">
        <w:t xml:space="preserve">ncompasses services provided in an individual’s home and/or community settings and may be delivered as a separate service or in conjunction with outpatient therapy in a treatment facility. These post-acute services are generally accepted and widely used for individuals with TBI who have completed inpatient </w:t>
      </w:r>
      <w:r w:rsidR="00083CFA">
        <w:t xml:space="preserve">or </w:t>
      </w:r>
      <w:r w:rsidRPr="004E28BB">
        <w:t xml:space="preserve">residential rehabilitation, or </w:t>
      </w:r>
      <w:r w:rsidR="00083CFA">
        <w:t xml:space="preserve">for </w:t>
      </w:r>
      <w:r w:rsidRPr="004E28BB">
        <w:t>those who have not required inpatient or residential services.</w:t>
      </w:r>
      <w:r w:rsidRPr="004E28BB">
        <w:br/>
      </w:r>
      <w:r w:rsidRPr="004E28BB">
        <w:br/>
        <w:t>Home and community-based services are designed to maximize the transition and generalization of skills and behaviors in those with moderate/severe injuries from facility settings to application and assimilation in the community. In MTBI, community-based services may be the primary type and most appropriate intervention for those who require more assistance.</w:t>
      </w:r>
      <w:r w:rsidRPr="004E28BB">
        <w:br/>
      </w:r>
      <w:r w:rsidRPr="004E28BB">
        <w:br/>
        <w:t>One or more therapeutic disciplines are appropriate to deliver home and community-based services</w:t>
      </w:r>
      <w:r w:rsidR="007843ED">
        <w:t>,</w:t>
      </w:r>
      <w:r w:rsidRPr="004E28BB">
        <w:t xml:space="preserve"> including qualified/credentialed clinicians from physical therapy, occupational therapy, speech-language pathology,</w:t>
      </w:r>
      <w:r w:rsidR="00D64C30" w:rsidRPr="004E28BB">
        <w:t xml:space="preserve"> music therapy,</w:t>
      </w:r>
      <w:r w:rsidRPr="004E28BB">
        <w:t xml:space="preserve"> medicine, neuropsychology, clinical psychology and counseling, therapeutic recreation, nursing, vocational rehabilitation, and chiropractic treatment. Case management should continue during home and community-based treatment. Programs should preferably be accredited by </w:t>
      </w:r>
      <w:r w:rsidR="00083CFA">
        <w:t>the Joint Commission</w:t>
      </w:r>
      <w:r w:rsidR="00083CFA" w:rsidRPr="004E28BB">
        <w:t xml:space="preserve"> </w:t>
      </w:r>
      <w:r w:rsidRPr="004E28BB">
        <w:t>and have components consistent with CARF certification. CARF eligibility or certification implies that programs meet specific care standards of design and efficacy.</w:t>
      </w:r>
    </w:p>
    <w:p w:rsidR="003B4CBC" w:rsidRPr="004E28BB" w:rsidRDefault="003B4CBC" w:rsidP="00D41D04">
      <w:pPr>
        <w:ind w:left="2880" w:hanging="360"/>
      </w:pPr>
      <w:r w:rsidRPr="004E28BB">
        <w:sym w:font="Wingdings" w:char="F076"/>
      </w:r>
      <w:r w:rsidRPr="004E28BB">
        <w:tab/>
        <w:t>Frequency: 1 to 7 hours per day, 1 to 3 times per week</w:t>
      </w:r>
      <w:r w:rsidR="00212E30">
        <w:t>.</w:t>
      </w:r>
    </w:p>
    <w:p w:rsidR="003B4CBC" w:rsidRPr="004E28BB" w:rsidRDefault="003B4CBC" w:rsidP="00D41D04">
      <w:pPr>
        <w:ind w:left="2880" w:hanging="360"/>
      </w:pPr>
      <w:r w:rsidRPr="004E28BB">
        <w:lastRenderedPageBreak/>
        <w:sym w:font="Wingdings" w:char="F076"/>
      </w:r>
      <w:r w:rsidRPr="004E28BB">
        <w:tab/>
        <w:t xml:space="preserve">Optimum </w:t>
      </w:r>
      <w:r w:rsidR="00212E30">
        <w:t>D</w:t>
      </w:r>
      <w:r w:rsidRPr="004E28BB">
        <w:t>uration: For moderate/severe TBI, up to 24 months or beyond with monthly re-evaluations</w:t>
      </w:r>
      <w:r w:rsidR="00212E30">
        <w:t>.</w:t>
      </w:r>
      <w:r w:rsidRPr="004E28BB">
        <w:tab/>
      </w:r>
    </w:p>
    <w:p w:rsidR="003B4CBC" w:rsidRPr="004E28BB" w:rsidRDefault="003B4CBC" w:rsidP="00D41D04">
      <w:pPr>
        <w:pStyle w:val="ListNumber3"/>
      </w:pPr>
      <w:bookmarkStart w:id="431" w:name="TBIG11dNursingCareFacilities"/>
      <w:bookmarkStart w:id="432" w:name="TBII1dNursingCareFacilities"/>
      <w:bookmarkStart w:id="433" w:name="_Toc319922582"/>
      <w:bookmarkStart w:id="434" w:name="_Toc394643361"/>
      <w:bookmarkEnd w:id="431"/>
      <w:bookmarkEnd w:id="432"/>
      <w:r w:rsidRPr="004E28BB">
        <w:rPr>
          <w:rStyle w:val="Guide3-abcdChar"/>
        </w:rPr>
        <w:t>Nursing Care Facilities</w:t>
      </w:r>
      <w:bookmarkEnd w:id="434"/>
      <w:r w:rsidRPr="004E28BB">
        <w:t xml:space="preserve">: </w:t>
      </w:r>
      <w:r w:rsidR="004C00BC">
        <w:t>P</w:t>
      </w:r>
      <w:r w:rsidRPr="004E28BB">
        <w:t>rovide care in specialty</w:t>
      </w:r>
      <w:r w:rsidR="00083CFA">
        <w:t xml:space="preserve"> </w:t>
      </w:r>
      <w:r w:rsidRPr="004E28BB">
        <w:t xml:space="preserve">licensed units of nursing homes. </w:t>
      </w:r>
      <w:r w:rsidR="00CD4608">
        <w:t>SNF</w:t>
      </w:r>
      <w:r w:rsidRPr="004E28BB">
        <w:t xml:space="preserve"> care is generally accepted and widely used for those who are not able to be managed by a home care agency, in a private home, supported living program, group home</w:t>
      </w:r>
      <w:r w:rsidR="00083CFA">
        <w:t>,</w:t>
      </w:r>
      <w:r w:rsidRPr="004E28BB">
        <w:t xml:space="preserve"> or community setting and have completed extensive rehabilitation therapy. Individuals appropriate for this type of care do not generally require skilled nursing care, but require ongoing care that is supervised by RNs (</w:t>
      </w:r>
      <w:r w:rsidR="00083CFA">
        <w:t>i</w:t>
      </w:r>
      <w:r w:rsidRPr="004E28BB">
        <w:t>f medications are involved</w:t>
      </w:r>
      <w:r w:rsidR="00A67F88" w:rsidRPr="004E28BB">
        <w:t>,</w:t>
      </w:r>
      <w:r w:rsidRPr="004E28BB">
        <w:t xml:space="preserve"> it is skilled care). Rehabilitation therapies may be necessary to supplement nursing care. Rehabilitation programs are established by appropriately licensed or certified therapists but may be delivered by paraprofessionals. The goal of care is to maintain and improve function</w:t>
      </w:r>
      <w:r w:rsidR="00083CFA">
        <w:t>,</w:t>
      </w:r>
      <w:r w:rsidRPr="004E28BB">
        <w:t xml:space="preserve"> if possible</w:t>
      </w:r>
      <w:r w:rsidR="00083CFA">
        <w:t>.</w:t>
      </w:r>
      <w:r w:rsidRPr="004E28BB">
        <w:t xml:space="preserve"> </w:t>
      </w:r>
      <w:r w:rsidR="00083CFA">
        <w:t>T</w:t>
      </w:r>
      <w:r w:rsidRPr="004E28BB">
        <w:t xml:space="preserve">his usually occurs at a slower rate over an extended period of time. Accreditation by </w:t>
      </w:r>
      <w:r w:rsidR="00083CFA">
        <w:t xml:space="preserve">the </w:t>
      </w:r>
      <w:r w:rsidR="00884C80" w:rsidRPr="004E28BB">
        <w:t xml:space="preserve">Joint Commission </w:t>
      </w:r>
      <w:r w:rsidRPr="004E28BB">
        <w:t>is recommended.</w:t>
      </w:r>
    </w:p>
    <w:p w:rsidR="003B4CBC" w:rsidRPr="004E28BB" w:rsidRDefault="003B4CBC" w:rsidP="00D41D04">
      <w:pPr>
        <w:pStyle w:val="ListNumber3"/>
      </w:pPr>
      <w:bookmarkStart w:id="435" w:name="_Toc319922583"/>
      <w:bookmarkStart w:id="436" w:name="_Toc394643362"/>
      <w:bookmarkEnd w:id="433"/>
      <w:r w:rsidRPr="004E28BB">
        <w:rPr>
          <w:rStyle w:val="Guide3-abcdChar"/>
        </w:rPr>
        <w:t>Occupational Rehabilitation</w:t>
      </w:r>
      <w:bookmarkEnd w:id="435"/>
      <w:bookmarkEnd w:id="436"/>
      <w:r w:rsidRPr="004E28BB">
        <w:t xml:space="preserve">: </w:t>
      </w:r>
      <w:r w:rsidR="00212E30">
        <w:t>A</w:t>
      </w:r>
      <w:r w:rsidR="00A67F88" w:rsidRPr="004E28BB">
        <w:t xml:space="preserve"> generally accepted</w:t>
      </w:r>
      <w:r w:rsidRPr="004E28BB">
        <w:t xml:space="preserve"> interdisciplinary program addressing a patient’s employability and </w:t>
      </w:r>
      <w:r w:rsidR="00387A03">
        <w:t>return to work</w:t>
      </w:r>
      <w:r w:rsidRPr="004E28BB">
        <w:t>. It includes a progressive increase in the number of hours per day that a patient completes work simulation tasks until the patient can tolerate a full workday. A full workday is case specific and is defined by the previous employment of the patient. Safe work place practices and education of the employer and social support system regarding the person’s status should be included. This is accomplished by addressing the medical, psychological, behavioral, physical, functional, cognitive</w:t>
      </w:r>
      <w:r w:rsidR="00083CFA">
        <w:t>,</w:t>
      </w:r>
      <w:r w:rsidRPr="004E28BB">
        <w:t xml:space="preserve"> and vocational components of employability and </w:t>
      </w:r>
      <w:r w:rsidR="00387A03">
        <w:t>return to work</w:t>
      </w:r>
      <w:r w:rsidRPr="004E28BB">
        <w:t>.</w:t>
      </w:r>
      <w:r w:rsidRPr="004E28BB">
        <w:br/>
      </w:r>
      <w:r w:rsidRPr="004E28BB">
        <w:br/>
        <w:t xml:space="preserve">The interdisciplinary team should, at a minimum, be comprised of a qualified medical director who is board certified with documented training in occupational rehabilitation, </w:t>
      </w:r>
      <w:r w:rsidR="00083CFA">
        <w:t xml:space="preserve">as well as </w:t>
      </w:r>
      <w:r w:rsidRPr="004E28BB">
        <w:t xml:space="preserve">team physicians </w:t>
      </w:r>
      <w:r w:rsidR="00083CFA">
        <w:t>who have</w:t>
      </w:r>
      <w:r w:rsidRPr="004E28BB">
        <w:t xml:space="preserve"> experience in occupational rehabilitation, occupational therapy</w:t>
      </w:r>
      <w:r w:rsidR="00083CFA">
        <w:t>,</w:t>
      </w:r>
      <w:r w:rsidRPr="004E28BB">
        <w:t xml:space="preserve"> and physical therapy. </w:t>
      </w:r>
      <w:r w:rsidRPr="004E28BB">
        <w:br/>
      </w:r>
      <w:r w:rsidRPr="004E28BB">
        <w:br/>
        <w:t xml:space="preserve">As appropriate, the team may also include: </w:t>
      </w:r>
      <w:r w:rsidR="00083CFA">
        <w:t xml:space="preserve">a </w:t>
      </w:r>
      <w:r w:rsidRPr="004E28BB">
        <w:t xml:space="preserve">chiropractor, </w:t>
      </w:r>
      <w:r w:rsidR="008A3536">
        <w:t xml:space="preserve">an </w:t>
      </w:r>
      <w:r w:rsidRPr="004E28BB">
        <w:t xml:space="preserve">RN, </w:t>
      </w:r>
      <w:r w:rsidR="00083CFA">
        <w:t xml:space="preserve">a </w:t>
      </w:r>
      <w:r w:rsidRPr="004E28BB">
        <w:t xml:space="preserve">case manager, </w:t>
      </w:r>
      <w:r w:rsidR="00083CFA">
        <w:t xml:space="preserve">a </w:t>
      </w:r>
      <w:r w:rsidRPr="004E28BB">
        <w:t xml:space="preserve">psychologist, </w:t>
      </w:r>
      <w:r w:rsidR="00083CFA">
        <w:t xml:space="preserve">a </w:t>
      </w:r>
      <w:r w:rsidRPr="004E28BB">
        <w:t>neuropsychologist</w:t>
      </w:r>
      <w:r w:rsidR="00083CFA">
        <w:t>,</w:t>
      </w:r>
      <w:r w:rsidRPr="004E28BB">
        <w:t xml:space="preserve"> and </w:t>
      </w:r>
      <w:r w:rsidR="00083CFA">
        <w:t xml:space="preserve">a </w:t>
      </w:r>
      <w:r w:rsidRPr="004E28BB">
        <w:t xml:space="preserve">vocational specialist or certified biofeedback therapist. </w:t>
      </w:r>
    </w:p>
    <w:p w:rsidR="003B4CBC" w:rsidRPr="004E28BB" w:rsidRDefault="003B4CBC" w:rsidP="00D41D04">
      <w:pPr>
        <w:ind w:left="2880" w:hanging="360"/>
      </w:pPr>
      <w:r w:rsidRPr="004E28BB">
        <w:sym w:font="Wingdings" w:char="F076"/>
      </w:r>
      <w:r w:rsidRPr="004E28BB">
        <w:tab/>
        <w:t>Time to Produce Ef</w:t>
      </w:r>
      <w:r w:rsidR="00884C80" w:rsidRPr="004E28BB">
        <w:t>fect: 2 weeks</w:t>
      </w:r>
      <w:r w:rsidR="00212E30">
        <w:t>.</w:t>
      </w:r>
    </w:p>
    <w:p w:rsidR="003B4CBC" w:rsidRPr="004E28BB" w:rsidRDefault="003B4CBC" w:rsidP="00D41D04">
      <w:pPr>
        <w:ind w:left="2880" w:hanging="360"/>
      </w:pPr>
      <w:r w:rsidRPr="004E28BB">
        <w:sym w:font="Wingdings" w:char="F076"/>
      </w:r>
      <w:r w:rsidRPr="004E28BB">
        <w:tab/>
        <w:t>Frequency: 2 to 5 vis</w:t>
      </w:r>
      <w:r w:rsidR="00884C80" w:rsidRPr="004E28BB">
        <w:t>its per week, up to 8 hours/day</w:t>
      </w:r>
      <w:r w:rsidR="00212E30">
        <w:t>.</w:t>
      </w:r>
      <w:r w:rsidRPr="004E28BB">
        <w:t xml:space="preserve"> </w:t>
      </w:r>
    </w:p>
    <w:p w:rsidR="003B4CBC" w:rsidRPr="004E28BB" w:rsidRDefault="003B4CBC" w:rsidP="00D41D04">
      <w:pPr>
        <w:ind w:left="2880" w:hanging="360"/>
      </w:pPr>
      <w:r w:rsidRPr="004E28BB">
        <w:sym w:font="Wingdings" w:char="F076"/>
      </w:r>
      <w:r w:rsidR="00884C80" w:rsidRPr="004E28BB">
        <w:tab/>
        <w:t>Optimum Duration: 2 to 4 weeks</w:t>
      </w:r>
      <w:r w:rsidR="00212E30">
        <w:t>.</w:t>
      </w:r>
      <w:r w:rsidRPr="004E28BB">
        <w:t xml:space="preserve"> </w:t>
      </w:r>
    </w:p>
    <w:p w:rsidR="003B4CBC" w:rsidRPr="004E28BB" w:rsidRDefault="003B4CBC" w:rsidP="00D41D04">
      <w:pPr>
        <w:ind w:left="2880" w:hanging="360"/>
      </w:pPr>
      <w:r w:rsidRPr="004E28BB">
        <w:sym w:font="Wingdings" w:char="F076"/>
      </w:r>
      <w:r w:rsidRPr="004E28BB">
        <w:tab/>
        <w:t xml:space="preserve">Maximum Duration: 6 weeks. Participation in a program beyond six weeks </w:t>
      </w:r>
      <w:r w:rsidR="002523D1" w:rsidRPr="004E28BB">
        <w:t>should</w:t>
      </w:r>
      <w:r w:rsidRPr="004E28BB">
        <w:t xml:space="preserve"> be documented with respect to need and the ability to facilitate positive s</w:t>
      </w:r>
      <w:r w:rsidR="00884C80" w:rsidRPr="004E28BB">
        <w:t>ymptomatic and functional gains</w:t>
      </w:r>
      <w:r w:rsidR="00212E30">
        <w:t>.</w:t>
      </w:r>
    </w:p>
    <w:p w:rsidR="003B4CBC" w:rsidRPr="004E28BB" w:rsidRDefault="003B4CBC" w:rsidP="00D41D04">
      <w:pPr>
        <w:pStyle w:val="ListNumber3"/>
      </w:pPr>
      <w:bookmarkStart w:id="437" w:name="_Toc319922584"/>
      <w:bookmarkStart w:id="438" w:name="_Toc394643363"/>
      <w:r w:rsidRPr="004E28BB">
        <w:rPr>
          <w:rStyle w:val="Guide3-abcdChar"/>
        </w:rPr>
        <w:t>Opioid/Chemical Treatment Programs</w:t>
      </w:r>
      <w:bookmarkEnd w:id="437"/>
      <w:bookmarkEnd w:id="438"/>
      <w:r w:rsidRPr="004E28BB">
        <w:t xml:space="preserve">: </w:t>
      </w:r>
      <w:r w:rsidR="00083CFA">
        <w:t>F</w:t>
      </w:r>
      <w:r w:rsidRPr="004E28BB">
        <w:t>or specifics</w:t>
      </w:r>
      <w:r w:rsidR="00083CFA">
        <w:t>,</w:t>
      </w:r>
      <w:r w:rsidRPr="004E28BB">
        <w:t xml:space="preserve"> refer to </w:t>
      </w:r>
      <w:r w:rsidR="009A73FF">
        <w:t xml:space="preserve">Section F.6.c. </w:t>
      </w:r>
      <w:r w:rsidR="009A73FF" w:rsidRPr="009A73FF">
        <w:t>Opioid/Chemical Treatment Programs</w:t>
      </w:r>
      <w:r w:rsidR="009A73FF">
        <w:t xml:space="preserve"> in </w:t>
      </w:r>
      <w:r w:rsidR="00221A7D">
        <w:t xml:space="preserve">the </w:t>
      </w:r>
      <w:r w:rsidRPr="004E28BB">
        <w:t xml:space="preserve">Chronic </w:t>
      </w:r>
      <w:r w:rsidR="00083CFA">
        <w:t>P</w:t>
      </w:r>
      <w:r w:rsidRPr="004E28BB">
        <w:t xml:space="preserve">ain </w:t>
      </w:r>
      <w:r w:rsidR="00083CFA">
        <w:t>G</w:t>
      </w:r>
      <w:r w:rsidRPr="004E28BB">
        <w:t>uideline</w:t>
      </w:r>
      <w:r w:rsidR="006433BA">
        <w:t>s</w:t>
      </w:r>
      <w:r w:rsidRPr="004E28BB">
        <w:t>.</w:t>
      </w:r>
    </w:p>
    <w:p w:rsidR="003B4CBC" w:rsidRPr="004E28BB" w:rsidRDefault="003B4CBC" w:rsidP="00D41D04">
      <w:pPr>
        <w:pStyle w:val="ListNumber3"/>
      </w:pPr>
      <w:bookmarkStart w:id="439" w:name="TBII1gOutpatientRehabServies"/>
      <w:bookmarkStart w:id="440" w:name="_Toc394643364"/>
      <w:bookmarkEnd w:id="439"/>
      <w:r w:rsidRPr="004E28BB">
        <w:rPr>
          <w:rStyle w:val="Guide3-abcdChar"/>
        </w:rPr>
        <w:t>Outpatient Rehabilitation Services</w:t>
      </w:r>
      <w:bookmarkEnd w:id="440"/>
      <w:r w:rsidRPr="004E28BB">
        <w:t xml:space="preserve">: </w:t>
      </w:r>
      <w:r w:rsidR="00083CFA">
        <w:t>G</w:t>
      </w:r>
      <w:r w:rsidRPr="004E28BB">
        <w:t xml:space="preserve">enerally accepted and widely used. These therapeutic interventions may be delivered in a hospital, free-standing outpatient facilities, or community-based, post-acute facilities with focused goals for home and community functioning. In MTBI, community-based services may be the primary type of appropriate intervention. Frequency varies from daily to less than one day per week and from four to six hours per day. Immediately following inpatient rehabilitation, outpatient rehabilitation is usually intensive, followed by a systematic and gradual reduction in therapy as appropriate. </w:t>
      </w:r>
      <w:r w:rsidRPr="004E28BB">
        <w:lastRenderedPageBreak/>
        <w:t xml:space="preserve">Typically, outpatient treatments include one or more of the following disciplines: physical therapy, occupational therapy, speech/language pathology, </w:t>
      </w:r>
      <w:r w:rsidR="00D64C30" w:rsidRPr="004E28BB">
        <w:t xml:space="preserve">music therapy, </w:t>
      </w:r>
      <w:r w:rsidRPr="004E28BB">
        <w:t>mental health counseling, neuropsychology, therapeutic recreation, family counseling, vocational rehabilitation</w:t>
      </w:r>
      <w:r w:rsidR="00083CFA">
        <w:t>,</w:t>
      </w:r>
      <w:r w:rsidRPr="004E28BB">
        <w:t xml:space="preserve"> and </w:t>
      </w:r>
      <w:r w:rsidR="00A67F88" w:rsidRPr="004E28BB">
        <w:t>c</w:t>
      </w:r>
      <w:r w:rsidRPr="004E28BB">
        <w:t>hiropractic treatment. Outpatient rehabilitation should be functionally oriented, goal</w:t>
      </w:r>
      <w:r w:rsidR="007843ED">
        <w:t>-</w:t>
      </w:r>
      <w:r w:rsidRPr="004E28BB">
        <w:t>specific, time</w:t>
      </w:r>
      <w:r w:rsidR="00083CFA">
        <w:t xml:space="preserve"> </w:t>
      </w:r>
      <w:r w:rsidRPr="004E28BB">
        <w:t>limited</w:t>
      </w:r>
      <w:r w:rsidR="007843ED">
        <w:t>,</w:t>
      </w:r>
      <w:r w:rsidRPr="004E28BB">
        <w:t xml:space="preserve"> and case managed. There is good evidence that this type of multi-disciplinary rehabilitation </w:t>
      </w:r>
      <w:r w:rsidR="00083CFA">
        <w:t>for</w:t>
      </w:r>
      <w:r w:rsidRPr="004E28BB">
        <w:t xml:space="preserve"> TBI patients who require hospital admission is likely to provide functional and symptomatic benefit once the patient is a</w:t>
      </w:r>
      <w:r w:rsidR="007A5DB9" w:rsidRPr="004E28BB">
        <w:t>ble to meaningfully participate</w:t>
      </w:r>
      <w:r w:rsidRPr="004E28BB">
        <w:rPr>
          <w:rStyle w:val="GuideCitesCharChar"/>
        </w:rPr>
        <w:t xml:space="preserve"> ([</w:t>
      </w:r>
      <w:hyperlink w:anchor="TurnerStokes2005" w:history="1">
        <w:r w:rsidRPr="009018EE">
          <w:rPr>
            <w:rStyle w:val="Hyperlink"/>
            <w:rFonts w:cs="Arial"/>
            <w:highlight w:val="yellow"/>
          </w:rPr>
          <w:t>Cochrane] Turner-Stokes, 2005</w:t>
        </w:r>
      </w:hyperlink>
      <w:r w:rsidRPr="004E28BB">
        <w:rPr>
          <w:rStyle w:val="GuideCitesCharChar"/>
        </w:rPr>
        <w:t>)</w:t>
      </w:r>
      <w:r w:rsidR="007A5DB9" w:rsidRPr="004E28BB">
        <w:t>.</w:t>
      </w:r>
      <w:r w:rsidRPr="004E28BB">
        <w:br/>
      </w:r>
      <w:bookmarkStart w:id="441" w:name="TBIG11gOutpatientRehab"/>
      <w:bookmarkEnd w:id="441"/>
      <w:r w:rsidRPr="004E28BB">
        <w:br/>
        <w:t xml:space="preserve">Formal outpatient rehabilitation programs should be accredited by </w:t>
      </w:r>
      <w:r w:rsidR="00083CFA">
        <w:t xml:space="preserve">the </w:t>
      </w:r>
      <w:r w:rsidRPr="004E28BB">
        <w:t>Joint Commission and have components consistent with certification by CARF. CARF eligibility or certification implies that programs meet specific care standards of design and efficacy.</w:t>
      </w:r>
    </w:p>
    <w:p w:rsidR="003B4CBC" w:rsidRPr="004E28BB" w:rsidRDefault="003B4CBC" w:rsidP="00D41D04">
      <w:pPr>
        <w:ind w:left="2880" w:hanging="360"/>
      </w:pPr>
      <w:r w:rsidRPr="004E28BB">
        <w:sym w:font="Wingdings" w:char="F076"/>
      </w:r>
      <w:r w:rsidRPr="004E28BB">
        <w:tab/>
        <w:t>Frequency: 2 to 7 hours per day, 1 to 5 days per week more intensive treatment initially</w:t>
      </w:r>
      <w:r w:rsidR="00083CFA">
        <w:t>;</w:t>
      </w:r>
      <w:r w:rsidRPr="004E28BB">
        <w:t xml:space="preserve"> moderate/severe TBI usually require extended sessions FM</w:t>
      </w:r>
      <w:r w:rsidR="00212E30">
        <w:t>.</w:t>
      </w:r>
    </w:p>
    <w:p w:rsidR="003B4CBC" w:rsidRPr="004E28BB" w:rsidRDefault="003B4CBC" w:rsidP="00D41D04">
      <w:pPr>
        <w:ind w:left="2880" w:hanging="360"/>
      </w:pPr>
      <w:r w:rsidRPr="004E28BB">
        <w:sym w:font="Wingdings" w:char="F076"/>
      </w:r>
      <w:r w:rsidRPr="004E28BB">
        <w:tab/>
        <w:t>Optimum Duration: For moderate/severe TBI, up to 24 months, or beyond with monthly re-evaluations</w:t>
      </w:r>
      <w:r w:rsidR="00212E30">
        <w:t>.</w:t>
      </w:r>
    </w:p>
    <w:p w:rsidR="003B4CBC" w:rsidRPr="004E28BB" w:rsidRDefault="003B4CBC" w:rsidP="00D41D04">
      <w:pPr>
        <w:pStyle w:val="ListNumber3"/>
      </w:pPr>
      <w:bookmarkStart w:id="442" w:name="TBIG11hResidentialRehab"/>
      <w:bookmarkStart w:id="443" w:name="TBII1hResidentialRehab"/>
      <w:bookmarkStart w:id="444" w:name="_Toc319922586"/>
      <w:bookmarkStart w:id="445" w:name="_Toc394643365"/>
      <w:bookmarkEnd w:id="442"/>
      <w:bookmarkEnd w:id="443"/>
      <w:r w:rsidRPr="004E28BB">
        <w:rPr>
          <w:rStyle w:val="Guide3-abcdChar"/>
        </w:rPr>
        <w:t>Residential Rehabilitation</w:t>
      </w:r>
      <w:bookmarkEnd w:id="444"/>
      <w:bookmarkEnd w:id="445"/>
      <w:r w:rsidRPr="004E28BB">
        <w:t xml:space="preserve">: </w:t>
      </w:r>
      <w:r w:rsidR="00083CFA">
        <w:t>A</w:t>
      </w:r>
      <w:r w:rsidRPr="004E28BB">
        <w:t xml:space="preserve">lso called residential or transitional living, is clinically appropriate and generally accepted for individuals who have completed initial inpatient rehabilitation. This treatment is indicated for individuals who continue to have significant deficits, who are deemed unsafe to be discharged home, who require continued behavioral treatment, or who are deemed to be more effectively treated in a residential setting. Residential rehabilitation typically includes treatment and management by an interdisciplinary treatment team, with an emphasis on safety, independent living skills and functional community re-integration. Residential rehabilitation is also appropriate for those whose condition has changed, such as in caregiver death, disability, or unavailability, as well as for those who may not have had access to appropriate or adequate inpatient or sub-acute rehabilitation treatment, or </w:t>
      </w:r>
      <w:r w:rsidR="00083CFA">
        <w:t>for</w:t>
      </w:r>
      <w:r w:rsidRPr="004E28BB">
        <w:t xml:space="preserve"> those </w:t>
      </w:r>
      <w:r w:rsidR="00083CFA">
        <w:t>in whom</w:t>
      </w:r>
      <w:r w:rsidRPr="004E28BB">
        <w:t xml:space="preserve"> cognitive, communicative, physical</w:t>
      </w:r>
      <w:r w:rsidR="00083CFA">
        <w:t>,</w:t>
      </w:r>
      <w:r w:rsidRPr="004E28BB">
        <w:t xml:space="preserve"> or behavioral status has deteriorated.</w:t>
      </w:r>
      <w:r w:rsidRPr="004E28BB">
        <w:br/>
      </w:r>
      <w:r w:rsidRPr="004E28BB">
        <w:br/>
        <w:t>The length of residential rehabilitation treatment depends on the severity of deficits, complications, progress and available discharge options. Residential rehabilitation is a generally adopted and widely used practice, ranging typically from 30 to 120 days, depending on the individual’s condition and discharge needs, with re-evaluations every 30 days.</w:t>
      </w:r>
      <w:r w:rsidRPr="004E28BB">
        <w:br/>
      </w:r>
      <w:r w:rsidRPr="004E28BB">
        <w:br/>
        <w:t xml:space="preserve">Residential programs should be accredited by </w:t>
      </w:r>
      <w:r w:rsidR="00083CFA">
        <w:t xml:space="preserve">the </w:t>
      </w:r>
      <w:r w:rsidR="00884C80" w:rsidRPr="004E28BB">
        <w:t xml:space="preserve">Joint Commission </w:t>
      </w:r>
      <w:r w:rsidRPr="004E28BB">
        <w:t>and have components consistent with CARF certification. CARF eligibility or certification implies that programs meet specific care standards of design and efficacy.</w:t>
      </w:r>
    </w:p>
    <w:p w:rsidR="003B4CBC" w:rsidRPr="004E28BB" w:rsidRDefault="003B4CBC" w:rsidP="00D41D04">
      <w:pPr>
        <w:pStyle w:val="ListNumber3"/>
      </w:pPr>
      <w:bookmarkStart w:id="446" w:name="TBIG11iSLPorLongTermCare"/>
      <w:bookmarkStart w:id="447" w:name="TBII1iSLPorLongTermCare"/>
      <w:bookmarkStart w:id="448" w:name="_Toc319922587"/>
      <w:bookmarkStart w:id="449" w:name="_Toc394643366"/>
      <w:bookmarkEnd w:id="446"/>
      <w:bookmarkEnd w:id="447"/>
      <w:r w:rsidRPr="004E28BB">
        <w:rPr>
          <w:rStyle w:val="Guide3-abcdChar"/>
        </w:rPr>
        <w:t>Supported Living Programs (SLP) or Long-Term Care Residential Services</w:t>
      </w:r>
      <w:bookmarkEnd w:id="448"/>
      <w:bookmarkEnd w:id="449"/>
      <w:r w:rsidRPr="004E28BB">
        <w:t xml:space="preserve">: </w:t>
      </w:r>
      <w:r w:rsidR="00083CFA">
        <w:t>I</w:t>
      </w:r>
      <w:r w:rsidRPr="004E28BB">
        <w:t xml:space="preserve">nclude licensed personal care boarding homes (group homes), supported apartment living programs, or supported inpatient programs designed for long-term living at the completion of the rehabilitation continuum. SLPs are designed for those who, due to their </w:t>
      </w:r>
      <w:r w:rsidR="0056633D">
        <w:t>TBI</w:t>
      </w:r>
      <w:r w:rsidRPr="004E28BB">
        <w:t xml:space="preserve">, are not able to care for themselves </w:t>
      </w:r>
      <w:r w:rsidR="00083CFA" w:rsidRPr="004E28BB">
        <w:t xml:space="preserve">safely and independently </w:t>
      </w:r>
      <w:r w:rsidRPr="004E28BB">
        <w:t>in the community and for whom home placement is unavailable or inappropriate. Such programs are appropriate for individuals who are at risk for medical, cognitive, physical</w:t>
      </w:r>
      <w:r w:rsidR="00083CFA">
        <w:t>,</w:t>
      </w:r>
      <w:r w:rsidRPr="004E28BB">
        <w:t xml:space="preserve"> and psychological complications, but who do not require a secured setting. Housing, food, supervision, activity programs, sheltered employment, transportation</w:t>
      </w:r>
      <w:r w:rsidR="00083CFA">
        <w:t>,</w:t>
      </w:r>
      <w:r w:rsidRPr="004E28BB">
        <w:t xml:space="preserve"> and case management are typical </w:t>
      </w:r>
      <w:r w:rsidRPr="004E28BB">
        <w:lastRenderedPageBreak/>
        <w:t>components of supported living programs. These programs are becoming more available and are generally accepted services for individuals with chronic brain injury who are moderately to severely disabled, and who require care, supervision</w:t>
      </w:r>
      <w:r w:rsidR="00083CFA">
        <w:t>,</w:t>
      </w:r>
      <w:r w:rsidRPr="004E28BB">
        <w:t xml:space="preserve"> and support services.</w:t>
      </w:r>
      <w:r w:rsidR="00EA2ADD" w:rsidRPr="004E28BB">
        <w:t xml:space="preserve"> Specialty </w:t>
      </w:r>
      <w:r w:rsidR="00083CFA">
        <w:t>s</w:t>
      </w:r>
      <w:r w:rsidR="00EA2ADD" w:rsidRPr="004E28BB">
        <w:t xml:space="preserve">upported </w:t>
      </w:r>
      <w:r w:rsidR="00083CFA">
        <w:t>l</w:t>
      </w:r>
      <w:r w:rsidR="00EA2ADD" w:rsidRPr="004E28BB">
        <w:t xml:space="preserve">iving </w:t>
      </w:r>
      <w:r w:rsidR="00083CFA">
        <w:t>p</w:t>
      </w:r>
      <w:r w:rsidR="00EA2ADD" w:rsidRPr="004E28BB">
        <w:t>rograms are available for behaviorally challenged individuals.</w:t>
      </w:r>
      <w:r w:rsidRPr="004E28BB">
        <w:t xml:space="preserve"> Long-term residential services should be accredited by </w:t>
      </w:r>
      <w:r w:rsidR="00083CFA">
        <w:t xml:space="preserve">the </w:t>
      </w:r>
      <w:r w:rsidRPr="004E28BB">
        <w:t xml:space="preserve">Joint Commission. </w:t>
      </w:r>
      <w:bookmarkEnd w:id="418"/>
    </w:p>
    <w:p w:rsidR="003B4CBC" w:rsidRPr="004E28BB" w:rsidRDefault="003B4CBC" w:rsidP="00D41D04">
      <w:pPr>
        <w:pStyle w:val="ListNumber2"/>
      </w:pPr>
      <w:bookmarkStart w:id="450" w:name="OLE_LINK15"/>
      <w:bookmarkStart w:id="451" w:name="_Toc394643367"/>
      <w:r w:rsidRPr="004E28BB">
        <w:rPr>
          <w:rStyle w:val="Guide2-123Char"/>
        </w:rPr>
        <w:t>ACTIVITES OF DAILY LIVING (ADL</w:t>
      </w:r>
      <w:r w:rsidR="000379D6" w:rsidRPr="004E28BB">
        <w:rPr>
          <w:rStyle w:val="Guide2-123Char"/>
          <w:caps w:val="0"/>
        </w:rPr>
        <w:t>s)</w:t>
      </w:r>
      <w:bookmarkEnd w:id="451"/>
      <w:r w:rsidR="000379D6" w:rsidRPr="004E28BB">
        <w:t xml:space="preserve">: </w:t>
      </w:r>
      <w:r w:rsidRPr="004E28BB">
        <w:t xml:space="preserve">(also called daily living skills, life skills or living skills) </w:t>
      </w:r>
      <w:r w:rsidR="009C3EC3">
        <w:t>T</w:t>
      </w:r>
      <w:r w:rsidRPr="004E28BB">
        <w:t>asks necessary for an individual’s day-to-day functioning, includ</w:t>
      </w:r>
      <w:r w:rsidR="009C3EC3">
        <w:t>ing</w:t>
      </w:r>
      <w:r w:rsidRPr="004E28BB">
        <w:t xml:space="preserve"> both basic and instrumental level tasks. ADL functional limitations and disabilities in ADLs are common following TBI and </w:t>
      </w:r>
      <w:r w:rsidR="009C3EC3">
        <w:t xml:space="preserve">are often </w:t>
      </w:r>
      <w:r w:rsidRPr="004E28BB">
        <w:t>due to changes in physical, cognitive</w:t>
      </w:r>
      <w:r w:rsidR="009C3EC3">
        <w:t>,</w:t>
      </w:r>
      <w:r w:rsidRPr="004E28BB">
        <w:t xml:space="preserve"> and emotional/behavioral impairments. Functional limitations and disability in these areas may range from mild to severe, as well as from short-term to life-long.</w:t>
      </w:r>
      <w:r w:rsidRPr="004E28BB">
        <w:br/>
      </w:r>
      <w:r w:rsidRPr="004E28BB">
        <w:br/>
        <w:t xml:space="preserve">Therapeutic intervention for ADLs is generally accepted and widely used. The goal of treatment is to improve one’s ability to perform such tasks, in order to increase functional levels of independence. There is good evidence in the stroke population that occupational therapy provides a modest reduction </w:t>
      </w:r>
      <w:r w:rsidR="00873B39" w:rsidRPr="004E28BB">
        <w:t>in disability and risk of death</w:t>
      </w:r>
      <w:r w:rsidRPr="004E28BB">
        <w:rPr>
          <w:rStyle w:val="GuideCitesCharChar"/>
        </w:rPr>
        <w:t xml:space="preserve"> (</w:t>
      </w:r>
      <w:r w:rsidRPr="00C90E07">
        <w:rPr>
          <w:rStyle w:val="GuideCitesCharChar"/>
          <w:highlight w:val="yellow"/>
        </w:rPr>
        <w:t>[</w:t>
      </w:r>
      <w:hyperlink w:anchor="Legg2006" w:history="1">
        <w:r w:rsidRPr="009018EE">
          <w:rPr>
            <w:rStyle w:val="Hyperlink"/>
            <w:rFonts w:cs="Arial"/>
            <w:highlight w:val="yellow"/>
          </w:rPr>
          <w:t>Cochrane] Legg, 2006</w:t>
        </w:r>
      </w:hyperlink>
      <w:r w:rsidRPr="004E28BB">
        <w:rPr>
          <w:rStyle w:val="GuideCitesCharChar"/>
        </w:rPr>
        <w:t>)</w:t>
      </w:r>
      <w:r w:rsidR="00873B39" w:rsidRPr="004E28BB">
        <w:t>.</w:t>
      </w:r>
      <w:r w:rsidRPr="004E28BB">
        <w:t xml:space="preserve"> By including ADLs in treatment, cognitive improvements may occur by applying cognitive rehabilitation principles to the task performance. Likewise, physical deficits may be improved by applying neuromuscular rehabilitation principles to the task performance.</w:t>
      </w:r>
    </w:p>
    <w:p w:rsidR="003B4CBC" w:rsidRPr="004E28BB" w:rsidRDefault="003B4CBC" w:rsidP="00D41D04">
      <w:pPr>
        <w:pStyle w:val="ListNumber3"/>
      </w:pPr>
      <w:bookmarkStart w:id="452" w:name="_Toc319922576"/>
      <w:bookmarkStart w:id="453" w:name="_Toc394643368"/>
      <w:r w:rsidRPr="004E28BB">
        <w:rPr>
          <w:rStyle w:val="Guide3-abcdChar"/>
        </w:rPr>
        <w:t>Basic ADLs</w:t>
      </w:r>
      <w:bookmarkEnd w:id="452"/>
      <w:bookmarkEnd w:id="453"/>
      <w:r w:rsidRPr="004E28BB">
        <w:t xml:space="preserve">: </w:t>
      </w:r>
      <w:r w:rsidR="009C3EC3">
        <w:t>I</w:t>
      </w:r>
      <w:r w:rsidRPr="004E28BB">
        <w:t xml:space="preserve">nclude daily activities </w:t>
      </w:r>
      <w:r w:rsidR="009C3EC3">
        <w:t>that</w:t>
      </w:r>
      <w:r w:rsidRPr="004E28BB">
        <w:t xml:space="preserve"> tend to be repetitive, routine</w:t>
      </w:r>
      <w:r w:rsidR="009C3EC3">
        <w:t>,</w:t>
      </w:r>
      <w:r w:rsidRPr="004E28BB">
        <w:t xml:space="preserve"> and </w:t>
      </w:r>
      <w:r w:rsidR="009C3EC3">
        <w:t>that</w:t>
      </w:r>
      <w:r w:rsidR="009C3EC3" w:rsidRPr="004E28BB">
        <w:t xml:space="preserve"> </w:t>
      </w:r>
      <w:r w:rsidRPr="004E28BB">
        <w:t>may more readily be gained through procedural learning, such as grooming, personal hygiene, bathing/showering, toileting, dressing, feeding/eating</w:t>
      </w:r>
      <w:r w:rsidR="009C3EC3">
        <w:t>,</w:t>
      </w:r>
      <w:r w:rsidRPr="004E28BB">
        <w:t xml:space="preserve"> and basic social skills.</w:t>
      </w:r>
    </w:p>
    <w:p w:rsidR="003B4CBC" w:rsidRPr="004E28BB" w:rsidRDefault="003B4CBC" w:rsidP="00D41D04">
      <w:pPr>
        <w:pStyle w:val="ListNumber3"/>
      </w:pPr>
      <w:bookmarkStart w:id="454" w:name="_Toc319922577"/>
      <w:bookmarkStart w:id="455" w:name="_Toc394643369"/>
      <w:r w:rsidRPr="004E28BB">
        <w:rPr>
          <w:rStyle w:val="Guide3-abcdChar"/>
        </w:rPr>
        <w:t>Instrumental ADLs (IADL</w:t>
      </w:r>
      <w:r w:rsidR="009C3EC3">
        <w:rPr>
          <w:rStyle w:val="Guide3-abcdChar"/>
        </w:rPr>
        <w:t>s</w:t>
      </w:r>
      <w:r w:rsidRPr="004E28BB">
        <w:rPr>
          <w:rStyle w:val="Guide3-abcdChar"/>
        </w:rPr>
        <w:t>)</w:t>
      </w:r>
      <w:bookmarkEnd w:id="454"/>
      <w:bookmarkEnd w:id="455"/>
      <w:r w:rsidRPr="004E28BB">
        <w:t xml:space="preserve">: </w:t>
      </w:r>
      <w:r w:rsidR="009C3EC3">
        <w:t>I</w:t>
      </w:r>
      <w:r w:rsidRPr="004E28BB">
        <w:t>nclude a wide</w:t>
      </w:r>
      <w:r w:rsidR="009C3EC3">
        <w:t xml:space="preserve"> </w:t>
      </w:r>
      <w:r w:rsidRPr="004E28BB">
        <w:t>range of activities that require higher level cognitive skills, including the ability to plan, execute</w:t>
      </w:r>
      <w:r w:rsidR="009C3EC3">
        <w:t>,</w:t>
      </w:r>
      <w:r w:rsidRPr="004E28BB">
        <w:t xml:space="preserve"> and monitor performance, </w:t>
      </w:r>
      <w:r w:rsidR="009C3EC3">
        <w:t xml:space="preserve">as well as the ability to </w:t>
      </w:r>
      <w:r w:rsidRPr="004E28BB">
        <w:t>evaluate information and make sound judgments. These abilities are essential to safe, independent functioning. They may include functional communication (e.g., writing, keyboarding, appropriate use of phone), home management, childcare, time management, financial management, food management, management of interpersonal relationships and social skills, avocation, driving</w:t>
      </w:r>
      <w:r w:rsidR="009C3EC3">
        <w:t>,</w:t>
      </w:r>
      <w:r w:rsidRPr="004E28BB">
        <w:t xml:space="preserve"> and higher level mobility skills (including navigation and public transportation).</w:t>
      </w:r>
    </w:p>
    <w:p w:rsidR="003B4CBC" w:rsidRPr="004E28BB" w:rsidRDefault="003B4CBC" w:rsidP="00D41D04">
      <w:pPr>
        <w:ind w:left="1440"/>
      </w:pPr>
      <w:r w:rsidRPr="004E28BB">
        <w:t xml:space="preserve">Therapeutic intervention is generally accepted to improve performance of ADLs. Procedures and techniques may include, but are not limited to: </w:t>
      </w:r>
      <w:r w:rsidR="001B3B4C">
        <w:t>(</w:t>
      </w:r>
      <w:r w:rsidRPr="004E28BB">
        <w:t xml:space="preserve">1) task analysis to develop strategies to improve task performance; </w:t>
      </w:r>
      <w:r w:rsidR="001B3B4C">
        <w:t>(</w:t>
      </w:r>
      <w:r w:rsidRPr="004E28BB">
        <w:t xml:space="preserve">2) guided practice and repetition to develop consistent and safe performance; </w:t>
      </w:r>
      <w:r w:rsidR="001B3B4C">
        <w:t>(</w:t>
      </w:r>
      <w:r w:rsidRPr="004E28BB">
        <w:t xml:space="preserve">3) training in safe use of adaptive equipment; and </w:t>
      </w:r>
      <w:r w:rsidR="000379D6">
        <w:t>(</w:t>
      </w:r>
      <w:r w:rsidRPr="004E28BB">
        <w:t>4) training of caregiver(s).</w:t>
      </w:r>
      <w:r w:rsidRPr="004E28BB">
        <w:br/>
      </w:r>
      <w:r w:rsidRPr="004E28BB">
        <w:br/>
        <w:t>All treatment should be interdisciplinary</w:t>
      </w:r>
      <w:r w:rsidR="00801993" w:rsidRPr="004E28BB">
        <w:t>.</w:t>
      </w:r>
      <w:r w:rsidRPr="004E28BB">
        <w:t xml:space="preserve"> Treatment in </w:t>
      </w:r>
      <w:r w:rsidR="007843ED">
        <w:t>sub-</w:t>
      </w:r>
      <w:r w:rsidRPr="004E28BB">
        <w:t>acute and acute rehabilitation is provided by one or more therapeutic disciplines, including occupational therapy, physical therapy, speech-language pathology, social work, family counseling, psychology, nursing</w:t>
      </w:r>
      <w:r w:rsidR="009C3EC3">
        <w:t>,</w:t>
      </w:r>
      <w:r w:rsidRPr="004E28BB">
        <w:t xml:space="preserve"> and/or vocational rehabilitation as tolerated. In post-acute settings (which may include residential or outpatient), treatment sessions may be provided by more than one discipline. For in-home and community-based treatment, interdisciplinary treatment continues until: </w:t>
      </w:r>
      <w:r w:rsidR="001B3B4C">
        <w:t>(</w:t>
      </w:r>
      <w:r w:rsidRPr="004E28BB">
        <w:t xml:space="preserve">1) functional goals/outcomes are achieved; </w:t>
      </w:r>
      <w:r w:rsidR="001B3B4C">
        <w:t>(</w:t>
      </w:r>
      <w:r w:rsidRPr="004E28BB">
        <w:t xml:space="preserve">2) plateau in progress is reached; </w:t>
      </w:r>
      <w:r w:rsidR="001B3B4C">
        <w:t>(</w:t>
      </w:r>
      <w:r w:rsidRPr="004E28BB">
        <w:t>3) the individual is unable to participate in treatment due to medical, psychological</w:t>
      </w:r>
      <w:r w:rsidR="009C3EC3">
        <w:t>,</w:t>
      </w:r>
      <w:r w:rsidRPr="004E28BB">
        <w:t xml:space="preserve"> or social factors; or </w:t>
      </w:r>
      <w:r w:rsidR="001B3B4C">
        <w:t>(</w:t>
      </w:r>
      <w:r w:rsidRPr="004E28BB">
        <w:t>4) skilled services are no longer needed.</w:t>
      </w:r>
    </w:p>
    <w:p w:rsidR="003B4CBC" w:rsidRPr="004E28BB" w:rsidRDefault="003B4CBC" w:rsidP="00D41D04">
      <w:pPr>
        <w:ind w:left="2160" w:hanging="360"/>
      </w:pPr>
      <w:r w:rsidRPr="004E28BB">
        <w:sym w:font="Wingdings" w:char="F076"/>
      </w:r>
      <w:r w:rsidRPr="004E28BB">
        <w:tab/>
        <w:t xml:space="preserve">Time to </w:t>
      </w:r>
      <w:r w:rsidR="009C3EC3">
        <w:t>P</w:t>
      </w:r>
      <w:r w:rsidRPr="004E28BB">
        <w:t xml:space="preserve">roduce </w:t>
      </w:r>
      <w:r w:rsidR="009C3EC3">
        <w:t>E</w:t>
      </w:r>
      <w:r w:rsidRPr="004E28BB">
        <w:t xml:space="preserve">ffect: </w:t>
      </w:r>
      <w:r w:rsidR="009C3EC3">
        <w:t>W</w:t>
      </w:r>
      <w:r w:rsidRPr="004E28BB">
        <w:t xml:space="preserve">hile rate of progress will depend on the severity and complexity of the injury, effect of treatment should be noted within one month, </w:t>
      </w:r>
      <w:r w:rsidRPr="004E28BB">
        <w:lastRenderedPageBreak/>
        <w:t>with ongoing progress noted over a longer period</w:t>
      </w:r>
      <w:r w:rsidR="009C3EC3">
        <w:t>,</w:t>
      </w:r>
      <w:r w:rsidRPr="004E28BB">
        <w:t xml:space="preserve"> which may last up to two years or more. Treatment may be provided on an episodic basis to accommodate plateaus in the individual’s progress, with suspension of treatment for periods of time to allow for practice.</w:t>
      </w:r>
    </w:p>
    <w:p w:rsidR="003B4CBC" w:rsidRPr="004E28BB" w:rsidRDefault="003B4CBC" w:rsidP="00D41D04">
      <w:pPr>
        <w:ind w:left="2160" w:hanging="360"/>
      </w:pPr>
      <w:r w:rsidRPr="004E28BB">
        <w:sym w:font="Wingdings" w:char="F076"/>
      </w:r>
      <w:r w:rsidRPr="004E28BB">
        <w:tab/>
        <w:t>Frequency: Daily</w:t>
      </w:r>
      <w:r w:rsidR="009C3EC3">
        <w:t>,</w:t>
      </w:r>
      <w:r w:rsidRPr="004E28BB">
        <w:t xml:space="preserve"> depending on the individual’s progress, sessions may vary from one to several hours depending upon individual’s ability to respond to treatment. Periodic upgrading or consultation may be necessary throughout the individual’s lifetime following TBI.</w:t>
      </w:r>
    </w:p>
    <w:p w:rsidR="003B4CBC" w:rsidRPr="004E28BB" w:rsidRDefault="003B4CBC" w:rsidP="00D41D04">
      <w:pPr>
        <w:ind w:left="2160" w:hanging="360"/>
      </w:pPr>
      <w:r w:rsidRPr="004E28BB">
        <w:sym w:font="Wingdings" w:char="F076"/>
      </w:r>
      <w:r w:rsidRPr="004E28BB">
        <w:tab/>
        <w:t xml:space="preserve">Optimum </w:t>
      </w:r>
      <w:r w:rsidR="00212E30">
        <w:t>D</w:t>
      </w:r>
      <w:r w:rsidRPr="004E28BB">
        <w:t>uration: 1 to 12 months</w:t>
      </w:r>
      <w:r w:rsidR="00212E30">
        <w:t>.</w:t>
      </w:r>
    </w:p>
    <w:p w:rsidR="003B4CBC" w:rsidRPr="004E28BB" w:rsidRDefault="003B4CBC" w:rsidP="00D41D04">
      <w:pPr>
        <w:ind w:left="2160" w:hanging="360"/>
      </w:pPr>
      <w:r w:rsidRPr="004E28BB">
        <w:sym w:font="Wingdings" w:char="F076"/>
      </w:r>
      <w:r w:rsidRPr="004E28BB">
        <w:tab/>
        <w:t xml:space="preserve">Maximum </w:t>
      </w:r>
      <w:r w:rsidR="009A73FF">
        <w:t>D</w:t>
      </w:r>
      <w:r w:rsidRPr="004E28BB">
        <w:t>uration: 24 months or beyond, requires documentation of progress or the need for maintenance to retain ADLs</w:t>
      </w:r>
      <w:r w:rsidR="00212E30">
        <w:t>.</w:t>
      </w:r>
      <w:r w:rsidRPr="004E28BB">
        <w:t xml:space="preserve"> </w:t>
      </w:r>
    </w:p>
    <w:p w:rsidR="003B4CBC" w:rsidRPr="004E28BB" w:rsidRDefault="003B4CBC" w:rsidP="00D41D04">
      <w:pPr>
        <w:ind w:left="1440"/>
      </w:pPr>
      <w:r w:rsidRPr="004E28BB">
        <w:t>Therapy may be re-initiated for time</w:t>
      </w:r>
      <w:r w:rsidR="009C3EC3">
        <w:t xml:space="preserve"> </w:t>
      </w:r>
      <w:r w:rsidRPr="004E28BB">
        <w:t>limited, goal-specific treatment as new goals are developed.</w:t>
      </w:r>
      <w:r w:rsidRPr="004E28BB">
        <w:br/>
      </w:r>
      <w:r w:rsidRPr="004E28BB">
        <w:br/>
        <w:t xml:space="preserve">Impaired cognition significantly affects the rate, degree, and manner of progress toward independence in ADLs. In addition, skills learned in one setting or circumstance may facilitate transfer of skills. All treatment to improve performance in this area </w:t>
      </w:r>
      <w:r w:rsidR="002523D1" w:rsidRPr="004E28BB">
        <w:t>should</w:t>
      </w:r>
      <w:r w:rsidRPr="004E28BB">
        <w:t xml:space="preserve"> include techniques to improve cognition as well.</w:t>
      </w:r>
      <w:r w:rsidRPr="004E28BB">
        <w:br/>
      </w:r>
      <w:r w:rsidRPr="004E28BB">
        <w:br/>
        <w:t>Standard equipment to alleviate the effects of the injury on the performance of ADLs may vary from simple to complex adaptive devices to enhance independence and safety. Certain equipment related to cognitive impairments may also be required. Equipment needs should be reassessed periodically.</w:t>
      </w:r>
      <w:r w:rsidRPr="004E28BB">
        <w:br/>
      </w:r>
      <w:r w:rsidRPr="004E28BB">
        <w:br/>
        <w:t>The results of treatment intervention provided throughout the continuum of progress beginning with acute care may be realized in the final stages of integration back into the individual’s community setting. As noted above, treatment is often indicated at this stage to ensure that the individual is able to reintegrate as successfully as possible, given the parameters of the injury.</w:t>
      </w:r>
    </w:p>
    <w:p w:rsidR="007924DF" w:rsidRPr="004E28BB" w:rsidRDefault="007924DF" w:rsidP="00D41D04">
      <w:pPr>
        <w:pStyle w:val="ListNumber2"/>
      </w:pPr>
      <w:bookmarkStart w:id="456" w:name="OLE_LINK16"/>
      <w:bookmarkStart w:id="457" w:name="_Toc394643370"/>
      <w:bookmarkEnd w:id="450"/>
      <w:r w:rsidRPr="004E28BB">
        <w:rPr>
          <w:rStyle w:val="Guide2-123Char"/>
        </w:rPr>
        <w:t>MOBILITY</w:t>
      </w:r>
      <w:bookmarkEnd w:id="457"/>
      <w:r w:rsidR="00212E30" w:rsidRPr="004E28BB">
        <w:t>:</w:t>
      </w:r>
      <w:r w:rsidRPr="004E28BB">
        <w:tab/>
      </w:r>
    </w:p>
    <w:p w:rsidR="007924DF" w:rsidRPr="004E28BB" w:rsidRDefault="007924DF" w:rsidP="00D41D04">
      <w:pPr>
        <w:pStyle w:val="ListNumber3"/>
        <w:rPr>
          <w:i/>
        </w:rPr>
      </w:pPr>
      <w:bookmarkStart w:id="458" w:name="_Toc319922602"/>
      <w:bookmarkStart w:id="459" w:name="_Toc394643371"/>
      <w:r w:rsidRPr="004E28BB">
        <w:rPr>
          <w:rStyle w:val="Guide3-abcdChar"/>
        </w:rPr>
        <w:t>Therapy</w:t>
      </w:r>
      <w:bookmarkEnd w:id="458"/>
      <w:bookmarkEnd w:id="459"/>
      <w:r w:rsidRPr="004E28BB">
        <w:t xml:space="preserve">: Individuals who have sustained a </w:t>
      </w:r>
      <w:r w:rsidR="009C3EC3">
        <w:t>m</w:t>
      </w:r>
      <w:r w:rsidRPr="004E28BB">
        <w:t>oderate/</w:t>
      </w:r>
      <w:r w:rsidR="009C3EC3">
        <w:t>s</w:t>
      </w:r>
      <w:r w:rsidRPr="004E28BB">
        <w:t>evere TBI may experience changes in their mobility control and may require medical, surgical, physical</w:t>
      </w:r>
      <w:r w:rsidR="009C3EC3">
        <w:t>,</w:t>
      </w:r>
      <w:r w:rsidRPr="004E28BB">
        <w:t xml:space="preserve"> and functional therapeutic management to improve their movement and function. Impairments may affect functional skills</w:t>
      </w:r>
      <w:r w:rsidR="009C3EC3">
        <w:t>,</w:t>
      </w:r>
      <w:r w:rsidRPr="004E28BB">
        <w:t xml:space="preserve"> including a propensity for falls, and may be seen in the following areas: bed mobility, wheelchair mobility, seating and positioning, transfers</w:t>
      </w:r>
      <w:r w:rsidR="009C3EC3">
        <w:t>,</w:t>
      </w:r>
      <w:r w:rsidRPr="004E28BB">
        <w:t xml:space="preserve"> and ambulation.</w:t>
      </w:r>
      <w:r w:rsidRPr="004E28BB">
        <w:br/>
      </w:r>
      <w:r w:rsidRPr="004E28BB">
        <w:br/>
        <w:t>Therapeutic intervention supervised by a physical or occupational therapist is generally accepted and widely used to improve performance of mobility impairments. Treatment may include, but is not limited to, the areas of bed and mat mobility skills, sensory integration, endurance, balance, coordination, strengthening, stretching, gait training, neuromuscular re-education and postural control. Training is also indicated for individuals and their family</w:t>
      </w:r>
      <w:r w:rsidR="00387A03">
        <w:t xml:space="preserve"> and</w:t>
      </w:r>
      <w:r w:rsidRPr="004E28BB">
        <w:t>/</w:t>
      </w:r>
      <w:r w:rsidR="00387A03">
        <w:t xml:space="preserve">or </w:t>
      </w:r>
      <w:r w:rsidRPr="004E28BB">
        <w:t xml:space="preserve">support system in the areas of wheelchair mobility, seating and positioning, </w:t>
      </w:r>
      <w:r w:rsidR="007C2488">
        <w:t>ROM</w:t>
      </w:r>
      <w:r w:rsidRPr="004E28BB">
        <w:t>, functional mobility (bed mobility, and transfers, ambulation)</w:t>
      </w:r>
      <w:r w:rsidR="009C3EC3">
        <w:t>,</w:t>
      </w:r>
      <w:r w:rsidRPr="004E28BB">
        <w:t xml:space="preserve"> and therapeutic exercise. The use of modalities (functional electrical stimulation, TENS, ultrasound, phonophoresis, biofeedback) may be indicated to improve function. Passive modalities should not be utilized in isolation without a comprehensive therapeutic intervention program. Other indicated therapies may include pool therapy, casting/splinting programs</w:t>
      </w:r>
      <w:r w:rsidR="009C3EC3">
        <w:t>,</w:t>
      </w:r>
      <w:r w:rsidRPr="004E28BB">
        <w:t xml:space="preserve"> and facility-based exercise programs. </w:t>
      </w:r>
      <w:r w:rsidRPr="004E28BB">
        <w:lastRenderedPageBreak/>
        <w:t>Orthopedic and/or neuromuscular problems may develop along with mobility impairments. These may include, but are not limited to, heterotopic ossification, limb contractures, and abnormal tone, which may interfere with the advancement of independence with mobility skills.</w:t>
      </w:r>
      <w:r w:rsidR="00DC10F4" w:rsidRPr="004E28BB">
        <w:br/>
      </w:r>
      <w:r w:rsidR="00DC10F4" w:rsidRPr="004E28BB">
        <w:br/>
      </w:r>
      <w:r w:rsidRPr="004E28BB">
        <w:t>Therapy to improve gait after moderate</w:t>
      </w:r>
      <w:r w:rsidR="009C3EC3">
        <w:t>/</w:t>
      </w:r>
      <w:r w:rsidRPr="004E28BB">
        <w:t>severe TBI or stroke</w:t>
      </w:r>
      <w:r w:rsidR="006054C0" w:rsidRPr="004E28BB">
        <w:t xml:space="preserve"> </w:t>
      </w:r>
      <w:r w:rsidRPr="004E28BB">
        <w:t>with foot drop or other gait difficulties, is variable and includes treadmill training with body weight support, unsupported treadmill walking, electromyographic biofeedback with therapy, use of gait assistive devices such as a stick or frames and other therapist facilitated therapy.</w:t>
      </w:r>
      <w:r w:rsidR="006054C0" w:rsidRPr="004E28BB">
        <w:t xml:space="preserve"> </w:t>
      </w:r>
      <w:r w:rsidRPr="004E28BB">
        <w:t>None of these therapies is clearly superior to another</w:t>
      </w:r>
      <w:r w:rsidRPr="004E28BB">
        <w:rPr>
          <w:rStyle w:val="GuideCitesCharChar"/>
        </w:rPr>
        <w:t xml:space="preserve"> (</w:t>
      </w:r>
      <w:hyperlink w:anchor="Williams2011" w:history="1">
        <w:r w:rsidRPr="009018EE">
          <w:rPr>
            <w:rStyle w:val="Hyperlink"/>
            <w:rFonts w:cs="Arial"/>
            <w:highlight w:val="yellow"/>
          </w:rPr>
          <w:t>Williams, 2011</w:t>
        </w:r>
      </w:hyperlink>
      <w:r w:rsidR="00F40CFD" w:rsidRPr="00C90E07">
        <w:rPr>
          <w:rStyle w:val="GuideCitesCharChar"/>
          <w:highlight w:val="yellow"/>
        </w:rPr>
        <w:t>;</w:t>
      </w:r>
      <w:r w:rsidRPr="00C90E07">
        <w:rPr>
          <w:rStyle w:val="GuideCitesCharChar"/>
          <w:highlight w:val="yellow"/>
        </w:rPr>
        <w:t xml:space="preserve"> </w:t>
      </w:r>
      <w:r w:rsidR="00F40CFD" w:rsidRPr="00C90E07">
        <w:rPr>
          <w:rStyle w:val="GuideCitesCharChar"/>
          <w:highlight w:val="yellow"/>
        </w:rPr>
        <w:t>[</w:t>
      </w:r>
      <w:hyperlink w:anchor="Moseley2005" w:history="1">
        <w:r w:rsidRPr="009018EE">
          <w:rPr>
            <w:rStyle w:val="Hyperlink"/>
            <w:rFonts w:cs="Arial"/>
            <w:highlight w:val="yellow"/>
          </w:rPr>
          <w:t>Cochrane</w:t>
        </w:r>
        <w:r w:rsidR="00F40CFD" w:rsidRPr="009018EE">
          <w:rPr>
            <w:rStyle w:val="Hyperlink"/>
            <w:rFonts w:cs="Arial"/>
            <w:highlight w:val="yellow"/>
          </w:rPr>
          <w:t>]</w:t>
        </w:r>
        <w:r w:rsidRPr="009018EE">
          <w:rPr>
            <w:rStyle w:val="Hyperlink"/>
            <w:rFonts w:cs="Arial"/>
            <w:highlight w:val="yellow"/>
          </w:rPr>
          <w:t xml:space="preserve"> Moseley</w:t>
        </w:r>
        <w:r w:rsidR="00F40CFD" w:rsidRPr="009018EE">
          <w:rPr>
            <w:rStyle w:val="Hyperlink"/>
            <w:rFonts w:cs="Arial"/>
            <w:highlight w:val="yellow"/>
          </w:rPr>
          <w:t>,</w:t>
        </w:r>
        <w:r w:rsidRPr="009018EE">
          <w:rPr>
            <w:rStyle w:val="Hyperlink"/>
            <w:rFonts w:cs="Arial"/>
            <w:highlight w:val="yellow"/>
          </w:rPr>
          <w:t xml:space="preserve"> 2005</w:t>
        </w:r>
      </w:hyperlink>
      <w:r w:rsidR="00F40CFD" w:rsidRPr="00C90E07">
        <w:rPr>
          <w:rStyle w:val="GuideCitesCharChar"/>
          <w:highlight w:val="yellow"/>
        </w:rPr>
        <w:t>;</w:t>
      </w:r>
      <w:r w:rsidRPr="00C90E07">
        <w:rPr>
          <w:rStyle w:val="GuideCitesCharChar"/>
          <w:highlight w:val="yellow"/>
        </w:rPr>
        <w:t xml:space="preserve"> </w:t>
      </w:r>
      <w:hyperlink w:anchor="Intiso1994" w:history="1">
        <w:r w:rsidRPr="009018EE">
          <w:rPr>
            <w:rStyle w:val="Hyperlink"/>
            <w:rFonts w:cs="Arial"/>
            <w:highlight w:val="yellow"/>
          </w:rPr>
          <w:t xml:space="preserve">Intiso, </w:t>
        </w:r>
        <w:r w:rsidR="00F40CFD" w:rsidRPr="009018EE">
          <w:rPr>
            <w:rStyle w:val="Hyperlink"/>
            <w:rFonts w:cs="Arial"/>
            <w:highlight w:val="yellow"/>
          </w:rPr>
          <w:t>1</w:t>
        </w:r>
        <w:r w:rsidRPr="009018EE">
          <w:rPr>
            <w:rStyle w:val="Hyperlink"/>
            <w:rFonts w:cs="Arial"/>
            <w:highlight w:val="yellow"/>
          </w:rPr>
          <w:t>994</w:t>
        </w:r>
      </w:hyperlink>
      <w:r w:rsidR="00F40CFD" w:rsidRPr="00C90E07">
        <w:rPr>
          <w:rStyle w:val="GuideCitesCharChar"/>
          <w:highlight w:val="yellow"/>
        </w:rPr>
        <w:t>;</w:t>
      </w:r>
      <w:r w:rsidRPr="00C90E07">
        <w:rPr>
          <w:rStyle w:val="GuideCitesCharChar"/>
          <w:highlight w:val="yellow"/>
        </w:rPr>
        <w:t xml:space="preserve"> </w:t>
      </w:r>
      <w:hyperlink w:anchor="Brown2005" w:history="1">
        <w:r w:rsidRPr="009018EE">
          <w:rPr>
            <w:rStyle w:val="Hyperlink"/>
            <w:rFonts w:cs="Arial"/>
            <w:highlight w:val="yellow"/>
          </w:rPr>
          <w:t>Brown</w:t>
        </w:r>
        <w:r w:rsidR="00F40CFD" w:rsidRPr="009018EE">
          <w:rPr>
            <w:rStyle w:val="Hyperlink"/>
            <w:rFonts w:cs="Arial"/>
            <w:highlight w:val="yellow"/>
          </w:rPr>
          <w:t>,</w:t>
        </w:r>
        <w:r w:rsidRPr="009018EE">
          <w:rPr>
            <w:rStyle w:val="Hyperlink"/>
            <w:rFonts w:cs="Arial"/>
            <w:highlight w:val="yellow"/>
          </w:rPr>
          <w:t xml:space="preserve"> 2005</w:t>
        </w:r>
      </w:hyperlink>
      <w:r w:rsidRPr="004E28BB">
        <w:rPr>
          <w:rStyle w:val="GuideCitesCharChar"/>
        </w:rPr>
        <w:t>)</w:t>
      </w:r>
      <w:r w:rsidR="00873B39" w:rsidRPr="004E28BB">
        <w:t>.</w:t>
      </w:r>
      <w:r w:rsidRPr="004E28BB">
        <w:t xml:space="preserve"> </w:t>
      </w:r>
      <w:r w:rsidR="00DC10F4" w:rsidRPr="004E28BB">
        <w:br/>
      </w:r>
      <w:r w:rsidR="00DC10F4" w:rsidRPr="004E28BB">
        <w:br/>
      </w:r>
      <w:r w:rsidRPr="004E28BB">
        <w:t xml:space="preserve">Music </w:t>
      </w:r>
      <w:r w:rsidR="009C3EC3">
        <w:t>t</w:t>
      </w:r>
      <w:r w:rsidRPr="004E28BB">
        <w:t xml:space="preserve">herapy is commonly employed for moderate/severe TBI patients. There is good evidence for improving gait speed in acquired </w:t>
      </w:r>
      <w:r w:rsidR="0056633D">
        <w:t>TBI</w:t>
      </w:r>
      <w:r w:rsidRPr="004E28BB">
        <w:t xml:space="preserve"> patients with music therapy </w:t>
      </w:r>
      <w:r w:rsidR="00506E14">
        <w:t>and some evidence that music therapy may improve gait symmetry, cadence</w:t>
      </w:r>
      <w:r w:rsidR="001D127F">
        <w:t>,</w:t>
      </w:r>
      <w:r w:rsidR="00506E14">
        <w:t xml:space="preserve"> and stride length, </w:t>
      </w:r>
      <w:r w:rsidRPr="004E28BB">
        <w:t>although changes i</w:t>
      </w:r>
      <w:r w:rsidR="00873B39" w:rsidRPr="004E28BB">
        <w:t>n gait endurance are less clear</w:t>
      </w:r>
      <w:r w:rsidR="00873B39" w:rsidRPr="004E28BB">
        <w:rPr>
          <w:rStyle w:val="GuideCitesCharChar"/>
        </w:rPr>
        <w:t xml:space="preserve"> </w:t>
      </w:r>
      <w:r w:rsidRPr="00C90E07">
        <w:rPr>
          <w:rStyle w:val="GuideCitesCharChar"/>
          <w:highlight w:val="yellow"/>
        </w:rPr>
        <w:t>([</w:t>
      </w:r>
      <w:hyperlink w:anchor="Bradt2010" w:history="1">
        <w:r w:rsidRPr="009018EE">
          <w:rPr>
            <w:rStyle w:val="Hyperlink"/>
            <w:rFonts w:cs="Arial"/>
            <w:highlight w:val="yellow"/>
          </w:rPr>
          <w:t>Cochrane] Bradt, 2010</w:t>
        </w:r>
      </w:hyperlink>
      <w:r w:rsidRPr="004E28BB">
        <w:rPr>
          <w:rStyle w:val="GuideCitesCharChar"/>
        </w:rPr>
        <w:t>)</w:t>
      </w:r>
      <w:r w:rsidRPr="004E28BB">
        <w:t xml:space="preserve">. </w:t>
      </w:r>
    </w:p>
    <w:p w:rsidR="007924DF" w:rsidRPr="004E28BB" w:rsidRDefault="007924DF" w:rsidP="00D41D04">
      <w:pPr>
        <w:ind w:left="2880" w:hanging="360"/>
      </w:pPr>
      <w:r w:rsidRPr="004E28BB">
        <w:sym w:font="Wingdings" w:char="F076"/>
      </w:r>
      <w:r w:rsidRPr="004E28BB">
        <w:tab/>
        <w:t xml:space="preserve">Time to </w:t>
      </w:r>
      <w:r w:rsidR="009C3EC3">
        <w:t>P</w:t>
      </w:r>
      <w:r w:rsidRPr="004E28BB">
        <w:t xml:space="preserve">roduce </w:t>
      </w:r>
      <w:r w:rsidR="009C3EC3">
        <w:t>E</w:t>
      </w:r>
      <w:r w:rsidRPr="004E28BB">
        <w:t xml:space="preserve">ffect: </w:t>
      </w:r>
      <w:r w:rsidR="009C3EC3">
        <w:t>W</w:t>
      </w:r>
      <w:r w:rsidRPr="004E28BB">
        <w:t>hile rate of progress will depend on the severity and complexity of the injury, effect of treatment should be noted within one month, with ongoing progress noted over a longer period</w:t>
      </w:r>
      <w:r w:rsidR="009C3EC3">
        <w:t>,</w:t>
      </w:r>
      <w:r w:rsidRPr="004E28BB">
        <w:t xml:space="preserve"> which may last up to two years or more. Treatment may be provided on an episodic basis to accommodate plateaus in the individual’s progress, with suspension of treatment for periods of time to allow for practice.</w:t>
      </w:r>
    </w:p>
    <w:p w:rsidR="007924DF" w:rsidRPr="004E28BB" w:rsidRDefault="007924DF" w:rsidP="00D41D04">
      <w:pPr>
        <w:ind w:left="2880" w:hanging="360"/>
      </w:pPr>
      <w:r w:rsidRPr="004E28BB">
        <w:sym w:font="Wingdings" w:char="F076"/>
      </w:r>
      <w:r w:rsidRPr="004E28BB">
        <w:tab/>
        <w:t>Frequency: Daily for moderate/severe TBI and less frequently for MTBI requiring treatment, usually 1</w:t>
      </w:r>
      <w:r w:rsidR="009C3EC3">
        <w:t>–</w:t>
      </w:r>
      <w:r w:rsidRPr="004E28BB">
        <w:t>3 times per week. Depending on the individual’s progress, sessions may vary from one to several hours</w:t>
      </w:r>
      <w:r w:rsidR="009C3EC3">
        <w:t>,</w:t>
      </w:r>
      <w:r w:rsidRPr="004E28BB">
        <w:t xml:space="preserve"> based on</w:t>
      </w:r>
      <w:r w:rsidR="006054C0" w:rsidRPr="004E28BB">
        <w:t xml:space="preserve"> </w:t>
      </w:r>
      <w:r w:rsidR="009C3EC3">
        <w:t>the</w:t>
      </w:r>
      <w:r w:rsidR="006054C0" w:rsidRPr="004E28BB">
        <w:t xml:space="preserve"> </w:t>
      </w:r>
      <w:r w:rsidRPr="004E28BB">
        <w:t xml:space="preserve">individual’s ability to respond to treatment and the setting. </w:t>
      </w:r>
    </w:p>
    <w:p w:rsidR="007924DF" w:rsidRPr="004E28BB" w:rsidRDefault="007924DF" w:rsidP="00D41D04">
      <w:pPr>
        <w:ind w:left="2880" w:hanging="360"/>
      </w:pPr>
      <w:r w:rsidRPr="004E28BB">
        <w:sym w:font="Wingdings" w:char="F076"/>
      </w:r>
      <w:r w:rsidRPr="004E28BB">
        <w:tab/>
        <w:t xml:space="preserve">Optimum </w:t>
      </w:r>
      <w:r w:rsidR="009C3EC3">
        <w:t>D</w:t>
      </w:r>
      <w:r w:rsidRPr="004E28BB">
        <w:t>uration: 1 to 12 months</w:t>
      </w:r>
      <w:r w:rsidR="00212E30">
        <w:t>.</w:t>
      </w:r>
    </w:p>
    <w:p w:rsidR="007924DF" w:rsidRPr="004E28BB" w:rsidRDefault="007924DF" w:rsidP="00D41D04">
      <w:pPr>
        <w:ind w:left="2880" w:hanging="360"/>
      </w:pPr>
      <w:r w:rsidRPr="004E28BB">
        <w:sym w:font="Wingdings" w:char="F076"/>
      </w:r>
      <w:r w:rsidRPr="004E28BB">
        <w:tab/>
        <w:t xml:space="preserve">Maximum </w:t>
      </w:r>
      <w:r w:rsidR="009C3EC3">
        <w:t>D</w:t>
      </w:r>
      <w:r w:rsidRPr="004E28BB">
        <w:t>uration: 24 months or beyond, requires documentation of progress or the need for maintenance to retain mobility. Periodic upgrading or consultation may be necessary throughout the individual’s lifetime following TBI.</w:t>
      </w:r>
    </w:p>
    <w:p w:rsidR="007924DF" w:rsidRPr="004E28BB" w:rsidRDefault="007924DF" w:rsidP="00D41D04">
      <w:pPr>
        <w:ind w:left="2160"/>
      </w:pPr>
      <w:r w:rsidRPr="004E28BB">
        <w:t>Short-term, goal</w:t>
      </w:r>
      <w:r w:rsidR="007843ED">
        <w:t>-</w:t>
      </w:r>
      <w:r w:rsidRPr="004E28BB">
        <w:t>directed mobility interventions may be periodically indicated on an ongoing basis as new changes occur in an individual’s functional mobility. Impaired cognition significantly affects mobility as noted by problems with attention, judgment, organization or auditory and/or visual instructions, memory, concentration, problem solving, behavior</w:t>
      </w:r>
      <w:r w:rsidR="009C3EC3">
        <w:t>,</w:t>
      </w:r>
      <w:r w:rsidRPr="004E28BB">
        <w:t xml:space="preserve"> and initiation. (Refer to discussion at the beginning of Section </w:t>
      </w:r>
      <w:hyperlink w:anchor="TBIGTherapeuticProceduresNonOp" w:history="1">
        <w:r w:rsidRPr="004E28BB">
          <w:rPr>
            <w:rStyle w:val="Hyperlink"/>
          </w:rPr>
          <w:t>G. Therapeutic Procedures – Nonoperative</w:t>
        </w:r>
      </w:hyperlink>
      <w:r w:rsidRPr="004E28BB">
        <w:t>).</w:t>
      </w:r>
    </w:p>
    <w:p w:rsidR="007924DF" w:rsidRPr="004E28BB" w:rsidRDefault="007924DF" w:rsidP="00D41D04">
      <w:pPr>
        <w:pStyle w:val="ListNumber3"/>
      </w:pPr>
      <w:bookmarkStart w:id="460" w:name="_Toc319922603"/>
      <w:bookmarkStart w:id="461" w:name="_Toc394643372"/>
      <w:r w:rsidRPr="004E28BB">
        <w:rPr>
          <w:rStyle w:val="Guide3-abcdChar"/>
        </w:rPr>
        <w:t>Adaptive Devices</w:t>
      </w:r>
      <w:bookmarkEnd w:id="460"/>
      <w:bookmarkEnd w:id="461"/>
      <w:r w:rsidRPr="004E28BB">
        <w:t xml:space="preserve">: Individuals with </w:t>
      </w:r>
      <w:r w:rsidR="009C3EC3">
        <w:t>m</w:t>
      </w:r>
      <w:r w:rsidRPr="004E28BB">
        <w:t>oderate/</w:t>
      </w:r>
      <w:r w:rsidR="009C3EC3">
        <w:t>s</w:t>
      </w:r>
      <w:r w:rsidRPr="004E28BB">
        <w:t>evere TBI may be compromised in their mobility and accessibility to their home, work</w:t>
      </w:r>
      <w:r w:rsidR="009C3EC3">
        <w:t>,</w:t>
      </w:r>
      <w:r w:rsidRPr="004E28BB">
        <w:t xml:space="preserve"> and community environments. In order to relieve the effects of the injury, certain equipment, adaptive devices</w:t>
      </w:r>
      <w:r w:rsidR="009C3EC3">
        <w:t>,</w:t>
      </w:r>
      <w:r w:rsidRPr="004E28BB">
        <w:t xml:space="preserve"> and home modifications may be reasonable and necessary. These items may be necessary to reduce impairment and disability and to enhance functional independence and safety.</w:t>
      </w:r>
      <w:r w:rsidRPr="004E28BB">
        <w:br/>
      </w:r>
      <w:r w:rsidRPr="004E28BB">
        <w:br/>
        <w:t>Technology is advancing rapidly in this area</w:t>
      </w:r>
      <w:r w:rsidR="009C3EC3">
        <w:t>,</w:t>
      </w:r>
      <w:r w:rsidRPr="004E28BB">
        <w:t xml:space="preserve"> and each year more</w:t>
      </w:r>
      <w:r w:rsidR="009C3EC3">
        <w:t>,</w:t>
      </w:r>
      <w:r w:rsidRPr="004E28BB">
        <w:t xml:space="preserve"> adaptive equipment is available. Each case should be considered individually to determine the medical need for the equipment. Possible equipment and devices may include, but are not limited to:</w:t>
      </w:r>
    </w:p>
    <w:p w:rsidR="007924DF" w:rsidRPr="004E28BB" w:rsidRDefault="007924DF" w:rsidP="00D41D04">
      <w:pPr>
        <w:ind w:left="2880" w:hanging="360"/>
      </w:pPr>
      <w:r w:rsidRPr="004E28BB">
        <w:lastRenderedPageBreak/>
        <w:t>●</w:t>
      </w:r>
      <w:r w:rsidRPr="004E28BB">
        <w:tab/>
      </w:r>
      <w:r w:rsidR="009C3EC3">
        <w:t>H</w:t>
      </w:r>
      <w:r w:rsidRPr="004E28BB">
        <w:t>ospital bed</w:t>
      </w:r>
      <w:r w:rsidR="00212E30">
        <w:t>.</w:t>
      </w:r>
    </w:p>
    <w:p w:rsidR="007924DF" w:rsidRPr="004E28BB" w:rsidRDefault="007924DF" w:rsidP="00D41D04">
      <w:pPr>
        <w:ind w:left="2880" w:hanging="360"/>
      </w:pPr>
      <w:r w:rsidRPr="004E28BB">
        <w:t>●</w:t>
      </w:r>
      <w:r w:rsidRPr="004E28BB">
        <w:tab/>
      </w:r>
      <w:r w:rsidR="009C3EC3">
        <w:t>T</w:t>
      </w:r>
      <w:r w:rsidRPr="004E28BB">
        <w:t>ransfer devices and lift equipment</w:t>
      </w:r>
      <w:r w:rsidR="00212E30">
        <w:t>.</w:t>
      </w:r>
      <w:r w:rsidRPr="004E28BB">
        <w:t xml:space="preserve"> </w:t>
      </w:r>
    </w:p>
    <w:p w:rsidR="007924DF" w:rsidRPr="004E28BB" w:rsidRDefault="007924DF" w:rsidP="00D41D04">
      <w:pPr>
        <w:ind w:left="2880" w:hanging="360"/>
      </w:pPr>
      <w:r w:rsidRPr="004E28BB">
        <w:t>●</w:t>
      </w:r>
      <w:r w:rsidRPr="004E28BB">
        <w:tab/>
      </w:r>
      <w:r w:rsidR="009C3EC3">
        <w:t>S</w:t>
      </w:r>
      <w:r w:rsidRPr="004E28BB">
        <w:t>tanding frames</w:t>
      </w:r>
      <w:r w:rsidR="00212E30">
        <w:t>.</w:t>
      </w:r>
    </w:p>
    <w:p w:rsidR="007924DF" w:rsidRPr="004E28BB" w:rsidRDefault="007924DF" w:rsidP="00D41D04">
      <w:pPr>
        <w:ind w:left="2880" w:hanging="360"/>
      </w:pPr>
      <w:r w:rsidRPr="004E28BB">
        <w:t>●</w:t>
      </w:r>
      <w:r w:rsidRPr="004E28BB">
        <w:tab/>
      </w:r>
      <w:r w:rsidR="009C3EC3">
        <w:t>M</w:t>
      </w:r>
      <w:r w:rsidRPr="004E28BB">
        <w:t>anual wheelchair</w:t>
      </w:r>
      <w:r w:rsidR="009C3EC3">
        <w:t xml:space="preserve"> (</w:t>
      </w:r>
      <w:r w:rsidRPr="004E28BB">
        <w:t>standard or lightweight</w:t>
      </w:r>
      <w:r w:rsidR="009C3EC3">
        <w:t>)</w:t>
      </w:r>
      <w:r w:rsidR="00212E30">
        <w:t>.</w:t>
      </w:r>
    </w:p>
    <w:p w:rsidR="007924DF" w:rsidRPr="004E28BB" w:rsidRDefault="007924DF" w:rsidP="00D41D04">
      <w:pPr>
        <w:ind w:left="2880" w:hanging="360"/>
      </w:pPr>
      <w:r w:rsidRPr="004E28BB">
        <w:t>●</w:t>
      </w:r>
      <w:r w:rsidRPr="004E28BB">
        <w:tab/>
      </w:r>
      <w:r w:rsidR="009C3EC3">
        <w:t>M</w:t>
      </w:r>
      <w:r w:rsidRPr="004E28BB">
        <w:t>anual reclining and tilt wheelchair</w:t>
      </w:r>
      <w:r w:rsidR="00212E30">
        <w:t>.</w:t>
      </w:r>
    </w:p>
    <w:p w:rsidR="007924DF" w:rsidRPr="004E28BB" w:rsidRDefault="007924DF" w:rsidP="00D41D04">
      <w:pPr>
        <w:ind w:left="2880" w:hanging="360"/>
      </w:pPr>
      <w:r w:rsidRPr="004E28BB">
        <w:t>●</w:t>
      </w:r>
      <w:r w:rsidRPr="004E28BB">
        <w:tab/>
      </w:r>
      <w:r w:rsidR="009C3EC3">
        <w:t>P</w:t>
      </w:r>
      <w:r w:rsidRPr="004E28BB">
        <w:t>ower wheelchairs with tilt and/or reclining mechanisms</w:t>
      </w:r>
      <w:r w:rsidR="00212E30">
        <w:t>.</w:t>
      </w:r>
    </w:p>
    <w:p w:rsidR="007924DF" w:rsidRPr="004E28BB" w:rsidRDefault="007924DF" w:rsidP="00D41D04">
      <w:pPr>
        <w:ind w:left="2880" w:hanging="360"/>
      </w:pPr>
      <w:r w:rsidRPr="004E28BB">
        <w:t>●</w:t>
      </w:r>
      <w:r w:rsidRPr="004E28BB">
        <w:tab/>
      </w:r>
      <w:r w:rsidR="009C3EC3">
        <w:t>W</w:t>
      </w:r>
      <w:r w:rsidRPr="004E28BB">
        <w:t>heelchair positioning aids (laterals, headrests, seating systems, backs, lapboards)</w:t>
      </w:r>
      <w:r w:rsidR="00212E30">
        <w:t>.</w:t>
      </w:r>
    </w:p>
    <w:p w:rsidR="007924DF" w:rsidRPr="004E28BB" w:rsidRDefault="007924DF" w:rsidP="00D41D04">
      <w:pPr>
        <w:ind w:left="2880" w:hanging="360"/>
      </w:pPr>
      <w:r w:rsidRPr="004E28BB">
        <w:t>●</w:t>
      </w:r>
      <w:r w:rsidRPr="004E28BB">
        <w:tab/>
      </w:r>
      <w:r w:rsidR="009C3EC3">
        <w:t>W</w:t>
      </w:r>
      <w:r w:rsidRPr="004E28BB">
        <w:t>heelchair cushions</w:t>
      </w:r>
      <w:r w:rsidR="00212E30">
        <w:t>.</w:t>
      </w:r>
    </w:p>
    <w:p w:rsidR="007924DF" w:rsidRPr="004E28BB" w:rsidRDefault="007924DF" w:rsidP="00D41D04">
      <w:pPr>
        <w:ind w:left="2880" w:hanging="360"/>
      </w:pPr>
      <w:r w:rsidRPr="004E28BB">
        <w:t>●</w:t>
      </w:r>
      <w:r w:rsidRPr="004E28BB">
        <w:tab/>
      </w:r>
      <w:r w:rsidR="009C3EC3">
        <w:t>L</w:t>
      </w:r>
      <w:r w:rsidRPr="004E28BB">
        <w:t>ower extremity bracing</w:t>
      </w:r>
      <w:r w:rsidR="00212E30">
        <w:t>.</w:t>
      </w:r>
    </w:p>
    <w:p w:rsidR="007924DF" w:rsidRPr="004E28BB" w:rsidRDefault="007924DF" w:rsidP="00D41D04">
      <w:pPr>
        <w:ind w:left="2880" w:hanging="360"/>
      </w:pPr>
      <w:r w:rsidRPr="004E28BB">
        <w:t>●</w:t>
      </w:r>
      <w:r w:rsidRPr="004E28BB">
        <w:tab/>
      </w:r>
      <w:r w:rsidR="009C3EC3">
        <w:t>A</w:t>
      </w:r>
      <w:r w:rsidRPr="004E28BB">
        <w:t>mbulation aids (walkers, crutches, canes)</w:t>
      </w:r>
      <w:r w:rsidR="00212E30">
        <w:t>.</w:t>
      </w:r>
    </w:p>
    <w:p w:rsidR="007924DF" w:rsidRPr="004E28BB" w:rsidRDefault="007924DF" w:rsidP="00D41D04">
      <w:pPr>
        <w:ind w:left="2880" w:hanging="360"/>
      </w:pPr>
      <w:r w:rsidRPr="004E28BB">
        <w:t>●</w:t>
      </w:r>
      <w:r w:rsidRPr="004E28BB">
        <w:tab/>
      </w:r>
      <w:r w:rsidR="009C3EC3">
        <w:t>B</w:t>
      </w:r>
      <w:r w:rsidRPr="004E28BB">
        <w:t>athroom equipment, accessibility</w:t>
      </w:r>
      <w:r w:rsidR="009C3EC3">
        <w:t>,</w:t>
      </w:r>
      <w:r w:rsidRPr="004E28BB">
        <w:t xml:space="preserve"> and safety aids (shower/commode chair, bath seats and benches, tub and wall grab bars, hand held shower attachment, elevated and/or padded toilet seats, etc.)</w:t>
      </w:r>
      <w:r w:rsidR="00212E30">
        <w:t>.</w:t>
      </w:r>
    </w:p>
    <w:p w:rsidR="007924DF" w:rsidRPr="004E28BB" w:rsidRDefault="007924DF" w:rsidP="00D41D04">
      <w:pPr>
        <w:ind w:left="2880" w:hanging="360"/>
      </w:pPr>
      <w:r w:rsidRPr="004E28BB">
        <w:t>●</w:t>
      </w:r>
      <w:r w:rsidRPr="004E28BB">
        <w:tab/>
      </w:r>
      <w:r w:rsidR="009C3EC3">
        <w:t>O</w:t>
      </w:r>
      <w:r w:rsidRPr="004E28BB">
        <w:t>rthotics/prosthetics</w:t>
      </w:r>
      <w:r w:rsidR="00212E30">
        <w:t>.</w:t>
      </w:r>
    </w:p>
    <w:p w:rsidR="007924DF" w:rsidRPr="004E28BB" w:rsidRDefault="007924DF" w:rsidP="00D41D04">
      <w:pPr>
        <w:ind w:left="2880" w:hanging="360"/>
      </w:pPr>
      <w:r w:rsidRPr="004E28BB">
        <w:t>●</w:t>
      </w:r>
      <w:r w:rsidRPr="004E28BB">
        <w:tab/>
      </w:r>
      <w:r w:rsidR="009C3EC3">
        <w:t>V</w:t>
      </w:r>
      <w:r w:rsidRPr="004E28BB">
        <w:t>ehicle modifications</w:t>
      </w:r>
      <w:r w:rsidR="00212E30">
        <w:t>.</w:t>
      </w:r>
    </w:p>
    <w:p w:rsidR="007924DF" w:rsidRPr="004E28BB" w:rsidRDefault="009C3EC3" w:rsidP="009C3DC2">
      <w:pPr>
        <w:numPr>
          <w:ilvl w:val="0"/>
          <w:numId w:val="12"/>
        </w:numPr>
      </w:pPr>
      <w:r>
        <w:t>C</w:t>
      </w:r>
      <w:r w:rsidR="007924DF" w:rsidRPr="004E28BB">
        <w:t>ommunication aids and devices including computers</w:t>
      </w:r>
      <w:r w:rsidR="00212E30">
        <w:t>.</w:t>
      </w:r>
    </w:p>
    <w:p w:rsidR="007924DF" w:rsidRPr="004E28BB" w:rsidRDefault="009C3EC3" w:rsidP="009C3DC2">
      <w:pPr>
        <w:numPr>
          <w:ilvl w:val="0"/>
          <w:numId w:val="12"/>
        </w:numPr>
      </w:pPr>
      <w:r>
        <w:t>V</w:t>
      </w:r>
      <w:r w:rsidR="007924DF" w:rsidRPr="004E28BB">
        <w:t>isual adaptive aids</w:t>
      </w:r>
      <w:r w:rsidR="00212E30">
        <w:t>.</w:t>
      </w:r>
    </w:p>
    <w:p w:rsidR="007924DF" w:rsidRPr="004E28BB" w:rsidRDefault="007924DF" w:rsidP="009C3DC2">
      <w:pPr>
        <w:numPr>
          <w:ilvl w:val="0"/>
          <w:numId w:val="11"/>
        </w:numPr>
      </w:pPr>
      <w:r w:rsidRPr="004E28BB">
        <w:t>Other adaptive equipment for independent ADLs</w:t>
      </w:r>
      <w:r w:rsidR="009C3EC3">
        <w:t>,</w:t>
      </w:r>
      <w:r w:rsidRPr="004E28BB">
        <w:t xml:space="preserve"> such as specialized eating utensils</w:t>
      </w:r>
      <w:r w:rsidR="00212E30">
        <w:t>.</w:t>
      </w:r>
    </w:p>
    <w:p w:rsidR="007924DF" w:rsidRPr="004E28BB" w:rsidRDefault="007924DF" w:rsidP="00D41D04">
      <w:pPr>
        <w:ind w:left="2160"/>
      </w:pPr>
      <w:r w:rsidRPr="004E28BB">
        <w:t>Environmental modifications may include, but are not limited to</w:t>
      </w:r>
      <w:r w:rsidR="00CA2DF3">
        <w:t>:</w:t>
      </w:r>
      <w:r w:rsidR="00CA2DF3" w:rsidRPr="004E28BB">
        <w:t xml:space="preserve"> </w:t>
      </w:r>
      <w:r w:rsidRPr="004E28BB">
        <w:t>ramping</w:t>
      </w:r>
      <w:r w:rsidR="00CA2DF3">
        <w:t>;</w:t>
      </w:r>
      <w:r w:rsidRPr="004E28BB">
        <w:t xml:space="preserve"> modifications of the living environment to achieve reasonable levels of independence</w:t>
      </w:r>
      <w:r w:rsidR="00CA2DF3">
        <w:t>;</w:t>
      </w:r>
      <w:r w:rsidRPr="004E28BB">
        <w:t xml:space="preserve"> </w:t>
      </w:r>
      <w:r w:rsidR="00CA2DF3">
        <w:t xml:space="preserve">and </w:t>
      </w:r>
      <w:r w:rsidRPr="004E28BB">
        <w:t>adaptive equipment for mobility and safety. Typically</w:t>
      </w:r>
      <w:r w:rsidR="00CA2DF3">
        <w:t>,</w:t>
      </w:r>
      <w:r w:rsidRPr="004E28BB">
        <w:t xml:space="preserve"> these evaluations </w:t>
      </w:r>
      <w:r w:rsidR="00CA2DF3">
        <w:t xml:space="preserve">are </w:t>
      </w:r>
      <w:r w:rsidRPr="004E28BB">
        <w:t xml:space="preserve">done </w:t>
      </w:r>
      <w:r w:rsidR="00A67F88" w:rsidRPr="004E28BB">
        <w:t xml:space="preserve">by </w:t>
      </w:r>
      <w:r w:rsidR="00CA2DF3">
        <w:t xml:space="preserve">a </w:t>
      </w:r>
      <w:r w:rsidR="00A67F88" w:rsidRPr="004E28BB">
        <w:t xml:space="preserve">licensed contractor and occupational or physical therapist </w:t>
      </w:r>
      <w:r w:rsidRPr="004E28BB">
        <w:t xml:space="preserve">with experience in </w:t>
      </w:r>
      <w:smartTag w:uri="urn:schemas-microsoft-com:office:smarttags" w:element="place">
        <w:smartTag w:uri="urn:schemas-microsoft-com:office:smarttags" w:element="City">
          <w:r w:rsidRPr="004E28BB">
            <w:t>ADA</w:t>
          </w:r>
        </w:smartTag>
      </w:smartTag>
      <w:r w:rsidRPr="004E28BB">
        <w:t xml:space="preserve"> standards.</w:t>
      </w:r>
      <w:r w:rsidR="006054C0" w:rsidRPr="004E28BB">
        <w:t xml:space="preserve"> </w:t>
      </w:r>
      <w:r w:rsidRPr="004E28BB">
        <w:t>Modifications must be medically necessary. Periodic upgrading of equipment and devices or consultation may be necessary throughout a person’s lifetime following TBI.</w:t>
      </w:r>
      <w:r w:rsidRPr="004E28BB">
        <w:br/>
      </w:r>
      <w:r w:rsidRPr="004E28BB">
        <w:br/>
        <w:t>Therapy related to equipment and devices may be re-initiated for time</w:t>
      </w:r>
      <w:r w:rsidR="00CA2DF3">
        <w:t xml:space="preserve"> </w:t>
      </w:r>
      <w:r w:rsidRPr="004E28BB">
        <w:t>limited, goal</w:t>
      </w:r>
      <w:r w:rsidR="007843ED">
        <w:t>-</w:t>
      </w:r>
      <w:r w:rsidRPr="004E28BB">
        <w:t>specific treatment as new goals are developed.</w:t>
      </w:r>
    </w:p>
    <w:p w:rsidR="007924DF" w:rsidRPr="004E28BB" w:rsidRDefault="007924DF" w:rsidP="00D41D04">
      <w:pPr>
        <w:pStyle w:val="ListNumber2"/>
      </w:pPr>
      <w:bookmarkStart w:id="462" w:name="_Toc394643373"/>
      <w:r w:rsidRPr="004E28BB">
        <w:rPr>
          <w:rStyle w:val="Guide2-123Char"/>
        </w:rPr>
        <w:t>Ataxia</w:t>
      </w:r>
      <w:bookmarkEnd w:id="462"/>
      <w:r w:rsidR="00212E30" w:rsidRPr="004E28BB">
        <w:t>:</w:t>
      </w:r>
      <w:r w:rsidR="005E5E86" w:rsidRPr="004E28BB">
        <w:t xml:space="preserve"> </w:t>
      </w:r>
      <w:r w:rsidR="00CA2DF3">
        <w:t>A</w:t>
      </w:r>
      <w:r w:rsidRPr="004E28BB">
        <w:t xml:space="preserve"> common impairment in coordination resulting from </w:t>
      </w:r>
      <w:r w:rsidR="00CA2DF3">
        <w:t xml:space="preserve">the </w:t>
      </w:r>
      <w:r w:rsidRPr="004E28BB">
        <w:t xml:space="preserve">inability to control muscle timing and </w:t>
      </w:r>
      <w:r w:rsidR="00CA2DF3">
        <w:t xml:space="preserve">the </w:t>
      </w:r>
      <w:r w:rsidRPr="004E28BB">
        <w:t xml:space="preserve">sequencing of agonist and antagonist contraction. This will affect fine motor and gross motor skills of the extremities as well as general mobility, balance, gait, conditioning, endurance, and </w:t>
      </w:r>
      <w:r w:rsidR="0049733A">
        <w:t>ADLs</w:t>
      </w:r>
      <w:r w:rsidRPr="004E28BB">
        <w:t xml:space="preserve">. Therapeutic management/intervention includes medication </w:t>
      </w:r>
      <w:r w:rsidR="00CA2DF3">
        <w:t xml:space="preserve">and </w:t>
      </w:r>
      <w:r w:rsidRPr="004E28BB">
        <w:t xml:space="preserve">neuromuscular re-education as well as functional activities, which facilitate normal or inhibit abnormal muscle activity. Specific exercises and activities increase motor learning and control </w:t>
      </w:r>
      <w:r w:rsidR="00CA2DF3">
        <w:t xml:space="preserve">and </w:t>
      </w:r>
      <w:r w:rsidRPr="004E28BB">
        <w:t xml:space="preserve">force production (strength) and endurance. Biofeedback and functional electrical stimulation may assist in treatment. Cognitive </w:t>
      </w:r>
      <w:r w:rsidRPr="004E28BB">
        <w:lastRenderedPageBreak/>
        <w:t xml:space="preserve">impairment may interfere </w:t>
      </w:r>
      <w:r w:rsidR="00CA2DF3">
        <w:t xml:space="preserve">with </w:t>
      </w:r>
      <w:r w:rsidRPr="004E28BB">
        <w:t xml:space="preserve">and prolong the course of therapy. Reasonable and necessary equipment may include splints and braces. </w:t>
      </w:r>
      <w:bookmarkStart w:id="463" w:name="_Toc319922605"/>
    </w:p>
    <w:p w:rsidR="007924DF" w:rsidRPr="004E28BB" w:rsidRDefault="007924DF" w:rsidP="00D41D04">
      <w:pPr>
        <w:pStyle w:val="ListNumber2"/>
      </w:pPr>
      <w:bookmarkStart w:id="464" w:name="_Toc394643374"/>
      <w:r w:rsidRPr="004E28BB">
        <w:rPr>
          <w:rStyle w:val="Guide2-123Char"/>
        </w:rPr>
        <w:t>NEUROMUSCULAR re-education</w:t>
      </w:r>
      <w:bookmarkEnd w:id="464"/>
      <w:r w:rsidR="00212E30" w:rsidRPr="004E28BB">
        <w:t>:</w:t>
      </w:r>
      <w:r w:rsidR="00212E30">
        <w:t xml:space="preserve"> </w:t>
      </w:r>
      <w:bookmarkEnd w:id="463"/>
      <w:r w:rsidRPr="004E28BB">
        <w:t>Neurologically</w:t>
      </w:r>
      <w:r w:rsidR="007843ED">
        <w:t>-</w:t>
      </w:r>
      <w:r w:rsidRPr="004E28BB">
        <w:t>based musculoskeletal impairment may include changes in reflexes, sensory integration, ROM, muscle tone, strength, endurance, postural control, postural alignment</w:t>
      </w:r>
      <w:r w:rsidR="00CA2DF3">
        <w:t>,</w:t>
      </w:r>
      <w:r w:rsidRPr="004E28BB">
        <w:t xml:space="preserve"> and soft tissue integrity. Functional abilities that are affected may include, but are not limited to, problems in gross and fine motor coordination, motor strength and control, sensory-motor bilateral integration</w:t>
      </w:r>
      <w:r w:rsidR="00CA2DF3">
        <w:t>,</w:t>
      </w:r>
      <w:r w:rsidRPr="004E28BB">
        <w:t xml:space="preserve"> and praxis. Individuals with neuromuscular impairments may require physical, therapeutic</w:t>
      </w:r>
      <w:r w:rsidR="00CA2DF3">
        <w:t>,</w:t>
      </w:r>
      <w:r w:rsidRPr="004E28BB">
        <w:t xml:space="preserve"> and medical and/or surgical management to improve their movement and mobility. </w:t>
      </w:r>
    </w:p>
    <w:p w:rsidR="007924DF" w:rsidRPr="004E28BB" w:rsidRDefault="007924DF" w:rsidP="00D41D04">
      <w:pPr>
        <w:ind w:left="1440"/>
      </w:pPr>
      <w:r w:rsidRPr="004E28BB">
        <w:t>There is good evidence that constraint induced motor therapy (CIMT) provides a favorable effect immediately post treatment for stroke victims with paresis of one arm and good cognition</w:t>
      </w:r>
      <w:r w:rsidR="006054C0" w:rsidRPr="00773307">
        <w:rPr>
          <w:rStyle w:val="GuideCitesCharChar"/>
        </w:rPr>
        <w:t xml:space="preserve"> </w:t>
      </w:r>
      <w:r w:rsidRPr="00773307">
        <w:rPr>
          <w:rStyle w:val="GuideCitesCharChar"/>
        </w:rPr>
        <w:t>(</w:t>
      </w:r>
      <w:r w:rsidR="005E5E86" w:rsidRPr="00773307">
        <w:rPr>
          <w:rStyle w:val="GuideCitesCharChar"/>
        </w:rPr>
        <w:t>[</w:t>
      </w:r>
      <w:hyperlink w:anchor="Sirtori2009" w:history="1">
        <w:r w:rsidRPr="009018EE">
          <w:rPr>
            <w:rStyle w:val="Hyperlink"/>
            <w:rFonts w:cs="Arial"/>
            <w:highlight w:val="yellow"/>
          </w:rPr>
          <w:t>Cochrane</w:t>
        </w:r>
        <w:r w:rsidR="005E5E86" w:rsidRPr="009018EE">
          <w:rPr>
            <w:rStyle w:val="Hyperlink"/>
            <w:rFonts w:cs="Arial"/>
            <w:highlight w:val="yellow"/>
          </w:rPr>
          <w:t>]</w:t>
        </w:r>
        <w:r w:rsidRPr="009018EE">
          <w:rPr>
            <w:rStyle w:val="Hyperlink"/>
            <w:rFonts w:cs="Arial"/>
            <w:highlight w:val="yellow"/>
          </w:rPr>
          <w:t xml:space="preserve"> Sirtori</w:t>
        </w:r>
        <w:r w:rsidR="005E5E86" w:rsidRPr="009018EE">
          <w:rPr>
            <w:rStyle w:val="Hyperlink"/>
            <w:rFonts w:cs="Arial"/>
            <w:highlight w:val="yellow"/>
          </w:rPr>
          <w:t>,</w:t>
        </w:r>
        <w:r w:rsidRPr="009018EE">
          <w:rPr>
            <w:rStyle w:val="Hyperlink"/>
            <w:rFonts w:cs="Arial"/>
            <w:highlight w:val="yellow"/>
          </w:rPr>
          <w:t xml:space="preserve"> 2009</w:t>
        </w:r>
      </w:hyperlink>
      <w:r w:rsidRPr="00773307">
        <w:rPr>
          <w:rStyle w:val="GuideCitesCharChar"/>
        </w:rPr>
        <w:t>)</w:t>
      </w:r>
      <w:r w:rsidR="00873B39" w:rsidRPr="004E28BB">
        <w:t>.</w:t>
      </w:r>
      <w:r w:rsidR="006054C0" w:rsidRPr="004E28BB">
        <w:t xml:space="preserve"> </w:t>
      </w:r>
      <w:r w:rsidRPr="004E28BB">
        <w:t>There is some evidence that the motor function associated with CIMT is maintained at 24 months after treatment</w:t>
      </w:r>
      <w:r w:rsidRPr="004E28BB">
        <w:rPr>
          <w:rStyle w:val="GuideCitesCharChar"/>
        </w:rPr>
        <w:t xml:space="preserve"> (</w:t>
      </w:r>
      <w:hyperlink w:anchor="Wolf2008" w:history="1">
        <w:r w:rsidRPr="009018EE">
          <w:rPr>
            <w:rStyle w:val="Hyperlink"/>
            <w:rFonts w:cs="Arial"/>
            <w:highlight w:val="yellow"/>
          </w:rPr>
          <w:t>Wolf</w:t>
        </w:r>
        <w:r w:rsidR="005E5E86" w:rsidRPr="009018EE">
          <w:rPr>
            <w:rStyle w:val="Hyperlink"/>
            <w:rFonts w:cs="Arial"/>
            <w:highlight w:val="yellow"/>
          </w:rPr>
          <w:t>,</w:t>
        </w:r>
        <w:r w:rsidRPr="009018EE">
          <w:rPr>
            <w:rStyle w:val="Hyperlink"/>
            <w:rFonts w:cs="Arial"/>
            <w:highlight w:val="yellow"/>
          </w:rPr>
          <w:t xml:space="preserve"> 2008</w:t>
        </w:r>
      </w:hyperlink>
      <w:r w:rsidRPr="004E28BB">
        <w:rPr>
          <w:rStyle w:val="GuideCitesCharChar"/>
        </w:rPr>
        <w:t>)</w:t>
      </w:r>
      <w:r w:rsidR="00873B39" w:rsidRPr="004E28BB">
        <w:t>.</w:t>
      </w:r>
      <w:r w:rsidRPr="004E28BB">
        <w:t xml:space="preserve"> Therefore</w:t>
      </w:r>
      <w:r w:rsidR="00CA2DF3">
        <w:t>,</w:t>
      </w:r>
      <w:r w:rsidRPr="004E28BB">
        <w:t xml:space="preserve"> CIMT is a recommended therapy for similarly affected TBI patients. </w:t>
      </w:r>
      <w:r w:rsidR="00DC10F4" w:rsidRPr="004E28BB">
        <w:br/>
      </w:r>
      <w:r w:rsidR="00DC10F4" w:rsidRPr="004E28BB">
        <w:br/>
      </w:r>
      <w:r w:rsidRPr="004E28BB">
        <w:t>Medical treatment may be divided into two major areas:</w:t>
      </w:r>
    </w:p>
    <w:p w:rsidR="007924DF" w:rsidRPr="004E28BB" w:rsidRDefault="007924DF" w:rsidP="00D41D04">
      <w:pPr>
        <w:pStyle w:val="ListNumber3"/>
      </w:pPr>
      <w:bookmarkStart w:id="465" w:name="_Toc319922606"/>
      <w:bookmarkStart w:id="466" w:name="_Toc394643375"/>
      <w:r w:rsidRPr="004E28BB">
        <w:rPr>
          <w:rStyle w:val="Guide3-abcdChar"/>
        </w:rPr>
        <w:t>Motor Control</w:t>
      </w:r>
      <w:bookmarkEnd w:id="465"/>
      <w:bookmarkEnd w:id="466"/>
      <w:r w:rsidRPr="004E28BB">
        <w:t>: Stabilizing the body in space as it applies to postural and balance control, and moving the body in space through motor control as it applies to movement.</w:t>
      </w:r>
    </w:p>
    <w:p w:rsidR="007924DF" w:rsidRPr="004E28BB" w:rsidRDefault="007924DF" w:rsidP="00D41D04">
      <w:pPr>
        <w:pStyle w:val="ListNumber3"/>
      </w:pPr>
      <w:bookmarkStart w:id="467" w:name="_Toc319922607"/>
      <w:bookmarkStart w:id="468" w:name="_Toc394643376"/>
      <w:r w:rsidRPr="004E28BB">
        <w:rPr>
          <w:rStyle w:val="Guide3-abcdChar"/>
        </w:rPr>
        <w:t>Motor Learning</w:t>
      </w:r>
      <w:bookmarkEnd w:id="467"/>
      <w:bookmarkEnd w:id="468"/>
      <w:r w:rsidRPr="004E28BB">
        <w:t xml:space="preserve">: </w:t>
      </w:r>
      <w:r w:rsidR="00CA2DF3">
        <w:t xml:space="preserve">A </w:t>
      </w:r>
      <w:r w:rsidRPr="004E28BB">
        <w:t>set of processes leading to relatively permanent changes in the capability for producing skilled action. Motor performance of a skill, task or activity requires learning. Functional motor change requires skilled intervention to insure proper practice schedules, variable type of practice, repetition</w:t>
      </w:r>
      <w:r w:rsidR="00CA2DF3">
        <w:t>,</w:t>
      </w:r>
      <w:r w:rsidRPr="004E28BB">
        <w:t xml:space="preserve"> and type of timing of feedback. Active problem solving should be part of a rehabilitation program to learn motor skills more appropriately. Continuous</w:t>
      </w:r>
      <w:r w:rsidR="00CA2DF3">
        <w:t>,</w:t>
      </w:r>
      <w:r w:rsidRPr="004E28BB">
        <w:t xml:space="preserve"> accurate feedback is important in the early stages. Therapists need to provide feedback about muscle contraction and movement that is accurate and immediate.</w:t>
      </w:r>
    </w:p>
    <w:p w:rsidR="007924DF" w:rsidRPr="004E28BB" w:rsidRDefault="007924DF" w:rsidP="00D41D04">
      <w:pPr>
        <w:ind w:left="2880" w:hanging="360"/>
      </w:pPr>
      <w:r w:rsidRPr="004E28BB">
        <w:sym w:font="Wingdings" w:char="F076"/>
      </w:r>
      <w:r w:rsidRPr="004E28BB">
        <w:tab/>
        <w:t xml:space="preserve">Time to </w:t>
      </w:r>
      <w:r w:rsidR="00CA2DF3">
        <w:t>P</w:t>
      </w:r>
      <w:r w:rsidRPr="004E28BB">
        <w:t xml:space="preserve">roduce </w:t>
      </w:r>
      <w:r w:rsidR="00CA2DF3">
        <w:t>E</w:t>
      </w:r>
      <w:r w:rsidRPr="004E28BB">
        <w:t xml:space="preserve">ffect: </w:t>
      </w:r>
      <w:r w:rsidR="00CA2DF3">
        <w:t>W</w:t>
      </w:r>
      <w:r w:rsidRPr="004E28BB">
        <w:t>hile rate of progress will depend on the severity and complexity of the injury, effect of treatment should be noted within one month, with ongoing progress noted over a longer period</w:t>
      </w:r>
      <w:r w:rsidR="00CA2DF3">
        <w:t>,</w:t>
      </w:r>
      <w:r w:rsidRPr="004E28BB">
        <w:t xml:space="preserve"> which may last up to two years or more. Treatment may be provided on an episodic basis to accommodate plateaus in the individual’s progress, with suspension of treatment for periods of time to allow for practice.</w:t>
      </w:r>
    </w:p>
    <w:p w:rsidR="007924DF" w:rsidRPr="004E28BB" w:rsidRDefault="007924DF" w:rsidP="00D41D04">
      <w:pPr>
        <w:ind w:left="2880" w:hanging="360"/>
      </w:pPr>
      <w:r w:rsidRPr="004E28BB">
        <w:sym w:font="Wingdings" w:char="F076"/>
      </w:r>
      <w:r w:rsidRPr="004E28BB">
        <w:tab/>
        <w:t>Frequency: Daily for moderate/severe TBI and less frequently for MTBI requiring treatment, usually 1</w:t>
      </w:r>
      <w:r w:rsidR="00CA2DF3">
        <w:t>–</w:t>
      </w:r>
      <w:r w:rsidRPr="004E28BB">
        <w:t>3 times per week. Depending on the individual’s progress, sessions may vary from one to several hours</w:t>
      </w:r>
      <w:r w:rsidR="00CA2DF3">
        <w:t>,</w:t>
      </w:r>
      <w:r w:rsidRPr="004E28BB">
        <w:t xml:space="preserve"> based on</w:t>
      </w:r>
      <w:r w:rsidR="006054C0" w:rsidRPr="004E28BB">
        <w:t xml:space="preserve"> </w:t>
      </w:r>
      <w:r w:rsidR="00CA2DF3">
        <w:t>the</w:t>
      </w:r>
      <w:r w:rsidR="006054C0" w:rsidRPr="004E28BB">
        <w:t xml:space="preserve"> </w:t>
      </w:r>
      <w:r w:rsidRPr="004E28BB">
        <w:t>individual’s ability to respond to treatment and the setting.</w:t>
      </w:r>
    </w:p>
    <w:p w:rsidR="007924DF" w:rsidRPr="004E28BB" w:rsidRDefault="007924DF" w:rsidP="00D41D04">
      <w:pPr>
        <w:ind w:left="2880" w:hanging="360"/>
      </w:pPr>
      <w:r w:rsidRPr="004E28BB">
        <w:sym w:font="Wingdings" w:char="F076"/>
      </w:r>
      <w:r w:rsidRPr="004E28BB">
        <w:tab/>
        <w:t xml:space="preserve">Optimum </w:t>
      </w:r>
      <w:r w:rsidR="00CA2DF3">
        <w:t>D</w:t>
      </w:r>
      <w:r w:rsidRPr="004E28BB">
        <w:t>uration: 1 to 12 months</w:t>
      </w:r>
      <w:r w:rsidR="00212E30">
        <w:t>.</w:t>
      </w:r>
    </w:p>
    <w:p w:rsidR="007924DF" w:rsidRPr="004E28BB" w:rsidRDefault="007924DF" w:rsidP="00D41D04">
      <w:pPr>
        <w:ind w:left="2880" w:hanging="360"/>
      </w:pPr>
      <w:r w:rsidRPr="004E28BB">
        <w:sym w:font="Wingdings" w:char="F076"/>
      </w:r>
      <w:r w:rsidRPr="004E28BB">
        <w:tab/>
        <w:t xml:space="preserve">Maximum </w:t>
      </w:r>
      <w:r w:rsidR="00CA2DF3">
        <w:t>D</w:t>
      </w:r>
      <w:r w:rsidRPr="004E28BB">
        <w:t>uration: 24 months or beyond, requires documentation of progress or the need for maintenance to retain motor skills. Periodic upgrading or consultation may be necessary throughout the individual’s lifetime following TBI.</w:t>
      </w:r>
    </w:p>
    <w:p w:rsidR="007924DF" w:rsidRPr="004E28BB" w:rsidRDefault="007924DF" w:rsidP="00D41D04">
      <w:pPr>
        <w:ind w:left="2160"/>
      </w:pPr>
      <w:r w:rsidRPr="004E28BB">
        <w:t xml:space="preserve">As the individual progresses, treatment frequency should be decreased. Continued treatment is based on attainment of functional goals as outlined in the </w:t>
      </w:r>
      <w:r w:rsidRPr="004E28BB">
        <w:lastRenderedPageBreak/>
        <w:t>treatment plan</w:t>
      </w:r>
      <w:r w:rsidR="00CA2DF3">
        <w:t>, which is</w:t>
      </w:r>
      <w:r w:rsidRPr="004E28BB">
        <w:t xml:space="preserve"> established </w:t>
      </w:r>
      <w:r w:rsidR="00CA2DF3">
        <w:t>during</w:t>
      </w:r>
      <w:r w:rsidR="00CA2DF3" w:rsidRPr="004E28BB">
        <w:t xml:space="preserve"> </w:t>
      </w:r>
      <w:r w:rsidRPr="004E28BB">
        <w:t>initial interaction with all members of the treatment team.</w:t>
      </w:r>
    </w:p>
    <w:p w:rsidR="00CF06FD" w:rsidRPr="004E28BB" w:rsidRDefault="00CF06FD" w:rsidP="00CF06FD">
      <w:pPr>
        <w:pStyle w:val="ListNumber2"/>
        <w:rPr>
          <w:rStyle w:val="CommentTextChar"/>
        </w:rPr>
      </w:pPr>
      <w:bookmarkStart w:id="469" w:name="_Toc6968578"/>
      <w:bookmarkStart w:id="470" w:name="_Toc41795687"/>
      <w:bookmarkStart w:id="471" w:name="_Toc41808445"/>
      <w:bookmarkStart w:id="472" w:name="_Toc41896484"/>
      <w:bookmarkStart w:id="473" w:name="CPDF13hWork"/>
      <w:bookmarkStart w:id="474" w:name="_Toc328477017"/>
      <w:bookmarkStart w:id="475" w:name="_Toc394643377"/>
      <w:r w:rsidRPr="004E28BB">
        <w:rPr>
          <w:rStyle w:val="Guide2-123Char"/>
        </w:rPr>
        <w:t>Work Conditioning</w:t>
      </w:r>
      <w:bookmarkEnd w:id="469"/>
      <w:bookmarkEnd w:id="470"/>
      <w:bookmarkEnd w:id="471"/>
      <w:bookmarkEnd w:id="472"/>
      <w:bookmarkEnd w:id="473"/>
      <w:bookmarkEnd w:id="474"/>
      <w:bookmarkEnd w:id="475"/>
      <w:r w:rsidRPr="004E28BB">
        <w:t xml:space="preserve">: These </w:t>
      </w:r>
      <w:r w:rsidR="00A67F88" w:rsidRPr="004E28BB">
        <w:t xml:space="preserve">well-accepted </w:t>
      </w:r>
      <w:r w:rsidRPr="004E28BB">
        <w:t>programs are work</w:t>
      </w:r>
      <w:r w:rsidR="00CA2DF3">
        <w:t xml:space="preserve"> </w:t>
      </w:r>
      <w:r w:rsidRPr="004E28BB">
        <w:t>related, outcome</w:t>
      </w:r>
      <w:r w:rsidR="00CA2DF3">
        <w:t xml:space="preserve"> </w:t>
      </w:r>
      <w:r w:rsidRPr="004E28BB">
        <w:t>focused, individualized treatment programs.</w:t>
      </w:r>
      <w:r w:rsidR="00852B3F" w:rsidRPr="004E28BB">
        <w:t xml:space="preserve"> </w:t>
      </w:r>
      <w:r w:rsidRPr="004E28BB">
        <w:t>Objectives of the program include, but are not limited to, improvement of cardiopulmonary and neuromusculoskeletal functions (strength, endurance, movement, flexibility, stability, and motor control functions), patient education, and symptom relief. The goal is for patients to gain full or optimal function and return to work.</w:t>
      </w:r>
      <w:r w:rsidR="00852B3F" w:rsidRPr="004E28BB">
        <w:t xml:space="preserve"> </w:t>
      </w:r>
      <w:r w:rsidRPr="004E28BB">
        <w:t>The service may include the time</w:t>
      </w:r>
      <w:r w:rsidR="00CA2DF3">
        <w:t xml:space="preserve"> </w:t>
      </w:r>
      <w:r w:rsidRPr="004E28BB">
        <w:t xml:space="preserve">limited use of modalities, both active and passive, in conjunction with therapeutic exercise, functional activities, general conditioning body mechanics, and </w:t>
      </w:r>
      <w:r w:rsidR="00CA2DF3">
        <w:t xml:space="preserve">re-training of </w:t>
      </w:r>
      <w:r w:rsidRPr="004E28BB">
        <w:t>lifting techniques.</w:t>
      </w:r>
      <w:r w:rsidR="00852B3F" w:rsidRPr="004E28BB">
        <w:t xml:space="preserve"> </w:t>
      </w:r>
      <w:r w:rsidRPr="004E28BB">
        <w:t xml:space="preserve">The patient should be assisted in learning to pace activities to avoid exacerbations. </w:t>
      </w:r>
      <w:r w:rsidRPr="004E28BB">
        <w:br/>
      </w:r>
      <w:r w:rsidRPr="004E28BB">
        <w:br/>
      </w:r>
      <w:r w:rsidRPr="004E28BB">
        <w:rPr>
          <w:rStyle w:val="CommentTextChar"/>
        </w:rPr>
        <w:t>These programs are usually initiated once re-conditioning has been completed but may be offered at any time throughout the recovery phase.</w:t>
      </w:r>
      <w:r w:rsidR="00852B3F" w:rsidRPr="004E28BB">
        <w:rPr>
          <w:rStyle w:val="CommentTextChar"/>
        </w:rPr>
        <w:t xml:space="preserve"> </w:t>
      </w:r>
      <w:r w:rsidRPr="004E28BB">
        <w:rPr>
          <w:rStyle w:val="CommentTextChar"/>
        </w:rPr>
        <w:t>It should be initiated when imminent return of a patient to modified or full</w:t>
      </w:r>
      <w:r w:rsidR="00CA2DF3">
        <w:rPr>
          <w:rStyle w:val="CommentTextChar"/>
        </w:rPr>
        <w:t xml:space="preserve"> </w:t>
      </w:r>
      <w:r w:rsidRPr="004E28BB">
        <w:rPr>
          <w:rStyle w:val="CommentTextChar"/>
        </w:rPr>
        <w:t>duty is not an option, but the prognosis for returning the patient to work at completion of the program is at least fair to good.</w:t>
      </w:r>
      <w:r w:rsidR="00852B3F" w:rsidRPr="004E28BB">
        <w:rPr>
          <w:rStyle w:val="CommentTextChar"/>
        </w:rPr>
        <w:t xml:space="preserve"> </w:t>
      </w:r>
    </w:p>
    <w:p w:rsidR="00CF06FD" w:rsidRPr="004E28BB" w:rsidRDefault="00CF06FD" w:rsidP="00CF06FD">
      <w:pPr>
        <w:ind w:left="2160" w:hanging="360"/>
      </w:pPr>
      <w:r w:rsidRPr="004E28BB">
        <w:sym w:font="Wingdings" w:char="F076"/>
      </w:r>
      <w:r w:rsidRPr="004E28BB">
        <w:tab/>
        <w:t>Length of Visit:</w:t>
      </w:r>
      <w:r w:rsidR="00852B3F" w:rsidRPr="004E28BB">
        <w:t xml:space="preserve"> </w:t>
      </w:r>
      <w:r w:rsidRPr="004E28BB">
        <w:t>1 to 2 hours per day.</w:t>
      </w:r>
    </w:p>
    <w:p w:rsidR="00CF06FD" w:rsidRPr="004E28BB" w:rsidRDefault="00CF06FD" w:rsidP="00CF06FD">
      <w:pPr>
        <w:ind w:left="2160" w:hanging="360"/>
      </w:pPr>
      <w:r w:rsidRPr="004E28BB">
        <w:sym w:font="Wingdings" w:char="F076"/>
      </w:r>
      <w:r w:rsidRPr="004E28BB">
        <w:tab/>
        <w:t>Frequency:</w:t>
      </w:r>
      <w:r w:rsidR="00852B3F" w:rsidRPr="004E28BB">
        <w:t xml:space="preserve"> </w:t>
      </w:r>
      <w:r w:rsidRPr="004E28BB">
        <w:t>2 to 5 visits per week.</w:t>
      </w:r>
    </w:p>
    <w:p w:rsidR="00CF06FD" w:rsidRPr="004E28BB" w:rsidRDefault="00CF06FD" w:rsidP="00CF06FD">
      <w:pPr>
        <w:ind w:left="2160" w:hanging="360"/>
      </w:pPr>
      <w:r w:rsidRPr="004E28BB">
        <w:sym w:font="Wingdings" w:char="F076"/>
      </w:r>
      <w:r w:rsidRPr="004E28BB">
        <w:tab/>
        <w:t>Optimum Duration:</w:t>
      </w:r>
      <w:r w:rsidR="00852B3F" w:rsidRPr="004E28BB">
        <w:t xml:space="preserve"> </w:t>
      </w:r>
      <w:r w:rsidRPr="004E28BB">
        <w:t>2 to 4 weeks.</w:t>
      </w:r>
    </w:p>
    <w:p w:rsidR="00CF06FD" w:rsidRPr="004E28BB" w:rsidRDefault="00CF06FD" w:rsidP="00CF06FD">
      <w:pPr>
        <w:ind w:left="2160" w:hanging="360"/>
      </w:pPr>
      <w:r w:rsidRPr="004E28BB">
        <w:sym w:font="Wingdings" w:char="F076"/>
      </w:r>
      <w:r w:rsidRPr="004E28BB">
        <w:tab/>
        <w:t>Maximum Duration:</w:t>
      </w:r>
      <w:r w:rsidR="00852B3F" w:rsidRPr="004E28BB">
        <w:t xml:space="preserve"> </w:t>
      </w:r>
      <w:r w:rsidRPr="004E28BB">
        <w:t>6 weeks.</w:t>
      </w:r>
      <w:r w:rsidR="00852B3F" w:rsidRPr="004E28BB">
        <w:t xml:space="preserve"> </w:t>
      </w:r>
      <w:r w:rsidRPr="004E28BB">
        <w:t xml:space="preserve">Participation in a program beyond 6 weeks </w:t>
      </w:r>
      <w:r w:rsidR="002523D1" w:rsidRPr="004E28BB">
        <w:t>should</w:t>
      </w:r>
      <w:r w:rsidRPr="004E28BB">
        <w:t xml:space="preserve"> be documented with respect to need and the ability to facilitate positive symptomatic and functional gains.</w:t>
      </w:r>
    </w:p>
    <w:p w:rsidR="00CF06FD" w:rsidRPr="004E28BB" w:rsidRDefault="00CF06FD" w:rsidP="00CF06FD">
      <w:pPr>
        <w:pStyle w:val="ListNumber2"/>
      </w:pPr>
      <w:bookmarkStart w:id="476" w:name="_Toc6968579"/>
      <w:bookmarkStart w:id="477" w:name="_Toc41795688"/>
      <w:bookmarkStart w:id="478" w:name="_Toc41808446"/>
      <w:bookmarkStart w:id="479" w:name="_Toc41896485"/>
      <w:bookmarkStart w:id="480" w:name="CPDF13iWork"/>
      <w:bookmarkStart w:id="481" w:name="_Toc328477018"/>
      <w:bookmarkStart w:id="482" w:name="_Toc394643378"/>
      <w:r w:rsidRPr="004E28BB">
        <w:rPr>
          <w:rStyle w:val="Guide2-123Char"/>
        </w:rPr>
        <w:t>Work Simulation</w:t>
      </w:r>
      <w:bookmarkEnd w:id="476"/>
      <w:bookmarkEnd w:id="477"/>
      <w:bookmarkEnd w:id="478"/>
      <w:bookmarkEnd w:id="479"/>
      <w:bookmarkEnd w:id="480"/>
      <w:bookmarkEnd w:id="481"/>
      <w:bookmarkEnd w:id="482"/>
      <w:r w:rsidRPr="004E28BB">
        <w:t xml:space="preserve">: </w:t>
      </w:r>
      <w:r w:rsidR="002746A3">
        <w:t>A</w:t>
      </w:r>
      <w:r w:rsidRPr="004E28BB">
        <w:t xml:space="preserve"> </w:t>
      </w:r>
      <w:r w:rsidR="00A67F88" w:rsidRPr="004E28BB">
        <w:t xml:space="preserve">generally accepted </w:t>
      </w:r>
      <w:r w:rsidRPr="004E28BB">
        <w:t>program where an individual completes specific work</w:t>
      </w:r>
      <w:r w:rsidR="002746A3">
        <w:t xml:space="preserve"> </w:t>
      </w:r>
      <w:r w:rsidRPr="004E28BB">
        <w:t>related tasks for a particular job and return to work.</w:t>
      </w:r>
      <w:r w:rsidR="00852B3F" w:rsidRPr="004E28BB">
        <w:t xml:space="preserve"> </w:t>
      </w:r>
      <w:r w:rsidRPr="004E28BB">
        <w:t>Use of this program is appropriate when modified duty can only be partially accommodated in the work place, when modified duty in the work place is unavailable, or when the patient requires more structured supervision.</w:t>
      </w:r>
      <w:r w:rsidR="00852B3F" w:rsidRPr="004E28BB">
        <w:t xml:space="preserve"> </w:t>
      </w:r>
      <w:r w:rsidRPr="004E28BB">
        <w:t>The need for work place simulation should be based on the results of a functional capacity evaluation and/or jobsite analysis.</w:t>
      </w:r>
    </w:p>
    <w:p w:rsidR="00CF06FD" w:rsidRPr="004E28BB" w:rsidRDefault="00CF06FD" w:rsidP="00CF06FD">
      <w:pPr>
        <w:ind w:left="2160" w:hanging="360"/>
      </w:pPr>
      <w:r w:rsidRPr="004E28BB">
        <w:sym w:font="Wingdings" w:char="F076"/>
      </w:r>
      <w:r w:rsidRPr="004E28BB">
        <w:tab/>
        <w:t>Length of Visit:</w:t>
      </w:r>
      <w:r w:rsidR="00852B3F" w:rsidRPr="004E28BB">
        <w:t xml:space="preserve"> </w:t>
      </w:r>
      <w:r w:rsidRPr="004E28BB">
        <w:t>2 to 6 hours per day.</w:t>
      </w:r>
    </w:p>
    <w:p w:rsidR="00CF06FD" w:rsidRPr="004E28BB" w:rsidRDefault="00CF06FD" w:rsidP="00CF06FD">
      <w:pPr>
        <w:ind w:left="2160" w:hanging="360"/>
      </w:pPr>
      <w:r w:rsidRPr="004E28BB">
        <w:sym w:font="Wingdings" w:char="F076"/>
      </w:r>
      <w:r w:rsidRPr="004E28BB">
        <w:tab/>
        <w:t>Frequency:</w:t>
      </w:r>
      <w:r w:rsidR="00852B3F" w:rsidRPr="004E28BB">
        <w:t xml:space="preserve"> </w:t>
      </w:r>
      <w:r w:rsidRPr="004E28BB">
        <w:t>2 to 5 visits per week.</w:t>
      </w:r>
    </w:p>
    <w:p w:rsidR="00CF06FD" w:rsidRPr="004E28BB" w:rsidRDefault="00CF06FD" w:rsidP="00CF06FD">
      <w:pPr>
        <w:ind w:left="2160" w:hanging="360"/>
      </w:pPr>
      <w:r w:rsidRPr="004E28BB">
        <w:sym w:font="Wingdings" w:char="F076"/>
      </w:r>
      <w:r w:rsidRPr="004E28BB">
        <w:tab/>
        <w:t>Optimum Duration:</w:t>
      </w:r>
      <w:r w:rsidR="00852B3F" w:rsidRPr="004E28BB">
        <w:t xml:space="preserve"> </w:t>
      </w:r>
      <w:r w:rsidRPr="004E28BB">
        <w:t>2 to 4 weeks.</w:t>
      </w:r>
    </w:p>
    <w:p w:rsidR="00CF06FD" w:rsidRPr="004E28BB" w:rsidRDefault="00CF06FD" w:rsidP="00CF06FD">
      <w:pPr>
        <w:ind w:left="2160" w:hanging="360"/>
      </w:pPr>
      <w:r w:rsidRPr="004E28BB">
        <w:sym w:font="Wingdings" w:char="F076"/>
      </w:r>
      <w:r w:rsidRPr="004E28BB">
        <w:tab/>
        <w:t>Maximum Duration:</w:t>
      </w:r>
      <w:r w:rsidR="00852B3F" w:rsidRPr="004E28BB">
        <w:t xml:space="preserve"> </w:t>
      </w:r>
      <w:r w:rsidRPr="004E28BB">
        <w:t>6 weeks.</w:t>
      </w:r>
      <w:r w:rsidR="00852B3F" w:rsidRPr="004E28BB">
        <w:t xml:space="preserve"> </w:t>
      </w:r>
      <w:r w:rsidRPr="004E28BB">
        <w:t xml:space="preserve">Participation in a program beyond 6 weeks </w:t>
      </w:r>
      <w:r w:rsidR="002523D1" w:rsidRPr="004E28BB">
        <w:t>should</w:t>
      </w:r>
      <w:r w:rsidRPr="004E28BB">
        <w:t xml:space="preserve"> be documented with respect to need and the ability to facilitate positive symptomatic and</w:t>
      </w:r>
      <w:r w:rsidR="00852B3F" w:rsidRPr="004E28BB">
        <w:t xml:space="preserve"> </w:t>
      </w:r>
      <w:r w:rsidRPr="004E28BB">
        <w:t>functional gains.</w:t>
      </w:r>
    </w:p>
    <w:p w:rsidR="007924DF" w:rsidRPr="004E28BB" w:rsidRDefault="007924DF" w:rsidP="00D41D04">
      <w:pPr>
        <w:pStyle w:val="ListNumber2"/>
      </w:pPr>
      <w:bookmarkStart w:id="483" w:name="TBIG16MuscleToneJointRestrictionMngt"/>
      <w:bookmarkStart w:id="484" w:name="TBII6MuscleToneJointRestrictionMngt"/>
      <w:bookmarkStart w:id="485" w:name="_Toc319922608"/>
      <w:bookmarkStart w:id="486" w:name="_Toc394643379"/>
      <w:bookmarkEnd w:id="483"/>
      <w:bookmarkEnd w:id="484"/>
      <w:r w:rsidRPr="004E28BB">
        <w:rPr>
          <w:rStyle w:val="Guide2-123Char"/>
        </w:rPr>
        <w:t>MUSCLE TONE AND JOINT RESTRICTION MANAGEMENT</w:t>
      </w:r>
      <w:bookmarkEnd w:id="485"/>
      <w:r w:rsidR="00212E30">
        <w:rPr>
          <w:rStyle w:val="Guide2-123Char"/>
        </w:rPr>
        <w:t>,</w:t>
      </w:r>
      <w:r w:rsidRPr="004E28BB">
        <w:rPr>
          <w:rStyle w:val="Guide2-123Char"/>
        </w:rPr>
        <w:t xml:space="preserve"> Including spasticity</w:t>
      </w:r>
      <w:bookmarkEnd w:id="486"/>
      <w:r w:rsidRPr="004E28BB">
        <w:t>:</w:t>
      </w:r>
      <w:r w:rsidR="005E5E86" w:rsidRPr="004E28BB">
        <w:t xml:space="preserve"> </w:t>
      </w:r>
      <w:r w:rsidR="002746A3">
        <w:t>D</w:t>
      </w:r>
      <w:r w:rsidRPr="004E28BB">
        <w:t xml:space="preserve">efined as velocity dependent hyperactivity of stretch reflexes secondary to the upper motor neuron syndrome. It is characterized by exaggerated deep tendon reflexes, increased muscle tone that results in a range of abnormal reflexes and motor patterns. The Modified Ashworth Scale is a clinical tool for measuring resistance to passive limb movement. If spasticity is interfering with the individual’s general functioning (which may include </w:t>
      </w:r>
      <w:r w:rsidR="007C2488">
        <w:t>ROM</w:t>
      </w:r>
      <w:r w:rsidRPr="004E28BB">
        <w:t xml:space="preserve"> limitations, limitations in care and/or </w:t>
      </w:r>
      <w:r w:rsidR="0049733A">
        <w:t>ADLs</w:t>
      </w:r>
      <w:r w:rsidR="002746A3">
        <w:t>,</w:t>
      </w:r>
      <w:r w:rsidRPr="004E28BB">
        <w:t xml:space="preserve"> and </w:t>
      </w:r>
      <w:r w:rsidR="002746A3">
        <w:t xml:space="preserve">limitations in </w:t>
      </w:r>
      <w:r w:rsidRPr="004E28BB">
        <w:t xml:space="preserve">mobility), then treatment is often warranted. Individuals with </w:t>
      </w:r>
      <w:r w:rsidR="002746A3">
        <w:t>m</w:t>
      </w:r>
      <w:r w:rsidRPr="004E28BB">
        <w:t>oderate</w:t>
      </w:r>
      <w:r w:rsidR="002746A3">
        <w:t>/s</w:t>
      </w:r>
      <w:r w:rsidRPr="004E28BB">
        <w:t xml:space="preserve">evere TBI may demonstrate changes in muscle activation based on emotional factors, positional changes, and functional demands. Treatment approaches involve the disciplines of </w:t>
      </w:r>
      <w:r w:rsidRPr="004E28BB">
        <w:lastRenderedPageBreak/>
        <w:t>rehabilitation nursing, physical therapy, speech pathology, and occupational therapy. Therapeutic intervention should concentrate on active control, force production</w:t>
      </w:r>
      <w:r w:rsidR="002746A3">
        <w:t>,</w:t>
      </w:r>
      <w:r w:rsidRPr="004E28BB">
        <w:t xml:space="preserve"> and functional muscle use rather than just tone or spasticity reduction. Specific treatments may include, but are not limited to: </w:t>
      </w:r>
    </w:p>
    <w:p w:rsidR="007924DF" w:rsidRPr="004E28BB" w:rsidRDefault="007924DF" w:rsidP="00D41D04">
      <w:pPr>
        <w:pStyle w:val="ListNumber3"/>
      </w:pPr>
      <w:bookmarkStart w:id="487" w:name="_Toc394643380"/>
      <w:r w:rsidRPr="004E28BB">
        <w:rPr>
          <w:rStyle w:val="Guide3-abcdChar"/>
        </w:rPr>
        <w:t>Orthotics and Casting</w:t>
      </w:r>
      <w:bookmarkEnd w:id="487"/>
      <w:r w:rsidRPr="004E28BB">
        <w:t>: Serial casting may also be effective to increase ROM by inhibiting tone and increasing passive muscle length. Serial casting should be reapplied every two weeks as appropriate with increasing stretch and may require an overall treatment period of two to three months. An orthosis may be applied across the joint involved as well as at the joints above and below to maintain tone inhibition and muscle length. These orthoses may be removed to allow therapeutic activity, hygiene and modification based on progress in ROM and movement. Functional activity, such as reaching, grasp with the upper extremity</w:t>
      </w:r>
      <w:r w:rsidR="002746A3">
        <w:t>,</w:t>
      </w:r>
      <w:r w:rsidRPr="004E28BB">
        <w:t xml:space="preserve"> and gait involving the lower extremity</w:t>
      </w:r>
      <w:r w:rsidR="002746A3">
        <w:t>,</w:t>
      </w:r>
      <w:r w:rsidRPr="004E28BB">
        <w:t xml:space="preserve"> should be performed with the orthosis in place. Functional electrical stimulation may be used as a functional orthosis, and both devices may be required to be long-term, if not permanent.</w:t>
      </w:r>
      <w:r w:rsidR="006054C0" w:rsidRPr="004E28BB">
        <w:t xml:space="preserve"> </w:t>
      </w:r>
      <w:r w:rsidRPr="004E28BB">
        <w:t>Orthotics are often prescribed to protect affected joints and to prevent contracture.</w:t>
      </w:r>
      <w:r w:rsidR="006054C0" w:rsidRPr="004E28BB">
        <w:t xml:space="preserve"> </w:t>
      </w:r>
      <w:r w:rsidRPr="004E28BB">
        <w:t>Additionally, special</w:t>
      </w:r>
      <w:r w:rsidR="006054C0" w:rsidRPr="004E28BB">
        <w:t xml:space="preserve"> </w:t>
      </w:r>
      <w:r w:rsidRPr="004E28BB">
        <w:t>seating positioning devices and techniques may be required above and beyond a standard positioning method</w:t>
      </w:r>
      <w:r w:rsidR="005E5E86" w:rsidRPr="004E28BB">
        <w:t>.</w:t>
      </w:r>
    </w:p>
    <w:p w:rsidR="007924DF" w:rsidRPr="004E28BB" w:rsidRDefault="007924DF" w:rsidP="00D41D04">
      <w:pPr>
        <w:pStyle w:val="ListNumber3"/>
      </w:pPr>
      <w:bookmarkStart w:id="488" w:name="_Toc394643381"/>
      <w:r w:rsidRPr="004E28BB">
        <w:rPr>
          <w:rStyle w:val="Guide3-abcdChar"/>
        </w:rPr>
        <w:t>Postural Control</w:t>
      </w:r>
      <w:bookmarkEnd w:id="488"/>
      <w:r w:rsidRPr="004E28BB">
        <w:t>: Trunk control is essential for the body to remain upright and to adjust and control movements against gravity. Postural control, mobility, tone</w:t>
      </w:r>
      <w:r w:rsidR="002746A3">
        <w:t>,</w:t>
      </w:r>
      <w:r w:rsidRPr="004E28BB">
        <w:t xml:space="preserve"> and stability are evaluated by assessing the basic movement components of the upper and lower body, the coordinated trunk, extremity patterns</w:t>
      </w:r>
      <w:r w:rsidR="002746A3">
        <w:t>,</w:t>
      </w:r>
      <w:r w:rsidRPr="004E28BB">
        <w:t xml:space="preserve"> and the power production involved in equilibrium and protective reactions. Basic movement components of the trunk are then progressed to the linking of trunk and extremity movements in supine, sitting</w:t>
      </w:r>
      <w:r w:rsidR="002746A3">
        <w:t>,</w:t>
      </w:r>
      <w:r w:rsidRPr="004E28BB">
        <w:t xml:space="preserve"> and standing positions. The last level involves strength and stability for power production for activities such as walking, stair climbing, jumping, running</w:t>
      </w:r>
      <w:r w:rsidR="002746A3">
        <w:t>,</w:t>
      </w:r>
      <w:r w:rsidRPr="004E28BB">
        <w:t xml:space="preserve"> and throwing.</w:t>
      </w:r>
      <w:bookmarkStart w:id="489" w:name="_Toc319922609"/>
    </w:p>
    <w:p w:rsidR="007924DF" w:rsidRPr="004E28BB" w:rsidRDefault="007924DF" w:rsidP="00D41D04">
      <w:pPr>
        <w:pStyle w:val="ListNumber3"/>
      </w:pPr>
      <w:bookmarkStart w:id="490" w:name="_Toc394643382"/>
      <w:r w:rsidRPr="004E28BB">
        <w:rPr>
          <w:rStyle w:val="Guide3-abcdChar"/>
        </w:rPr>
        <w:t>Functional and Therapeutic Activities</w:t>
      </w:r>
      <w:bookmarkEnd w:id="489"/>
      <w:bookmarkEnd w:id="490"/>
      <w:r w:rsidRPr="004E28BB">
        <w:t xml:space="preserve">: </w:t>
      </w:r>
      <w:r w:rsidR="002746A3">
        <w:t>P</w:t>
      </w:r>
      <w:r w:rsidRPr="004E28BB">
        <w:t>rovided with instruction for the individual and family</w:t>
      </w:r>
      <w:r w:rsidR="00387A03">
        <w:t xml:space="preserve"> and</w:t>
      </w:r>
      <w:r w:rsidRPr="004E28BB">
        <w:t>/</w:t>
      </w:r>
      <w:r w:rsidR="00387A03">
        <w:t xml:space="preserve">or </w:t>
      </w:r>
      <w:r w:rsidRPr="004E28BB">
        <w:t>support system in the proper positions, sequences, timing</w:t>
      </w:r>
      <w:r w:rsidR="002746A3">
        <w:t>,</w:t>
      </w:r>
      <w:r w:rsidRPr="004E28BB">
        <w:t xml:space="preserve"> and level of assistance. There is good evidence for the use of mirror therapy to improve motor function of uppe</w:t>
      </w:r>
      <w:r w:rsidR="00873B39" w:rsidRPr="004E28BB">
        <w:t>r or lower limbs after a stroke</w:t>
      </w:r>
      <w:r w:rsidRPr="00773307">
        <w:rPr>
          <w:rStyle w:val="GuideCitesCharChar"/>
        </w:rPr>
        <w:t xml:space="preserve"> </w:t>
      </w:r>
      <w:r w:rsidRPr="00324C67">
        <w:rPr>
          <w:rStyle w:val="GuideCitesCharChar"/>
          <w:highlight w:val="yellow"/>
        </w:rPr>
        <w:t>([</w:t>
      </w:r>
      <w:hyperlink w:anchor="Theime2012" w:history="1">
        <w:r w:rsidRPr="009018EE">
          <w:rPr>
            <w:rStyle w:val="Hyperlink"/>
            <w:rFonts w:cs="Arial"/>
            <w:highlight w:val="yellow"/>
          </w:rPr>
          <w:t>Cochrane] Thieme, 2012</w:t>
        </w:r>
      </w:hyperlink>
      <w:r w:rsidRPr="00773307">
        <w:rPr>
          <w:rStyle w:val="GuideCitesCharChar"/>
        </w:rPr>
        <w:t>)</w:t>
      </w:r>
      <w:r w:rsidR="00873B39" w:rsidRPr="004E28BB">
        <w:t>.</w:t>
      </w:r>
      <w:r w:rsidRPr="004E28BB">
        <w:t xml:space="preserve"> </w:t>
      </w:r>
      <w:r w:rsidRPr="004E28BB">
        <w:br/>
      </w:r>
      <w:r w:rsidRPr="004E28BB">
        <w:br/>
        <w:t xml:space="preserve">Periodic functional upgrading or consultation may be necessary throughout an individual’s lifetime following </w:t>
      </w:r>
      <w:r w:rsidR="002746A3">
        <w:t>m</w:t>
      </w:r>
      <w:r w:rsidRPr="004E28BB">
        <w:t>oderate/</w:t>
      </w:r>
      <w:r w:rsidR="002746A3">
        <w:t>s</w:t>
      </w:r>
      <w:r w:rsidRPr="004E28BB">
        <w:t>evere TBI. Therapy may be re-initiated for time</w:t>
      </w:r>
      <w:r w:rsidR="002746A3">
        <w:t xml:space="preserve"> </w:t>
      </w:r>
      <w:r w:rsidRPr="004E28BB">
        <w:t xml:space="preserve">limited, goal-specific treatment as new goals are developed and as new abilities in physical and cognitive function are observed or attained </w:t>
      </w:r>
      <w:r w:rsidR="00756447">
        <w:t>(r</w:t>
      </w:r>
      <w:r w:rsidRPr="004E28BB">
        <w:t xml:space="preserve">efer to </w:t>
      </w:r>
      <w:r w:rsidR="00811C8B">
        <w:t>Section</w:t>
      </w:r>
      <w:r w:rsidR="0052291A" w:rsidRPr="004E28BB">
        <w:t xml:space="preserve"> </w:t>
      </w:r>
      <w:hyperlink w:anchor="TBIG8TherapeuticExercise" w:history="1">
        <w:r w:rsidR="0052291A" w:rsidRPr="004E28BB">
          <w:rPr>
            <w:rStyle w:val="Hyperlink"/>
            <w:rFonts w:cs="Arial"/>
          </w:rPr>
          <w:t>G.8. T</w:t>
        </w:r>
        <w:r w:rsidRPr="004E28BB">
          <w:rPr>
            <w:rStyle w:val="Hyperlink"/>
            <w:rFonts w:cs="Arial"/>
          </w:rPr>
          <w:t xml:space="preserve">herapeutic </w:t>
        </w:r>
        <w:r w:rsidR="0052291A" w:rsidRPr="004E28BB">
          <w:rPr>
            <w:rStyle w:val="Hyperlink"/>
            <w:rFonts w:cs="Arial"/>
          </w:rPr>
          <w:t>E</w:t>
        </w:r>
        <w:r w:rsidRPr="004E28BB">
          <w:rPr>
            <w:rStyle w:val="Hyperlink"/>
            <w:rFonts w:cs="Arial"/>
          </w:rPr>
          <w:t>xercise</w:t>
        </w:r>
      </w:hyperlink>
      <w:r w:rsidR="0052291A" w:rsidRPr="004E28BB">
        <w:t xml:space="preserve">, </w:t>
      </w:r>
      <w:r w:rsidRPr="004E28BB">
        <w:t>for further details</w:t>
      </w:r>
      <w:r w:rsidR="00756447">
        <w:t>)</w:t>
      </w:r>
      <w:r w:rsidRPr="004E28BB">
        <w:t xml:space="preserve">. </w:t>
      </w:r>
    </w:p>
    <w:p w:rsidR="007924DF" w:rsidRPr="004E28BB" w:rsidRDefault="007924DF" w:rsidP="00D41D04">
      <w:pPr>
        <w:pStyle w:val="ListNumber3"/>
      </w:pPr>
      <w:bookmarkStart w:id="491" w:name="TBIG16bTherapeuticNerveMotorPointBlocks"/>
      <w:bookmarkStart w:id="492" w:name="_Toc319922610"/>
      <w:bookmarkStart w:id="493" w:name="_Toc394643383"/>
      <w:bookmarkEnd w:id="491"/>
      <w:r w:rsidRPr="004E28BB">
        <w:rPr>
          <w:rStyle w:val="Guide3-abcdChar"/>
        </w:rPr>
        <w:t>Therapeutic Nerve and Motor Point Blocks</w:t>
      </w:r>
      <w:bookmarkEnd w:id="492"/>
      <w:bookmarkEnd w:id="493"/>
      <w:r w:rsidRPr="004E28BB">
        <w:t xml:space="preserve">: </w:t>
      </w:r>
      <w:r w:rsidR="002746A3">
        <w:t>U</w:t>
      </w:r>
      <w:r w:rsidRPr="004E28BB">
        <w:t>seful in targeting specific muscles or muscle groups for diagnostic and therapeutic purposes. The purpose of the nerve or motor point block is to reduce force produced by contracting spastic muscle or muscle group. This reduction in spasticity may lead to improved ROM and enhanced functioning. Therapeutic nerve and motor point blocks are primarily performed with aqueous solutions of phenol. When injected in or near a nerve bundle, phenol denatures protein in the myelin sheath or cell membrane of axons with which it makes contact. Either percutaneous or open neurolytic procedures are considered useful in a variety of spastic disorders related to TBI and are generally accepted procedures.</w:t>
      </w:r>
      <w:r w:rsidR="00B14389" w:rsidRPr="004E28BB">
        <w:t xml:space="preserve"> Refer to </w:t>
      </w:r>
      <w:r w:rsidR="006433BA">
        <w:t xml:space="preserve">the </w:t>
      </w:r>
      <w:r w:rsidR="00B14389" w:rsidRPr="004E28BB">
        <w:t>appropriate guideline.</w:t>
      </w:r>
    </w:p>
    <w:p w:rsidR="007924DF" w:rsidRPr="004E28BB" w:rsidRDefault="007924DF" w:rsidP="00D41D04">
      <w:pPr>
        <w:pStyle w:val="ListNumber3"/>
      </w:pPr>
      <w:bookmarkStart w:id="494" w:name="TBIG16cBotox"/>
      <w:bookmarkStart w:id="495" w:name="_Toc319922611"/>
      <w:bookmarkStart w:id="496" w:name="_Toc394643384"/>
      <w:bookmarkEnd w:id="494"/>
      <w:r w:rsidRPr="004E28BB">
        <w:rPr>
          <w:rStyle w:val="Guide3-abcdChar"/>
        </w:rPr>
        <w:t>Botulinum Toxin (Botox) Injections</w:t>
      </w:r>
      <w:bookmarkEnd w:id="495"/>
      <w:bookmarkEnd w:id="496"/>
      <w:r w:rsidRPr="004E28BB">
        <w:t xml:space="preserve">: </w:t>
      </w:r>
      <w:r w:rsidR="002746A3">
        <w:t>U</w:t>
      </w:r>
      <w:r w:rsidRPr="004E28BB">
        <w:t xml:space="preserve">sed to temporarily weaken or paralyze muscles. May reduce muscle pain in conditions associated with spasticity, </w:t>
      </w:r>
      <w:r w:rsidRPr="004E28BB">
        <w:lastRenderedPageBreak/>
        <w:t>dystonia, or other types of painful muscle spasm. Neutralizing antibodies develop in at least 4% of patients treated with botulinum toxin type A, rendering it ineffective. Several antigenic types of botulinum toxin have been described. Botulinum toxin type B, first approved by the Food and Drug Administration (FDA) in 2001, is similar pharmacologically to botulinum toxin type A. It appears to be effective in patients who have become resistant to the type A toxin. The immune responses to botulinum toxins type A and B are not cross-reactive, allowing type B toxin to be used when type A action is blocked by antibod</w:t>
      </w:r>
      <w:r w:rsidR="002746A3">
        <w:t>ies</w:t>
      </w:r>
      <w:r w:rsidRPr="004E28BB">
        <w:t>. Experimental work with healthy human volunteers suggests that muscle paralysis from type B toxin is not as complete or as long lasting as that resulting from type A. There is strong evidence that botulinum toxin A has objective and symptomatic benefits ove</w:t>
      </w:r>
      <w:r w:rsidR="00873B39" w:rsidRPr="004E28BB">
        <w:t>r placebo for cervical dystonia</w:t>
      </w:r>
      <w:r w:rsidRPr="004E28BB">
        <w:rPr>
          <w:rStyle w:val="GuideCitesCharChar"/>
        </w:rPr>
        <w:t xml:space="preserve"> </w:t>
      </w:r>
      <w:hyperlink w:anchor="Costa2005" w:history="1">
        <w:r w:rsidRPr="009018EE">
          <w:rPr>
            <w:rStyle w:val="Hyperlink"/>
            <w:rFonts w:cs="Arial"/>
            <w:highlight w:val="yellow"/>
          </w:rPr>
          <w:t>([Cochrane] Costa, 2005</w:t>
        </w:r>
      </w:hyperlink>
      <w:r w:rsidRPr="004E28BB">
        <w:rPr>
          <w:rStyle w:val="GuideCitesCharChar"/>
        </w:rPr>
        <w:t>)</w:t>
      </w:r>
      <w:r w:rsidR="00873B39" w:rsidRPr="004E28BB">
        <w:t xml:space="preserve">. </w:t>
      </w:r>
      <w:r w:rsidRPr="004E28BB">
        <w:t>The duration of treatment effect of botulinum toxin type B for cervical dystonia has been estimated to be 12 to 16 weeks. EMG needle guidance may permit more precise delivery of botulinum toxin to the target area.</w:t>
      </w:r>
    </w:p>
    <w:p w:rsidR="007924DF" w:rsidRPr="004E28BB" w:rsidRDefault="007924DF" w:rsidP="00D41D04">
      <w:pPr>
        <w:pStyle w:val="ListNumber4"/>
      </w:pPr>
      <w:r w:rsidRPr="004E28BB">
        <w:rPr>
          <w:rStyle w:val="Guide4-i"/>
        </w:rPr>
        <w:t>Indications</w:t>
      </w:r>
      <w:r w:rsidRPr="004E28BB">
        <w:t xml:space="preserve">: Used to improve ROM and reduce painful muscle spasm, </w:t>
      </w:r>
      <w:r w:rsidR="002746A3">
        <w:t xml:space="preserve">as </w:t>
      </w:r>
      <w:r w:rsidRPr="004E28BB">
        <w:t>a temporizing measure when spasticity is evolving</w:t>
      </w:r>
      <w:r w:rsidR="002746A3">
        <w:t>,</w:t>
      </w:r>
      <w:r w:rsidRPr="004E28BB">
        <w:t xml:space="preserve"> and during the chronic phases to support increased function. Botulinum toxin injections may be useful in musculoskeletal conditions associated with muscle spasm</w:t>
      </w:r>
      <w:r w:rsidR="002746A3">
        <w:t>,</w:t>
      </w:r>
      <w:r w:rsidRPr="004E28BB">
        <w:t xml:space="preserve"> and in central neurologic conditions that produce spasticity or dystonia (e.g., brain injury, spinal cord injury or stroke). There should be evidence of limited ROM prior to the injection. </w:t>
      </w:r>
      <w:r w:rsidRPr="004E28BB">
        <w:br/>
      </w:r>
      <w:r w:rsidRPr="004E28BB">
        <w:br/>
        <w:t xml:space="preserve">Botulinum </w:t>
      </w:r>
      <w:r w:rsidR="002746A3">
        <w:t>i</w:t>
      </w:r>
      <w:r w:rsidRPr="004E28BB">
        <w:t xml:space="preserve">njections are no longer generally recommended for cervicogenic or other headaches based on </w:t>
      </w:r>
      <w:r w:rsidR="00FE18EB" w:rsidRPr="004E28BB">
        <w:t>good evidence of lack of effect</w:t>
      </w:r>
      <w:r w:rsidRPr="004E28BB">
        <w:rPr>
          <w:rStyle w:val="GuideCitesCharChar"/>
        </w:rPr>
        <w:t xml:space="preserve"> (</w:t>
      </w:r>
      <w:r w:rsidRPr="00964512">
        <w:rPr>
          <w:rStyle w:val="GuideCitesCharChar"/>
          <w:highlight w:val="yellow"/>
        </w:rPr>
        <w:t>[</w:t>
      </w:r>
      <w:hyperlink w:anchor="Langevin2011" w:history="1">
        <w:r w:rsidRPr="009018EE">
          <w:rPr>
            <w:rStyle w:val="Hyperlink"/>
            <w:rFonts w:cs="Arial"/>
            <w:highlight w:val="yellow"/>
          </w:rPr>
          <w:t>Cochrane] Langevin, 2011</w:t>
        </w:r>
      </w:hyperlink>
      <w:r w:rsidRPr="00964512">
        <w:rPr>
          <w:rStyle w:val="GuideCitesCharChar"/>
          <w:highlight w:val="yellow"/>
        </w:rPr>
        <w:t xml:space="preserve">; </w:t>
      </w:r>
      <w:hyperlink w:anchor="Linde2011" w:history="1">
        <w:r w:rsidRPr="009018EE">
          <w:rPr>
            <w:rStyle w:val="Hyperlink"/>
            <w:rFonts w:cs="Arial"/>
            <w:highlight w:val="yellow"/>
          </w:rPr>
          <w:t>Linde, 2011</w:t>
        </w:r>
      </w:hyperlink>
      <w:r w:rsidRPr="004E28BB">
        <w:rPr>
          <w:rStyle w:val="GuideCitesCharChar"/>
        </w:rPr>
        <w:t>)</w:t>
      </w:r>
      <w:r w:rsidRPr="004E28BB">
        <w:t>. For more detailed information regarding headaches</w:t>
      </w:r>
      <w:r w:rsidR="00756447">
        <w:t>,</w:t>
      </w:r>
      <w:r w:rsidRPr="004E28BB">
        <w:t xml:space="preserve"> refer to </w:t>
      </w:r>
      <w:r w:rsidR="00811C8B">
        <w:t>Section</w:t>
      </w:r>
      <w:r w:rsidRPr="004E28BB">
        <w:t xml:space="preserve"> </w:t>
      </w:r>
      <w:hyperlink w:anchor="TBIG7Headache" w:history="1">
        <w:r w:rsidRPr="004E28BB">
          <w:rPr>
            <w:rStyle w:val="Hyperlink"/>
          </w:rPr>
          <w:t>G.7. Headache</w:t>
        </w:r>
      </w:hyperlink>
      <w:r w:rsidRPr="004E28BB">
        <w:t xml:space="preserve">. </w:t>
      </w:r>
      <w:r w:rsidR="002746A3">
        <w:t>Botulinum injections</w:t>
      </w:r>
      <w:r w:rsidR="00A67F88" w:rsidRPr="004E28BB">
        <w:t xml:space="preserve"> </w:t>
      </w:r>
      <w:r w:rsidR="002746A3">
        <w:t>are</w:t>
      </w:r>
      <w:r w:rsidR="00A67F88" w:rsidRPr="004E28BB">
        <w:t xml:space="preserve"> n</w:t>
      </w:r>
      <w:r w:rsidRPr="004E28BB">
        <w:t xml:space="preserve">ot routinely recommended, </w:t>
      </w:r>
      <w:r w:rsidR="002746A3">
        <w:t xml:space="preserve">but they </w:t>
      </w:r>
      <w:r w:rsidRPr="004E28BB">
        <w:t xml:space="preserve">may be used in unusual cases. </w:t>
      </w:r>
    </w:p>
    <w:p w:rsidR="007924DF" w:rsidRPr="004E28BB" w:rsidRDefault="007924DF" w:rsidP="00D41D04">
      <w:pPr>
        <w:pStyle w:val="ListNumber4"/>
      </w:pPr>
      <w:r w:rsidRPr="004E28BB">
        <w:rPr>
          <w:rStyle w:val="Guide4-i"/>
        </w:rPr>
        <w:t>Complications</w:t>
      </w:r>
      <w:r w:rsidRPr="004E28BB">
        <w:t>: Over-weakening of injected muscles,</w:t>
      </w:r>
      <w:r w:rsidR="00A67F88" w:rsidRPr="004E28BB">
        <w:t xml:space="preserve"> migraine,</w:t>
      </w:r>
      <w:r w:rsidRPr="004E28BB">
        <w:t xml:space="preserve"> and allergic reaction to medications. Rare systemic effects include flu-like syndrome</w:t>
      </w:r>
      <w:r w:rsidR="002746A3">
        <w:t xml:space="preserve"> and</w:t>
      </w:r>
      <w:r w:rsidRPr="004E28BB">
        <w:t xml:space="preserve"> weakening of distant muscles. There is an increased risk of systemic effects in individuals with motor neuropathy or disorders of neuromuscular junction.</w:t>
      </w:r>
    </w:p>
    <w:p w:rsidR="007924DF" w:rsidRPr="004E28BB" w:rsidRDefault="007924DF" w:rsidP="00A67F88">
      <w:pPr>
        <w:ind w:left="3240" w:hanging="360"/>
      </w:pPr>
      <w:r w:rsidRPr="004E28BB">
        <w:sym w:font="Wingdings" w:char="F076"/>
      </w:r>
      <w:r w:rsidRPr="004E28BB">
        <w:tab/>
        <w:t xml:space="preserve">Time to </w:t>
      </w:r>
      <w:r w:rsidR="002746A3">
        <w:t>P</w:t>
      </w:r>
      <w:r w:rsidRPr="004E28BB">
        <w:t xml:space="preserve">roduce </w:t>
      </w:r>
      <w:r w:rsidR="002746A3">
        <w:t>E</w:t>
      </w:r>
      <w:r w:rsidRPr="004E28BB">
        <w:t>ffect: 24 to 72 hours post-injection with peak effect by 4 to 6 weeks</w:t>
      </w:r>
      <w:r w:rsidR="001B3B4C">
        <w:t>.</w:t>
      </w:r>
    </w:p>
    <w:p w:rsidR="007924DF" w:rsidRPr="004E28BB" w:rsidRDefault="007924DF" w:rsidP="00A67F88">
      <w:pPr>
        <w:ind w:left="3240" w:hanging="360"/>
      </w:pPr>
      <w:r w:rsidRPr="004E28BB">
        <w:sym w:font="Wingdings" w:char="F076"/>
      </w:r>
      <w:r w:rsidRPr="004E28BB">
        <w:tab/>
        <w:t>Frequency: No less than 3 months between re-administration</w:t>
      </w:r>
      <w:r w:rsidR="001B3B4C">
        <w:t>.</w:t>
      </w:r>
    </w:p>
    <w:p w:rsidR="007924DF" w:rsidRPr="004E28BB" w:rsidRDefault="007924DF" w:rsidP="00A67F88">
      <w:pPr>
        <w:ind w:left="3240" w:hanging="360"/>
      </w:pPr>
      <w:r w:rsidRPr="004E28BB">
        <w:sym w:font="Wingdings" w:char="F076"/>
      </w:r>
      <w:r w:rsidRPr="004E28BB">
        <w:tab/>
        <w:t xml:space="preserve">Optimum </w:t>
      </w:r>
      <w:r w:rsidR="002746A3">
        <w:t>D</w:t>
      </w:r>
      <w:r w:rsidRPr="004E28BB">
        <w:t>uration: 3 to 4 months</w:t>
      </w:r>
      <w:r w:rsidR="001B3B4C">
        <w:t>.</w:t>
      </w:r>
    </w:p>
    <w:p w:rsidR="007924DF" w:rsidRPr="004E28BB" w:rsidRDefault="007924DF" w:rsidP="00A67F88">
      <w:pPr>
        <w:ind w:left="3240" w:hanging="360"/>
      </w:pPr>
      <w:r w:rsidRPr="004E28BB">
        <w:sym w:font="Wingdings" w:char="F076"/>
      </w:r>
      <w:r w:rsidRPr="004E28BB">
        <w:tab/>
        <w:t xml:space="preserve">Maximum </w:t>
      </w:r>
      <w:r w:rsidR="002746A3">
        <w:t>D</w:t>
      </w:r>
      <w:r w:rsidRPr="004E28BB">
        <w:t xml:space="preserve">uration: </w:t>
      </w:r>
      <w:r w:rsidR="00221A7D">
        <w:t>U</w:t>
      </w:r>
      <w:r w:rsidRPr="004E28BB">
        <w:t>nknown</w:t>
      </w:r>
      <w:r w:rsidR="00221A7D">
        <w:t xml:space="preserve"> at the time of this guideline</w:t>
      </w:r>
      <w:r w:rsidRPr="004E28BB">
        <w:t>. Repeat injections should be based on functional improvement and therefore used sparingly in order to avoid development of antibodies that might render future injections ineffective</w:t>
      </w:r>
    </w:p>
    <w:p w:rsidR="007924DF" w:rsidRDefault="007924DF" w:rsidP="00D41D04">
      <w:pPr>
        <w:pStyle w:val="ListNumber3"/>
      </w:pPr>
      <w:bookmarkStart w:id="497" w:name="TBIG16dIntrathecalBaclofenDrugDelivery"/>
      <w:bookmarkStart w:id="498" w:name="_Toc319922612"/>
      <w:bookmarkStart w:id="499" w:name="_Toc394643385"/>
      <w:bookmarkEnd w:id="497"/>
      <w:r w:rsidRPr="004E28BB">
        <w:rPr>
          <w:rStyle w:val="Guide3-abcdChar"/>
        </w:rPr>
        <w:t xml:space="preserve">Pharmaceutical </w:t>
      </w:r>
      <w:r w:rsidR="002746A3">
        <w:rPr>
          <w:rStyle w:val="Guide3-abcdChar"/>
        </w:rPr>
        <w:t>A</w:t>
      </w:r>
      <w:r w:rsidRPr="004E28BB">
        <w:rPr>
          <w:rStyle w:val="Guide3-abcdChar"/>
        </w:rPr>
        <w:t>gents</w:t>
      </w:r>
      <w:bookmarkEnd w:id="499"/>
      <w:r w:rsidRPr="004E28BB">
        <w:t>: A variety of oral and transdermal antispasticity medication may also be used.</w:t>
      </w:r>
    </w:p>
    <w:p w:rsidR="00600255" w:rsidRDefault="00600255" w:rsidP="00600255">
      <w:pPr>
        <w:pStyle w:val="ListNumber3"/>
        <w:numPr>
          <w:ilvl w:val="0"/>
          <w:numId w:val="0"/>
        </w:numPr>
        <w:ind w:left="2160"/>
        <w:rPr>
          <w:rStyle w:val="Guide3-abcdChar"/>
        </w:rPr>
      </w:pPr>
    </w:p>
    <w:p w:rsidR="00600255" w:rsidRPr="004E28BB" w:rsidRDefault="00600255" w:rsidP="00600255">
      <w:pPr>
        <w:pStyle w:val="ListNumber3"/>
        <w:numPr>
          <w:ilvl w:val="0"/>
          <w:numId w:val="0"/>
        </w:numPr>
        <w:ind w:left="2160"/>
      </w:pPr>
    </w:p>
    <w:p w:rsidR="007924DF" w:rsidRPr="004E28BB" w:rsidRDefault="007924DF" w:rsidP="00D41D04">
      <w:pPr>
        <w:pStyle w:val="ListNumber3"/>
      </w:pPr>
      <w:bookmarkStart w:id="500" w:name="_Toc394643386"/>
      <w:r w:rsidRPr="004E28BB">
        <w:rPr>
          <w:rStyle w:val="Guide3-abcdChar"/>
        </w:rPr>
        <w:lastRenderedPageBreak/>
        <w:t>Intrathecal Baclofen Drug Delivery</w:t>
      </w:r>
      <w:bookmarkEnd w:id="498"/>
      <w:bookmarkEnd w:id="500"/>
      <w:r w:rsidRPr="004E28BB">
        <w:t>:</w:t>
      </w:r>
    </w:p>
    <w:p w:rsidR="007924DF" w:rsidRPr="004E28BB" w:rsidRDefault="007924DF" w:rsidP="00D41D04">
      <w:pPr>
        <w:pStyle w:val="ListNumber4"/>
      </w:pPr>
      <w:r w:rsidRPr="004E28BB">
        <w:rPr>
          <w:rStyle w:val="Guide4-i"/>
        </w:rPr>
        <w:t>Description</w:t>
      </w:r>
      <w:r w:rsidRPr="004E28BB">
        <w:t xml:space="preserve">: The intrathecal administration of baclofen is indicated for use in the management of severe spasticity. Individuals with </w:t>
      </w:r>
      <w:r w:rsidR="002746A3">
        <w:t>m</w:t>
      </w:r>
      <w:r w:rsidRPr="004E28BB">
        <w:t>oderate/</w:t>
      </w:r>
      <w:r w:rsidR="002746A3">
        <w:t>s</w:t>
      </w:r>
      <w:r w:rsidRPr="004E28BB">
        <w:t>evere TBI should first have a positive response to a diagnostic injection of intrathecal baclofen prior to a consideration of long-term infusion via an implantable pump. An implantable pump should be reserved for those individuals unresponsive to oral baclofen therapy, or those who experience intolerable CNS side effects at effective doses. Individuals with functionally limiting disabling spasticity due to TBI ideally should wait at least one</w:t>
      </w:r>
      <w:r w:rsidR="002746A3">
        <w:t xml:space="preserve"> </w:t>
      </w:r>
      <w:r w:rsidRPr="004E28BB">
        <w:t>year post</w:t>
      </w:r>
      <w:r w:rsidR="007843ED">
        <w:t>-</w:t>
      </w:r>
      <w:r w:rsidRPr="004E28BB">
        <w:t>injury, unless there is clear documentation as to plateaued neurological functioning prior to the one-year post</w:t>
      </w:r>
      <w:r w:rsidR="007843ED">
        <w:t>-</w:t>
      </w:r>
      <w:r w:rsidRPr="004E28BB">
        <w:t>injury mark. Furthermore, there should be clear-cut documentation as to the deleterious effects of their persistent spasticity if not treated effectively, as well as to the specific goals of this invasive therapy. Intrathecal baclofen is intended for use via spinal catheter or lumbar puncture and for chronic use only in implantable pumps approved by the FDA, specifically for the administration of intrathecal baclofen via the intrathecal space.</w:t>
      </w:r>
    </w:p>
    <w:p w:rsidR="007924DF" w:rsidRPr="004E28BB" w:rsidRDefault="007924DF" w:rsidP="00D41D04">
      <w:pPr>
        <w:pStyle w:val="ListNumber4"/>
      </w:pPr>
      <w:r w:rsidRPr="004E28BB">
        <w:rPr>
          <w:rStyle w:val="Guide4-i"/>
        </w:rPr>
        <w:t>Diagnostic Injection</w:t>
      </w:r>
      <w:r w:rsidRPr="004E28BB">
        <w:t>:</w:t>
      </w:r>
      <w:r w:rsidRPr="004E28BB">
        <w:tab/>
      </w:r>
    </w:p>
    <w:p w:rsidR="007924DF" w:rsidRPr="004E28BB" w:rsidRDefault="007924DF" w:rsidP="00D41D04">
      <w:pPr>
        <w:pStyle w:val="ListNumber5"/>
      </w:pPr>
      <w:r w:rsidRPr="004E28BB">
        <w:t>Special Requirements for Diagnostic Injections: Fluoroscopic and/or CT guidance may be used to document technique and needle placement. An experienced physician should perform the procedure. The subspecialty disciplines of the physicians may be varied, including, but not limited to, anesthesiology, radiology, surgery, neurology or physiatry.</w:t>
      </w:r>
    </w:p>
    <w:p w:rsidR="007924DF" w:rsidRPr="004E28BB" w:rsidRDefault="007924DF" w:rsidP="00D41D04">
      <w:pPr>
        <w:pStyle w:val="ListNumber5"/>
      </w:pPr>
      <w:r w:rsidRPr="004E28BB">
        <w:t>Complications: General complications of diagnostic injections may include, but are not limited to, transient neurapraxia, nerve injury, infection, headache, urinary retention</w:t>
      </w:r>
      <w:r w:rsidR="002746A3">
        <w:t>,</w:t>
      </w:r>
      <w:r w:rsidRPr="004E28BB">
        <w:t xml:space="preserve"> and vasovagal effects, as well as epidural hematoma, permanent neurological damage, dural perforation, CSF leakage, and spinal meningeal abscess. Permanent paresis, anaphylaxis</w:t>
      </w:r>
      <w:r w:rsidR="002746A3">
        <w:t>,</w:t>
      </w:r>
      <w:r w:rsidRPr="004E28BB">
        <w:t xml:space="preserve"> and arachnoiditis have been rarely reported.</w:t>
      </w:r>
    </w:p>
    <w:p w:rsidR="007924DF" w:rsidRPr="004E28BB" w:rsidRDefault="007924DF" w:rsidP="00D41D04">
      <w:pPr>
        <w:pStyle w:val="ListNumber5"/>
      </w:pPr>
      <w:r w:rsidRPr="004E28BB">
        <w:t xml:space="preserve">Contraindications: Absolute contraindications </w:t>
      </w:r>
      <w:r w:rsidR="00A67F88" w:rsidRPr="004E28BB">
        <w:t>to</w:t>
      </w:r>
      <w:r w:rsidRPr="004E28BB">
        <w:t xml:space="preserve"> diagnostic injections include, but are not limited to</w:t>
      </w:r>
      <w:r w:rsidR="002746A3">
        <w:t>:</w:t>
      </w:r>
      <w:r w:rsidRPr="004E28BB">
        <w:t xml:space="preserve"> </w:t>
      </w:r>
      <w:r w:rsidR="00CA2997">
        <w:t>(</w:t>
      </w:r>
      <w:r w:rsidRPr="004E28BB">
        <w:t xml:space="preserve">a) bacterial infection-systemic or localized to the region of injection, </w:t>
      </w:r>
      <w:r w:rsidR="00CA2997">
        <w:t>(</w:t>
      </w:r>
      <w:r w:rsidRPr="004E28BB">
        <w:t xml:space="preserve">b) bleeding diathesis, </w:t>
      </w:r>
      <w:r w:rsidR="00CA2997">
        <w:t>(</w:t>
      </w:r>
      <w:r w:rsidRPr="004E28BB">
        <w:t xml:space="preserve">c) hematological conditions and </w:t>
      </w:r>
      <w:r w:rsidR="00CA2997">
        <w:t>(</w:t>
      </w:r>
      <w:r w:rsidRPr="004E28BB">
        <w:t xml:space="preserve">d) possible pregnancy. Relative contraindications of diagnostic injections may include: </w:t>
      </w:r>
      <w:r w:rsidR="00CA2997">
        <w:t>(</w:t>
      </w:r>
      <w:r w:rsidRPr="004E28BB">
        <w:t xml:space="preserve">a) allergy to contrast, </w:t>
      </w:r>
      <w:r w:rsidR="00CA2997">
        <w:t>(</w:t>
      </w:r>
      <w:r w:rsidRPr="004E28BB">
        <w:t>b) aspirin/antiplatelet therapy (drug may be held three days</w:t>
      </w:r>
      <w:r w:rsidR="00A67F88" w:rsidRPr="004E28BB">
        <w:t xml:space="preserve"> or more</w:t>
      </w:r>
      <w:r w:rsidRPr="004E28BB">
        <w:t xml:space="preserve"> prior to injection), and </w:t>
      </w:r>
      <w:r w:rsidR="00CA2997">
        <w:t>(</w:t>
      </w:r>
      <w:r w:rsidRPr="004E28BB">
        <w:t>c) shellfish allergy if contrast is to be used.</w:t>
      </w:r>
    </w:p>
    <w:p w:rsidR="007924DF" w:rsidRPr="004E28BB" w:rsidRDefault="007924DF" w:rsidP="00D41D04">
      <w:pPr>
        <w:pStyle w:val="ListNumber4"/>
      </w:pPr>
      <w:r w:rsidRPr="004E28BB">
        <w:rPr>
          <w:rStyle w:val="Guide4-i"/>
        </w:rPr>
        <w:t>Surgical Pump Implantation</w:t>
      </w:r>
      <w:r w:rsidRPr="004E28BB">
        <w:t>:</w:t>
      </w:r>
      <w:r w:rsidRPr="004E28BB">
        <w:tab/>
      </w:r>
    </w:p>
    <w:p w:rsidR="007924DF" w:rsidRPr="004E28BB" w:rsidRDefault="007924DF" w:rsidP="00D41D04">
      <w:pPr>
        <w:pStyle w:val="ListNumber5"/>
      </w:pPr>
      <w:r w:rsidRPr="004E28BB">
        <w:t>Surgical Indications: Individuals who meet the following criteria should be considered candidates for intraspinal baclofen infusions:</w:t>
      </w:r>
    </w:p>
    <w:p w:rsidR="007924DF" w:rsidRPr="004E28BB" w:rsidRDefault="007924DF" w:rsidP="00D41D04">
      <w:pPr>
        <w:ind w:left="4320" w:hanging="360"/>
      </w:pPr>
      <w:r w:rsidRPr="004E28BB">
        <w:t>●</w:t>
      </w:r>
      <w:r w:rsidRPr="004E28BB">
        <w:tab/>
        <w:t xml:space="preserve">The individual </w:t>
      </w:r>
      <w:r w:rsidR="002523D1" w:rsidRPr="004E28BB">
        <w:t>should</w:t>
      </w:r>
      <w:r w:rsidRPr="004E28BB">
        <w:t xml:space="preserve"> have quantifiable relief from the diagnostic baclofen intrathecal injection and have demonstrated clear functional improvement. Functional gains may be evaluated by an occupational therapist </w:t>
      </w:r>
      <w:r w:rsidRPr="004E28BB">
        <w:lastRenderedPageBreak/>
        <w:t>and/or physical therapist prior to and before discontinuation of the trial</w:t>
      </w:r>
      <w:r w:rsidR="00212E30">
        <w:t>.</w:t>
      </w:r>
    </w:p>
    <w:p w:rsidR="007924DF" w:rsidRPr="004E28BB" w:rsidRDefault="007924DF" w:rsidP="00D41D04">
      <w:pPr>
        <w:ind w:left="4320" w:hanging="360"/>
      </w:pPr>
      <w:r w:rsidRPr="004E28BB">
        <w:t>●</w:t>
      </w:r>
      <w:r w:rsidRPr="004E28BB">
        <w:tab/>
        <w:t>Failure of conservative therapy</w:t>
      </w:r>
      <w:r w:rsidR="002746A3">
        <w:t>,</w:t>
      </w:r>
      <w:r w:rsidRPr="004E28BB">
        <w:t xml:space="preserve"> including active and/or passive therapy, medication management</w:t>
      </w:r>
      <w:r w:rsidR="002746A3">
        <w:t>,</w:t>
      </w:r>
      <w:r w:rsidRPr="004E28BB">
        <w:t xml:space="preserve"> or other therapeutic injections</w:t>
      </w:r>
      <w:r w:rsidR="00212E30">
        <w:t>.</w:t>
      </w:r>
    </w:p>
    <w:p w:rsidR="007924DF" w:rsidRPr="004E28BB" w:rsidRDefault="007924DF" w:rsidP="00D41D04">
      <w:pPr>
        <w:ind w:left="4320" w:hanging="360"/>
      </w:pPr>
      <w:r w:rsidRPr="004E28BB">
        <w:t>●</w:t>
      </w:r>
      <w:r w:rsidRPr="004E28BB">
        <w:tab/>
        <w:t>The individual and family</w:t>
      </w:r>
      <w:r w:rsidR="00387A03">
        <w:t xml:space="preserve"> and</w:t>
      </w:r>
      <w:r w:rsidRPr="004E28BB">
        <w:t>/</w:t>
      </w:r>
      <w:r w:rsidR="00387A03">
        <w:t xml:space="preserve">or </w:t>
      </w:r>
      <w:r w:rsidRPr="004E28BB">
        <w:t xml:space="preserve">support system </w:t>
      </w:r>
      <w:r w:rsidR="002523D1" w:rsidRPr="004E28BB">
        <w:t>should</w:t>
      </w:r>
      <w:r w:rsidRPr="004E28BB">
        <w:t xml:space="preserve"> be motivated for the procedure and </w:t>
      </w:r>
      <w:r w:rsidR="002523D1" w:rsidRPr="004E28BB">
        <w:t>should</w:t>
      </w:r>
      <w:r w:rsidRPr="004E28BB">
        <w:t xml:space="preserve"> understand the potential for complications and</w:t>
      </w:r>
      <w:r w:rsidR="003C0FD3">
        <w:t xml:space="preserve"> the</w:t>
      </w:r>
      <w:r w:rsidRPr="004E28BB">
        <w:t xml:space="preserve"> requirements of treatment maintenance</w:t>
      </w:r>
      <w:r w:rsidR="00212E30">
        <w:t>.</w:t>
      </w:r>
    </w:p>
    <w:p w:rsidR="007924DF" w:rsidRPr="004E28BB" w:rsidRDefault="007924DF" w:rsidP="00D41D04">
      <w:pPr>
        <w:pStyle w:val="ListNumber5"/>
      </w:pPr>
      <w:r w:rsidRPr="004E28BB">
        <w:t>Complications: Intrathecal delivery may be associated with significant complications such as infection, catheter disconnects, CSF leak, arachnoiditis, pump failure, nerve injury and paralysis.</w:t>
      </w:r>
    </w:p>
    <w:p w:rsidR="00415BC0" w:rsidRPr="004E28BB" w:rsidRDefault="007924DF" w:rsidP="00D41D04">
      <w:pPr>
        <w:pStyle w:val="ListNumber5"/>
      </w:pPr>
      <w:r w:rsidRPr="004E28BB">
        <w:t>Contraindications: Infection or body size insufficient to support the size and weight of the implanted device. Individuals with other implanted programmable devices should not be given these pumps, since interference between devices may cause unintended changes in infusion rates.</w:t>
      </w:r>
    </w:p>
    <w:p w:rsidR="004F7CC3" w:rsidRPr="004E28BB" w:rsidRDefault="007924DF" w:rsidP="00D41D04">
      <w:pPr>
        <w:pStyle w:val="ListNumber5"/>
      </w:pPr>
      <w:r w:rsidRPr="004E28BB">
        <w:t>Continuing Use: As with other routes of drug administration, escalation of dose may be required and routine clinical monitoring is warranted. Typically, pump refills are needed every two to three months.</w:t>
      </w:r>
      <w:bookmarkEnd w:id="456"/>
    </w:p>
    <w:p w:rsidR="00DC10F4" w:rsidRPr="004E28BB" w:rsidRDefault="004F7CC3" w:rsidP="00D41D04">
      <w:pPr>
        <w:pStyle w:val="Guide1-ABC"/>
      </w:pPr>
      <w:r w:rsidRPr="004E28BB">
        <w:br w:type="page"/>
      </w:r>
      <w:bookmarkStart w:id="501" w:name="TBIJNonOp"/>
      <w:bookmarkStart w:id="502" w:name="_Toc394643387"/>
      <w:bookmarkEnd w:id="501"/>
      <w:r w:rsidR="00DC10F4" w:rsidRPr="004E28BB">
        <w:lastRenderedPageBreak/>
        <w:t>NONOPERATIVE THERAPEUTIC PROCEDURES – VIS</w:t>
      </w:r>
      <w:r w:rsidR="00604C8A">
        <w:t>I</w:t>
      </w:r>
      <w:r w:rsidR="00DC10F4" w:rsidRPr="004E28BB">
        <w:t>ON, SPEECH, SWALLOWING, BALANCE</w:t>
      </w:r>
      <w:r w:rsidR="00604C8A">
        <w:t>,</w:t>
      </w:r>
      <w:r w:rsidR="00DC10F4" w:rsidRPr="004E28BB">
        <w:t xml:space="preserve"> &amp; HEARING</w:t>
      </w:r>
      <w:bookmarkEnd w:id="502"/>
    </w:p>
    <w:p w:rsidR="00DC10F4" w:rsidRPr="004E28BB" w:rsidRDefault="00DC10F4" w:rsidP="009C3DC2">
      <w:pPr>
        <w:pStyle w:val="ListNumber2"/>
        <w:numPr>
          <w:ilvl w:val="1"/>
          <w:numId w:val="29"/>
        </w:numPr>
      </w:pPr>
      <w:bookmarkStart w:id="503" w:name="OLE_LINK17"/>
      <w:bookmarkStart w:id="504" w:name="_Toc394643388"/>
      <w:r w:rsidRPr="004E28BB">
        <w:rPr>
          <w:rStyle w:val="Guide2-123Char"/>
        </w:rPr>
        <w:t>VISUAL TREATMENT</w:t>
      </w:r>
      <w:bookmarkEnd w:id="504"/>
      <w:r w:rsidRPr="004E28BB">
        <w:t>: Visual impairments may occur secondary to TBI. Treatment of visual impairments should be based on a comprehensive evaluation and diagnosis. Treatment should be functionally</w:t>
      </w:r>
      <w:r w:rsidR="007843ED">
        <w:t>-</w:t>
      </w:r>
      <w:r w:rsidRPr="004E28BB">
        <w:t>based and goal-directed. Individuals should be evaluated at intervals depending on their impairment</w:t>
      </w:r>
      <w:r w:rsidR="00604C8A">
        <w:t>,</w:t>
      </w:r>
      <w:r w:rsidRPr="004E28BB">
        <w:t xml:space="preserve"> and progress should be clearly documented. An ophthalmologist, neuro-ophthalmologist, neurologist, occupational therapist</w:t>
      </w:r>
      <w:r w:rsidR="00604C8A">
        <w:t>,</w:t>
      </w:r>
      <w:r w:rsidRPr="004E28BB">
        <w:t xml:space="preserve"> or optometrist may treat visual impairment resulting from TBI. Treatment should be coordinated with the other interdisciplinary team members with the purpose of achieving the functional goals. Visual impairments may occur in one or more of the following categories:</w:t>
      </w:r>
    </w:p>
    <w:p w:rsidR="00DC10F4" w:rsidRPr="004E28BB" w:rsidRDefault="00DC10F4" w:rsidP="00D41D04">
      <w:pPr>
        <w:ind w:left="2160" w:hanging="360"/>
      </w:pPr>
      <w:r w:rsidRPr="004E28BB">
        <w:t>●</w:t>
      </w:r>
      <w:r w:rsidRPr="004E28BB">
        <w:tab/>
        <w:t>Visual acuity and visual field function</w:t>
      </w:r>
      <w:r w:rsidR="006D4820">
        <w:t>.</w:t>
      </w:r>
    </w:p>
    <w:p w:rsidR="00DC10F4" w:rsidRPr="004E28BB" w:rsidRDefault="00DC10F4" w:rsidP="00D41D04">
      <w:pPr>
        <w:ind w:left="2160" w:hanging="360"/>
      </w:pPr>
      <w:r w:rsidRPr="004E28BB">
        <w:t>●</w:t>
      </w:r>
      <w:r w:rsidRPr="004E28BB">
        <w:tab/>
        <w:t>Ocular motor control and ocular alignment</w:t>
      </w:r>
      <w:r w:rsidR="006D4820">
        <w:t>.</w:t>
      </w:r>
    </w:p>
    <w:p w:rsidR="00DC10F4" w:rsidRPr="004E28BB" w:rsidRDefault="00DC10F4" w:rsidP="00D41D04">
      <w:pPr>
        <w:ind w:left="2160" w:hanging="360"/>
      </w:pPr>
      <w:r w:rsidRPr="004E28BB">
        <w:t>●</w:t>
      </w:r>
      <w:r w:rsidRPr="004E28BB">
        <w:tab/>
        <w:t>Visual perception</w:t>
      </w:r>
      <w:r w:rsidR="006D4820">
        <w:t>.</w:t>
      </w:r>
    </w:p>
    <w:p w:rsidR="00DC10F4" w:rsidRPr="004E28BB" w:rsidRDefault="00DC10F4" w:rsidP="00D41D04">
      <w:pPr>
        <w:ind w:left="1440"/>
      </w:pPr>
      <w:r w:rsidRPr="004E28BB">
        <w:t xml:space="preserve">Note: </w:t>
      </w:r>
      <w:r w:rsidR="006D4820">
        <w:t>V</w:t>
      </w:r>
      <w:r w:rsidRPr="004E28BB">
        <w:t>isual therapy is also per</w:t>
      </w:r>
      <w:r w:rsidR="002D295E" w:rsidRPr="004E28BB">
        <w:t xml:space="preserve">formed for dizziness </w:t>
      </w:r>
      <w:r w:rsidR="00756447">
        <w:t>(r</w:t>
      </w:r>
      <w:r w:rsidR="002D295E" w:rsidRPr="004E28BB">
        <w:t xml:space="preserve">efer to </w:t>
      </w:r>
      <w:r w:rsidR="00604C8A">
        <w:t xml:space="preserve">Section </w:t>
      </w:r>
      <w:hyperlink w:anchor="TBIJ2fVestibularRehab" w:history="1">
        <w:r w:rsidR="002D295E" w:rsidRPr="004E28BB">
          <w:rPr>
            <w:rStyle w:val="Hyperlink"/>
            <w:rFonts w:cs="Arial"/>
          </w:rPr>
          <w:t>J</w:t>
        </w:r>
        <w:r w:rsidRPr="004E28BB">
          <w:rPr>
            <w:rStyle w:val="Hyperlink"/>
            <w:rFonts w:cs="Arial"/>
          </w:rPr>
          <w:t>.</w:t>
        </w:r>
        <w:r w:rsidR="002D295E" w:rsidRPr="004E28BB">
          <w:rPr>
            <w:rStyle w:val="Hyperlink"/>
            <w:rFonts w:cs="Arial"/>
          </w:rPr>
          <w:t>2</w:t>
        </w:r>
        <w:r w:rsidRPr="004E28BB">
          <w:rPr>
            <w:rStyle w:val="Hyperlink"/>
            <w:rFonts w:cs="Arial"/>
          </w:rPr>
          <w:t>.f. Vestibular Rehabilitation</w:t>
        </w:r>
      </w:hyperlink>
      <w:r w:rsidRPr="004E28BB">
        <w:t xml:space="preserve"> for details</w:t>
      </w:r>
      <w:r w:rsidR="00756447">
        <w:t>)</w:t>
      </w:r>
      <w:r w:rsidR="002D295E" w:rsidRPr="004E28BB">
        <w:t>.</w:t>
      </w:r>
      <w:r w:rsidRPr="004E28BB">
        <w:t xml:space="preserve"> </w:t>
      </w:r>
    </w:p>
    <w:p w:rsidR="00DC10F4" w:rsidRPr="004E28BB" w:rsidRDefault="00DC10F4" w:rsidP="00D41D04">
      <w:pPr>
        <w:pStyle w:val="ListNumber3"/>
      </w:pPr>
      <w:bookmarkStart w:id="505" w:name="_Toc319922614"/>
      <w:bookmarkStart w:id="506" w:name="_Toc394643389"/>
      <w:r w:rsidRPr="004E28BB">
        <w:rPr>
          <w:rStyle w:val="Guide3-abcdChar"/>
        </w:rPr>
        <w:t>Visual Acuity and Visual Field Function</w:t>
      </w:r>
      <w:bookmarkEnd w:id="505"/>
      <w:bookmarkEnd w:id="506"/>
      <w:r w:rsidRPr="004E28BB">
        <w:t xml:space="preserve">: </w:t>
      </w:r>
      <w:r w:rsidR="00604C8A">
        <w:t>D</w:t>
      </w:r>
      <w:r w:rsidRPr="004E28BB">
        <w:t>etermined by the eye, optic nerve, optic chiasm, optic tracts, optic radiations</w:t>
      </w:r>
      <w:r w:rsidR="00604C8A">
        <w:t>,</w:t>
      </w:r>
      <w:r w:rsidRPr="004E28BB">
        <w:t xml:space="preserve"> and visual cortex. If visual acuity deficits are caused by optic nerve trauma, treatment with high dose intravenous corticosteroids may be useful</w:t>
      </w:r>
      <w:r w:rsidRPr="004E28BB">
        <w:rPr>
          <w:rStyle w:val="GuideCitesCharChar"/>
        </w:rPr>
        <w:t xml:space="preserve"> (</w:t>
      </w:r>
      <w:hyperlink w:anchor="Spoor2008" w:history="1">
        <w:r w:rsidRPr="00010647">
          <w:rPr>
            <w:rStyle w:val="Hyperlink"/>
            <w:rFonts w:cs="Arial"/>
            <w:highlight w:val="yellow"/>
          </w:rPr>
          <w:t>Spoor, 2008</w:t>
        </w:r>
      </w:hyperlink>
      <w:r w:rsidRPr="004E28BB">
        <w:rPr>
          <w:rStyle w:val="GuideCitesCharChar"/>
        </w:rPr>
        <w:t>)</w:t>
      </w:r>
      <w:r w:rsidR="00873B39" w:rsidRPr="004E28BB">
        <w:t>.</w:t>
      </w:r>
      <w:r w:rsidRPr="004E28BB">
        <w:t xml:space="preserve"> Surgery may be indicated if the trauma results in entrapment, compression of the nerve, or if a hematoma is present within the optic nerve sheath. If visual acuity or visual field deficits are caused by intracranial visual pathway damage, acute treatment should be directed toward the specific injury.</w:t>
      </w:r>
      <w:r w:rsidRPr="004E28BB">
        <w:br/>
      </w:r>
      <w:r w:rsidRPr="004E28BB">
        <w:br/>
        <w:t>Low vision aids may be prescribed for those individuals with documented visual acuity or visual field loss after the acute injury. Lenses may be used to improve visual acuity. Tinted lenses may be useful to treat photophobia and glare sensitivity.</w:t>
      </w:r>
      <w:r w:rsidRPr="004E28BB">
        <w:br/>
      </w:r>
      <w:r w:rsidRPr="004E28BB">
        <w:br/>
        <w:t xml:space="preserve">The use of prisms may benefit some individuals with documented visual field loss from visual pathway disorders </w:t>
      </w:r>
      <w:r w:rsidR="007B61B0">
        <w:t>that affect</w:t>
      </w:r>
      <w:r w:rsidR="007B61B0" w:rsidRPr="004E28BB">
        <w:t xml:space="preserve"> </w:t>
      </w:r>
      <w:r w:rsidRPr="004E28BB">
        <w:t>the visual fields in both eyes.</w:t>
      </w:r>
      <w:r w:rsidRPr="004E28BB">
        <w:br/>
      </w:r>
      <w:r w:rsidRPr="004E28BB">
        <w:br/>
        <w:t xml:space="preserve">Depending on the level of adaptation to the visual field loss, some individuals may need training and education in strategies to improve compensation. Efforts to use visuospatial interventions to improve visual field loss directly without developing compensatory visual scanning are not recommended. The use of computers as a primary and independent form of visual treatment has limited application because of: </w:t>
      </w:r>
      <w:r w:rsidR="001B3B4C">
        <w:t>(</w:t>
      </w:r>
      <w:r w:rsidRPr="004E28BB">
        <w:t xml:space="preserve">1) limitations in the rationale and specific application of software programs to address the needs of the individual with TBI; and </w:t>
      </w:r>
      <w:r w:rsidR="001B3B4C">
        <w:t>(</w:t>
      </w:r>
      <w:r w:rsidRPr="004E28BB">
        <w:t>2) difficulty with generalization of learned computer skills into functional environments. Integrated computer</w:t>
      </w:r>
      <w:r w:rsidR="007843ED">
        <w:t>-</w:t>
      </w:r>
      <w:r w:rsidRPr="004E28BB">
        <w:t>based treatment (i.e., both individualized cognitive and interpersonal therapies) may improve functioning within the context of an interdisciplinary, neuropsychological rehabilitation program. Sole reliance on repeated exposure and practice on computer</w:t>
      </w:r>
      <w:r w:rsidR="007843ED">
        <w:t>-</w:t>
      </w:r>
      <w:r w:rsidRPr="004E28BB">
        <w:t xml:space="preserve">based tasks without extensive involvement and intervention by a therapist is not recommended. Virtual </w:t>
      </w:r>
      <w:r w:rsidR="007B61B0">
        <w:t>r</w:t>
      </w:r>
      <w:r w:rsidRPr="004E28BB">
        <w:t>eality tools may prove useful for ADL assessment and training</w:t>
      </w:r>
      <w:r w:rsidR="007B61B0">
        <w:t>;</w:t>
      </w:r>
      <w:r w:rsidRPr="004E28BB">
        <w:t xml:space="preserve"> however</w:t>
      </w:r>
      <w:r w:rsidR="007B61B0">
        <w:t>,</w:t>
      </w:r>
      <w:r w:rsidRPr="004E28BB">
        <w:t xml:space="preserve"> they are experimental </w:t>
      </w:r>
      <w:r w:rsidR="00983A6D">
        <w:t>at the time of these guidelines,</w:t>
      </w:r>
      <w:r w:rsidR="00983A6D" w:rsidRPr="004E28BB" w:rsidDel="00983A6D">
        <w:t xml:space="preserve"> </w:t>
      </w:r>
      <w:r w:rsidRPr="004E28BB">
        <w:t>as there are no strong</w:t>
      </w:r>
      <w:r w:rsidR="00873B39" w:rsidRPr="004E28BB">
        <w:t xml:space="preserve"> studies </w:t>
      </w:r>
      <w:r w:rsidR="00873B39" w:rsidRPr="004E28BB">
        <w:lastRenderedPageBreak/>
        <w:t>supporting its success</w:t>
      </w:r>
      <w:r w:rsidRPr="004E28BB">
        <w:rPr>
          <w:rStyle w:val="GuideCitesCharChar"/>
        </w:rPr>
        <w:t xml:space="preserve"> (</w:t>
      </w:r>
      <w:r w:rsidRPr="00964512">
        <w:rPr>
          <w:rStyle w:val="GuideCitesCharChar"/>
          <w:highlight w:val="yellow"/>
        </w:rPr>
        <w:t>[</w:t>
      </w:r>
      <w:hyperlink w:anchor="Laver2011" w:history="1">
        <w:r w:rsidRPr="00010647">
          <w:rPr>
            <w:rStyle w:val="Hyperlink"/>
            <w:rFonts w:cs="Arial"/>
            <w:highlight w:val="yellow"/>
          </w:rPr>
          <w:t>Cochrane] Laver</w:t>
        </w:r>
        <w:r w:rsidR="002D295E" w:rsidRPr="00010647">
          <w:rPr>
            <w:rStyle w:val="Hyperlink"/>
            <w:rFonts w:cs="Arial"/>
            <w:highlight w:val="yellow"/>
          </w:rPr>
          <w:t>, 2011</w:t>
        </w:r>
      </w:hyperlink>
      <w:r w:rsidR="002D295E" w:rsidRPr="00964512">
        <w:rPr>
          <w:rStyle w:val="GuideCitesCharChar"/>
          <w:highlight w:val="yellow"/>
        </w:rPr>
        <w:t>;</w:t>
      </w:r>
      <w:r w:rsidRPr="00964512">
        <w:rPr>
          <w:rStyle w:val="GuideCitesCharChar"/>
          <w:highlight w:val="yellow"/>
        </w:rPr>
        <w:t xml:space="preserve"> </w:t>
      </w:r>
      <w:hyperlink w:anchor="Schultheis2002" w:history="1">
        <w:r w:rsidRPr="00010647">
          <w:rPr>
            <w:rStyle w:val="Hyperlink"/>
            <w:rFonts w:cs="Arial"/>
            <w:highlight w:val="yellow"/>
          </w:rPr>
          <w:t>Schultheis, 2002</w:t>
        </w:r>
      </w:hyperlink>
      <w:r w:rsidRPr="004E28BB">
        <w:rPr>
          <w:rStyle w:val="GuideCitesCharChar"/>
        </w:rPr>
        <w:t>)</w:t>
      </w:r>
      <w:r w:rsidR="00873B39" w:rsidRPr="004E28BB">
        <w:t xml:space="preserve">. </w:t>
      </w:r>
      <w:r w:rsidRPr="004E28BB">
        <w:t>Computerized visual restoration therapy programs or other computerized visual treatment programs</w:t>
      </w:r>
      <w:r w:rsidR="007B61B0">
        <w:t>,</w:t>
      </w:r>
      <w:r w:rsidRPr="004E28BB">
        <w:t xml:space="preserve"> such</w:t>
      </w:r>
      <w:r w:rsidR="00DD217D" w:rsidRPr="004E28BB">
        <w:t xml:space="preserve"> as </w:t>
      </w:r>
      <w:r w:rsidRPr="004E28BB">
        <w:t xml:space="preserve">virtual reality, are not recommended due to lack of proven clinically meaningful </w:t>
      </w:r>
      <w:r w:rsidR="002D295E" w:rsidRPr="004E28BB">
        <w:t>efficacy and cost</w:t>
      </w:r>
      <w:r w:rsidR="002D295E" w:rsidRPr="004E28BB">
        <w:rPr>
          <w:rStyle w:val="GuideCitesCharChar"/>
        </w:rPr>
        <w:t xml:space="preserve"> (</w:t>
      </w:r>
      <w:hyperlink w:anchor="Pelak2007" w:history="1">
        <w:r w:rsidR="002D295E" w:rsidRPr="00010647">
          <w:rPr>
            <w:rStyle w:val="Hyperlink"/>
            <w:rFonts w:cs="Arial"/>
            <w:highlight w:val="yellow"/>
          </w:rPr>
          <w:t>Pelak, 2007</w:t>
        </w:r>
      </w:hyperlink>
      <w:r w:rsidR="002D295E" w:rsidRPr="00964512">
        <w:rPr>
          <w:rStyle w:val="GuideCitesCharChar"/>
          <w:highlight w:val="yellow"/>
        </w:rPr>
        <w:t>;</w:t>
      </w:r>
      <w:r w:rsidR="00DD217D" w:rsidRPr="00964512">
        <w:rPr>
          <w:rStyle w:val="GuideCitesCharChar"/>
          <w:highlight w:val="yellow"/>
        </w:rPr>
        <w:t xml:space="preserve"> </w:t>
      </w:r>
      <w:hyperlink w:anchor="Schreiber2006" w:history="1">
        <w:r w:rsidR="00DD217D" w:rsidRPr="00010647">
          <w:rPr>
            <w:rStyle w:val="Hyperlink"/>
            <w:rFonts w:cs="Arial"/>
            <w:highlight w:val="yellow"/>
          </w:rPr>
          <w:t>Schreiber, 2006</w:t>
        </w:r>
      </w:hyperlink>
      <w:r w:rsidR="00DD217D" w:rsidRPr="00964512">
        <w:rPr>
          <w:rStyle w:val="GuideCitesCharChar"/>
          <w:highlight w:val="yellow"/>
        </w:rPr>
        <w:t xml:space="preserve">; </w:t>
      </w:r>
      <w:hyperlink w:anchor="McFadzean2006" w:history="1">
        <w:r w:rsidR="00DD217D" w:rsidRPr="00010647">
          <w:rPr>
            <w:rStyle w:val="Hyperlink"/>
            <w:rFonts w:cs="Arial"/>
            <w:highlight w:val="yellow"/>
          </w:rPr>
          <w:t>McFadzean, 200</w:t>
        </w:r>
        <w:r w:rsidR="003B1F9A" w:rsidRPr="00010647">
          <w:rPr>
            <w:rStyle w:val="Hyperlink"/>
            <w:rFonts w:cs="Arial"/>
            <w:highlight w:val="yellow"/>
          </w:rPr>
          <w:t>6</w:t>
        </w:r>
      </w:hyperlink>
      <w:r w:rsidR="00DD217D" w:rsidRPr="00964512">
        <w:rPr>
          <w:rStyle w:val="GuideCitesCharChar"/>
          <w:highlight w:val="yellow"/>
        </w:rPr>
        <w:t xml:space="preserve">; </w:t>
      </w:r>
      <w:hyperlink w:anchor="Reinhard2005" w:history="1">
        <w:r w:rsidR="00DD217D" w:rsidRPr="00010647">
          <w:rPr>
            <w:rStyle w:val="Hyperlink"/>
            <w:rFonts w:cs="Arial"/>
            <w:highlight w:val="yellow"/>
          </w:rPr>
          <w:t>Reinhard, 2005</w:t>
        </w:r>
      </w:hyperlink>
      <w:r w:rsidRPr="004E28BB">
        <w:rPr>
          <w:rStyle w:val="GuideCitesCharChar"/>
        </w:rPr>
        <w:t>)</w:t>
      </w:r>
      <w:r w:rsidR="00873B39" w:rsidRPr="004E28BB">
        <w:t>.</w:t>
      </w:r>
    </w:p>
    <w:p w:rsidR="00DC10F4" w:rsidRPr="004E28BB" w:rsidRDefault="00DC10F4" w:rsidP="00D41D04">
      <w:pPr>
        <w:pStyle w:val="ListNumber3"/>
      </w:pPr>
      <w:bookmarkStart w:id="507" w:name="_Toc319922615"/>
      <w:bookmarkStart w:id="508" w:name="_Toc394643390"/>
      <w:r w:rsidRPr="004E28BB">
        <w:rPr>
          <w:rStyle w:val="Guide3-abcdChar"/>
        </w:rPr>
        <w:t>Disorders Involving Ocular Motor Control and Ocular Alignment</w:t>
      </w:r>
      <w:bookmarkEnd w:id="507"/>
      <w:r w:rsidR="007B61B0" w:rsidRPr="007B61B0">
        <w:rPr>
          <w:rStyle w:val="Guide3-abcdChar"/>
          <w:b w:val="0"/>
          <w:u w:val="none"/>
        </w:rPr>
        <w:t>:</w:t>
      </w:r>
      <w:bookmarkEnd w:id="508"/>
      <w:r w:rsidRPr="004E28BB">
        <w:t xml:space="preserve"> </w:t>
      </w:r>
      <w:r w:rsidR="007B61B0">
        <w:t>T</w:t>
      </w:r>
      <w:r w:rsidRPr="004E28BB">
        <w:t>reated according to the underlying diagnosis. Ocular motor control includes accommodation, versions, vergences, ductions, ability to fixate, pursuits, saccades, vestibulo-ocular responses (VOR), and optokinetic nystagmus (OKN). Multiple deficits may occur together.</w:t>
      </w:r>
      <w:r w:rsidRPr="004E28BB">
        <w:br/>
      </w:r>
      <w:r w:rsidRPr="004E28BB">
        <w:br/>
        <w:t>Treatment may include the use of lenses, prisms, rehabilitation vision therapy techniques</w:t>
      </w:r>
      <w:r w:rsidR="00A06BFD">
        <w:t>,</w:t>
      </w:r>
      <w:r w:rsidRPr="004E28BB">
        <w:t xml:space="preserve"> and/or surgery. For individuals with disorders of ocular motor and ocular alignment that result in diplopia, monocular eye patching, occlusion of central or peripheral vision, prisms lenses</w:t>
      </w:r>
      <w:r w:rsidR="00A06BFD">
        <w:t>,</w:t>
      </w:r>
      <w:r w:rsidRPr="004E28BB">
        <w:t xml:space="preserve"> or strabismus</w:t>
      </w:r>
      <w:r w:rsidR="00A06BFD">
        <w:t>,</w:t>
      </w:r>
      <w:r w:rsidRPr="004E28BB">
        <w:t xml:space="preserve"> surgery may be used.</w:t>
      </w:r>
      <w:r w:rsidRPr="004E28BB">
        <w:br/>
      </w:r>
      <w:r w:rsidRPr="004E28BB">
        <w:br/>
        <w:t>Lenses may be used to help accommodation. Because of the interaction between accommodation and vergence, lenses may also at times be used to assist in the treatment of a vergence disorder.</w:t>
      </w:r>
      <w:r w:rsidRPr="004E28BB">
        <w:br/>
      </w:r>
      <w:r w:rsidRPr="004E28BB">
        <w:br/>
        <w:t>Prisms may be prescribed to provide an immediate improvement in diplopia and other disorders with symptoms. If diplopia is not stable</w:t>
      </w:r>
      <w:r w:rsidR="00EB4F4D">
        <w:t>,</w:t>
      </w:r>
      <w:r w:rsidRPr="004E28BB">
        <w:t xml:space="preserve"> then appropriate patching (partial selective occlusion) may be more prudent. If deficits are permanent, prisms may be worn indefinitely.</w:t>
      </w:r>
      <w:r w:rsidRPr="004E28BB">
        <w:br/>
      </w:r>
      <w:r w:rsidRPr="004E28BB">
        <w:br/>
        <w:t>Individuals may be instructed in orthoptic techniques to address problems related to ocular motility disorders</w:t>
      </w:r>
      <w:r w:rsidR="00EB4F4D">
        <w:t>,</w:t>
      </w:r>
      <w:r w:rsidRPr="004E28BB">
        <w:t xml:space="preserve"> particularly in cases with cranial nerve palsy or encephalopathy with a correlated shearing injury.</w:t>
      </w:r>
      <w:r w:rsidRPr="004E28BB">
        <w:br/>
      </w:r>
      <w:r w:rsidRPr="004E28BB">
        <w:br/>
        <w:t>Strabismus surgery may be useful in certain circumstances if the deficit is stable for six to nine months. An immediate response is usually noted after the first surgery, but additional surgeries may be necessary.</w:t>
      </w:r>
    </w:p>
    <w:p w:rsidR="00DC10F4" w:rsidRPr="004E28BB" w:rsidRDefault="00DC10F4" w:rsidP="00D41D04">
      <w:pPr>
        <w:pStyle w:val="ListNumber3"/>
      </w:pPr>
      <w:bookmarkStart w:id="509" w:name="_Toc319922616"/>
      <w:bookmarkStart w:id="510" w:name="_Toc394643391"/>
      <w:r w:rsidRPr="004E28BB">
        <w:rPr>
          <w:rStyle w:val="Guide3-abcdChar"/>
        </w:rPr>
        <w:t>Visual Perception</w:t>
      </w:r>
      <w:bookmarkEnd w:id="509"/>
      <w:bookmarkEnd w:id="510"/>
      <w:r w:rsidRPr="004E28BB">
        <w:t xml:space="preserve">: </w:t>
      </w:r>
      <w:r w:rsidR="00EB4F4D">
        <w:t>P</w:t>
      </w:r>
      <w:r w:rsidRPr="004E28BB">
        <w:t>roblems should be treated with a goal to improve visual processing skills and promote adaptation and compensation to the relevant problem.</w:t>
      </w:r>
      <w:r w:rsidRPr="004E28BB">
        <w:br/>
      </w:r>
      <w:r w:rsidRPr="004E28BB">
        <w:br/>
        <w:t xml:space="preserve">Visual perceptual therapy may be required for some individuals as part of their overall cognitive rehabilitation treatment. </w:t>
      </w:r>
      <w:r w:rsidR="00983A6D">
        <w:t>The therapy may be provided by specialists with experience in visual perceptual disorders.</w:t>
      </w:r>
      <w:r w:rsidR="00F64E42">
        <w:t xml:space="preserve"> </w:t>
      </w:r>
      <w:r w:rsidR="00983A6D">
        <w:t>They may be from various disciplines, including, but not limited to, occupational therapy, speech therapy, neuropsychology, optometry and ophthalmology, neurology, and neuro-ophthalmology.</w:t>
      </w:r>
      <w:r w:rsidRPr="004E28BB">
        <w:t xml:space="preserve"> The visual perceptual therapy should be integrated into the complete cognitive rehabilitation program and coordinated with a neuropsychologist or physician experienced in TBI </w:t>
      </w:r>
      <w:r w:rsidR="00756447">
        <w:t>(r</w:t>
      </w:r>
      <w:r w:rsidRPr="004E28BB">
        <w:t xml:space="preserve">efer to </w:t>
      </w:r>
      <w:r w:rsidR="00811C8B">
        <w:t>Section</w:t>
      </w:r>
      <w:r w:rsidRPr="004E28BB">
        <w:t xml:space="preserve"> </w:t>
      </w:r>
      <w:hyperlink w:anchor="TBIG3Cognition" w:history="1">
        <w:r w:rsidRPr="004E28BB">
          <w:rPr>
            <w:rStyle w:val="Hyperlink"/>
            <w:rFonts w:cs="Arial"/>
          </w:rPr>
          <w:t>G.3 Cognition</w:t>
        </w:r>
      </w:hyperlink>
      <w:r w:rsidR="00756447">
        <w:t>)</w:t>
      </w:r>
      <w:r w:rsidR="006D4820">
        <w:t>.</w:t>
      </w:r>
    </w:p>
    <w:p w:rsidR="00DC10F4" w:rsidRPr="004E28BB" w:rsidRDefault="00DC10F4" w:rsidP="00D41D04">
      <w:pPr>
        <w:pStyle w:val="ListNumber3"/>
        <w:rPr>
          <w:i/>
        </w:rPr>
      </w:pPr>
      <w:bookmarkStart w:id="511" w:name="_Toc319922617"/>
      <w:bookmarkStart w:id="512" w:name="_Toc394643392"/>
      <w:r w:rsidRPr="004E28BB">
        <w:rPr>
          <w:rStyle w:val="Guide3-abcdChar"/>
        </w:rPr>
        <w:t>Visual Inattention</w:t>
      </w:r>
      <w:bookmarkEnd w:id="511"/>
      <w:bookmarkEnd w:id="512"/>
      <w:r w:rsidRPr="004E28BB">
        <w:t xml:space="preserve">: </w:t>
      </w:r>
      <w:r w:rsidR="00EB4F4D">
        <w:t>I</w:t>
      </w:r>
      <w:r w:rsidRPr="004E28BB">
        <w:t xml:space="preserve">nattention of a visual spatial region. Treatment may include the use of prisms and scanning techniques. Visuospatial rehabilitation with scanning is recommended for individuals with visuospatial perceptual deficits associated with visual neglect </w:t>
      </w:r>
      <w:r w:rsidR="00983A6D">
        <w:t xml:space="preserve">following </w:t>
      </w:r>
      <w:r w:rsidRPr="004E28BB">
        <w:t xml:space="preserve">TBI and after right </w:t>
      </w:r>
      <w:r w:rsidR="00983A6D">
        <w:t>parietal</w:t>
      </w:r>
      <w:r w:rsidR="00983A6D" w:rsidRPr="004E28BB">
        <w:t xml:space="preserve"> </w:t>
      </w:r>
      <w:r w:rsidRPr="004E28BB">
        <w:t>stroke. There is some evidence that visuospatial rehabilitation with scanning is effective in those with right hemispheric stroke</w:t>
      </w:r>
      <w:r w:rsidR="00EB4F4D">
        <w:t>;</w:t>
      </w:r>
      <w:r w:rsidRPr="004E28BB">
        <w:t xml:space="preserve"> therefore, it is recommended in TBI in</w:t>
      </w:r>
      <w:r w:rsidR="00873B39" w:rsidRPr="004E28BB">
        <w:t>dividuals with similar findings</w:t>
      </w:r>
      <w:r w:rsidRPr="00773307">
        <w:rPr>
          <w:rStyle w:val="GuideCitesCharChar"/>
        </w:rPr>
        <w:t xml:space="preserve"> (</w:t>
      </w:r>
      <w:hyperlink w:anchor="Weinberg1977" w:history="1">
        <w:r w:rsidRPr="00010647">
          <w:rPr>
            <w:rStyle w:val="Hyperlink"/>
            <w:rFonts w:cs="Arial"/>
            <w:highlight w:val="yellow"/>
          </w:rPr>
          <w:t>Weinberg, 1977</w:t>
        </w:r>
      </w:hyperlink>
      <w:r w:rsidRPr="00773307">
        <w:rPr>
          <w:rStyle w:val="GuideCitesCharChar"/>
        </w:rPr>
        <w:t>)</w:t>
      </w:r>
      <w:r w:rsidR="00873B39" w:rsidRPr="004E28BB">
        <w:t xml:space="preserve">. </w:t>
      </w:r>
      <w:r w:rsidRPr="004E28BB">
        <w:t xml:space="preserve">Scanning training is recommended as an important, even critical, intervention element for individuals </w:t>
      </w:r>
      <w:r w:rsidRPr="004E28BB">
        <w:lastRenderedPageBreak/>
        <w:t>with severe visual perceptual impairment that includes visual neglect after right hemispheric stroke and TBI. Efforts to use visuospatial interventions to improve visual field loss directly without developing compensatory visual scanning are not recommended.</w:t>
      </w:r>
    </w:p>
    <w:p w:rsidR="00DC10F4" w:rsidRPr="004E28BB" w:rsidRDefault="00DC10F4" w:rsidP="00D41D04">
      <w:pPr>
        <w:pStyle w:val="ListNumber3"/>
      </w:pPr>
      <w:bookmarkStart w:id="513" w:name="_Toc319922618"/>
      <w:bookmarkStart w:id="514" w:name="_Toc394643393"/>
      <w:r w:rsidRPr="004E28BB">
        <w:rPr>
          <w:rStyle w:val="Guide3-abcdChar"/>
        </w:rPr>
        <w:t>Total Time Frames for all Vision Therapy (Orthoptic Therapy)</w:t>
      </w:r>
      <w:bookmarkEnd w:id="513"/>
      <w:bookmarkEnd w:id="514"/>
      <w:r w:rsidRPr="004E28BB">
        <w:t>: Time frames are not meant to be applied to each section separately. The time frames are to be applied to all vision therapy regardless of the type or combination of therapies being provided.</w:t>
      </w:r>
    </w:p>
    <w:p w:rsidR="00DC10F4" w:rsidRPr="004E28BB" w:rsidRDefault="00DC10F4" w:rsidP="00D41D04">
      <w:pPr>
        <w:ind w:left="2880" w:hanging="360"/>
      </w:pPr>
      <w:r w:rsidRPr="004E28BB">
        <w:sym w:font="Wingdings" w:char="F076"/>
      </w:r>
      <w:r w:rsidRPr="004E28BB">
        <w:tab/>
        <w:t xml:space="preserve">Time to </w:t>
      </w:r>
      <w:r w:rsidR="00960404">
        <w:t>P</w:t>
      </w:r>
      <w:r w:rsidRPr="004E28BB">
        <w:t xml:space="preserve">roduce </w:t>
      </w:r>
      <w:r w:rsidR="00960404">
        <w:t>E</w:t>
      </w:r>
      <w:r w:rsidRPr="004E28BB">
        <w:t>ffect: 4 hours of treatment should result in a measurable functional improvement</w:t>
      </w:r>
      <w:r w:rsidR="00960404">
        <w:t>.</w:t>
      </w:r>
    </w:p>
    <w:p w:rsidR="00DC10F4" w:rsidRPr="004E28BB" w:rsidRDefault="00DC10F4" w:rsidP="00D41D04">
      <w:pPr>
        <w:ind w:left="2880" w:hanging="360"/>
      </w:pPr>
      <w:r w:rsidRPr="004E28BB">
        <w:sym w:font="Wingdings" w:char="F076"/>
      </w:r>
      <w:r w:rsidRPr="004E28BB">
        <w:tab/>
        <w:t>Frequency: 1 to 2 times per week with daily exercise at home. Frequency of treatment is dependent on in-patient versus outpatient, and the medical condition of the individual.</w:t>
      </w:r>
    </w:p>
    <w:p w:rsidR="00DC10F4" w:rsidRPr="004E28BB" w:rsidRDefault="00DC10F4" w:rsidP="00D41D04">
      <w:pPr>
        <w:ind w:left="2880" w:hanging="360"/>
      </w:pPr>
      <w:r w:rsidRPr="004E28BB">
        <w:sym w:font="Wingdings" w:char="F076"/>
      </w:r>
      <w:r w:rsidRPr="004E28BB">
        <w:tab/>
        <w:t xml:space="preserve">Optimum </w:t>
      </w:r>
      <w:r w:rsidR="00960404">
        <w:t>D</w:t>
      </w:r>
      <w:r w:rsidRPr="004E28BB">
        <w:t>uration: 12 hours</w:t>
      </w:r>
      <w:r w:rsidR="00960404">
        <w:t>.</w:t>
      </w:r>
    </w:p>
    <w:p w:rsidR="00DC10F4" w:rsidRPr="004E28BB" w:rsidRDefault="00DC10F4" w:rsidP="00D41D04">
      <w:pPr>
        <w:ind w:left="2880" w:hanging="360"/>
      </w:pPr>
      <w:r w:rsidRPr="004E28BB">
        <w:sym w:font="Wingdings" w:char="F076"/>
      </w:r>
      <w:r w:rsidRPr="004E28BB">
        <w:tab/>
        <w:t xml:space="preserve">Maximum </w:t>
      </w:r>
      <w:r w:rsidR="00960404">
        <w:t>D</w:t>
      </w:r>
      <w:r w:rsidRPr="004E28BB">
        <w:t>uration: 20 hours. Throughout the treatment progress, exams are performed to evaluate status. When progress is no longer occurring, then therapy should be stopped, unless there are mitigating circumstances. If after 20 hours of treatment, there is documented progress, but the individual is not at maximum therapeutic gain, then additional therapy may be indicated. Additional therapy should take into consideration the overall rehabilitation plan for the individual.</w:t>
      </w:r>
    </w:p>
    <w:p w:rsidR="009B0153" w:rsidRPr="009B0153" w:rsidRDefault="00DC10F4" w:rsidP="009B0153">
      <w:pPr>
        <w:pStyle w:val="ListNumber2"/>
      </w:pPr>
      <w:bookmarkStart w:id="515" w:name="_Toc319922619"/>
      <w:bookmarkStart w:id="516" w:name="_Toc394643394"/>
      <w:r w:rsidRPr="004E28BB">
        <w:rPr>
          <w:rStyle w:val="Guide2-123Char"/>
        </w:rPr>
        <w:t>NEURO-OTOLOGIC TREATMENTS</w:t>
      </w:r>
      <w:bookmarkEnd w:id="515"/>
      <w:bookmarkEnd w:id="516"/>
      <w:r w:rsidR="006D4820" w:rsidRPr="004E28BB">
        <w:t>:</w:t>
      </w:r>
      <w:r w:rsidR="009B0153">
        <w:t xml:space="preserve"> </w:t>
      </w:r>
      <w:r w:rsidR="009B0153" w:rsidRPr="009B0153">
        <w:rPr>
          <w:rStyle w:val="Guide2-123Char"/>
          <w:rFonts w:ascii="Arial" w:hAnsi="Arial"/>
          <w:b w:val="0"/>
          <w:caps w:val="0"/>
          <w:u w:val="none"/>
        </w:rPr>
        <w:t xml:space="preserve">For patients with </w:t>
      </w:r>
      <w:r w:rsidR="009B0153">
        <w:rPr>
          <w:rStyle w:val="Guide2-123Char"/>
          <w:rFonts w:ascii="Arial" w:hAnsi="Arial"/>
          <w:b w:val="0"/>
          <w:caps w:val="0"/>
          <w:u w:val="none"/>
        </w:rPr>
        <w:t xml:space="preserve">dizziness causing nausea or affecting balance, treatment of these conditions may be necessary before other rehabilitative therapy can be accomplished. </w:t>
      </w:r>
    </w:p>
    <w:p w:rsidR="00DC10F4" w:rsidRPr="004E28BB" w:rsidRDefault="00DC10F4" w:rsidP="00D41D04">
      <w:pPr>
        <w:pStyle w:val="ListNumber3"/>
      </w:pPr>
      <w:bookmarkStart w:id="517" w:name="_Toc319922620"/>
      <w:bookmarkStart w:id="518" w:name="_Toc394643395"/>
      <w:r w:rsidRPr="004E28BB">
        <w:rPr>
          <w:rStyle w:val="Guide3-abcdChar"/>
        </w:rPr>
        <w:t>Treatment of Fixed Lesions</w:t>
      </w:r>
      <w:bookmarkEnd w:id="517"/>
      <w:bookmarkEnd w:id="518"/>
      <w:r w:rsidRPr="004E28BB">
        <w:t>:</w:t>
      </w:r>
    </w:p>
    <w:p w:rsidR="00DC10F4" w:rsidRPr="004E28BB" w:rsidRDefault="00DC10F4" w:rsidP="00D41D04">
      <w:pPr>
        <w:pStyle w:val="ListNumber4"/>
      </w:pPr>
      <w:r w:rsidRPr="004E28BB">
        <w:rPr>
          <w:rStyle w:val="Guide4-i"/>
        </w:rPr>
        <w:t>Post-</w:t>
      </w:r>
      <w:r w:rsidR="00960404">
        <w:rPr>
          <w:rStyle w:val="Guide4-i"/>
        </w:rPr>
        <w:t>T</w:t>
      </w:r>
      <w:r w:rsidRPr="004E28BB">
        <w:rPr>
          <w:rStyle w:val="Guide4-i"/>
        </w:rPr>
        <w:t xml:space="preserve">raumatic </w:t>
      </w:r>
      <w:r w:rsidR="00960404">
        <w:rPr>
          <w:rStyle w:val="Guide4-i"/>
        </w:rPr>
        <w:t>T</w:t>
      </w:r>
      <w:r w:rsidRPr="004E28BB">
        <w:rPr>
          <w:rStyle w:val="Guide4-i"/>
        </w:rPr>
        <w:t>innitus</w:t>
      </w:r>
      <w:r w:rsidRPr="004E28BB">
        <w:t>: Individuals with TBI may suffer from debilitating tinnitus (ringing in the ears). They may benefit from anti-depressants, anti-seizure medicines</w:t>
      </w:r>
      <w:r w:rsidR="0040423F">
        <w:t>,</w:t>
      </w:r>
      <w:r w:rsidRPr="004E28BB">
        <w:t xml:space="preserve"> and anxiolytics. In many situations, devices are recommended </w:t>
      </w:r>
      <w:r w:rsidR="0040423F">
        <w:t xml:space="preserve">and </w:t>
      </w:r>
      <w:r w:rsidRPr="004E28BB">
        <w:t>may include hearing aids, maskers</w:t>
      </w:r>
      <w:r w:rsidR="0040423F">
        <w:t>,</w:t>
      </w:r>
      <w:r w:rsidRPr="004E28BB">
        <w:t xml:space="preserve"> and tinnitus trainers. Tinnitus trainers require a 30 day trial to determine masking. More sophisticated devices </w:t>
      </w:r>
      <w:r w:rsidR="00965099">
        <w:t>that use</w:t>
      </w:r>
      <w:r w:rsidRPr="004E28BB">
        <w:t xml:space="preserve"> music as opposed to masking are not recommended due t</w:t>
      </w:r>
      <w:r w:rsidR="00873B39" w:rsidRPr="004E28BB">
        <w:t>o no proof of their superiority</w:t>
      </w:r>
      <w:r w:rsidRPr="004E28BB">
        <w:rPr>
          <w:rStyle w:val="GuideCitesCharChar"/>
        </w:rPr>
        <w:t xml:space="preserve"> (</w:t>
      </w:r>
      <w:hyperlink w:anchor="Hobson2010" w:history="1">
        <w:r w:rsidRPr="00010647">
          <w:rPr>
            <w:rStyle w:val="Hyperlink"/>
            <w:rFonts w:cs="Arial"/>
            <w:highlight w:val="yellow"/>
          </w:rPr>
          <w:t>Hobson, 2010</w:t>
        </w:r>
      </w:hyperlink>
      <w:r w:rsidRPr="004E28BB">
        <w:rPr>
          <w:rStyle w:val="GuideCitesCharChar"/>
        </w:rPr>
        <w:t>)</w:t>
      </w:r>
      <w:r w:rsidR="00873B39" w:rsidRPr="004E28BB">
        <w:t>.</w:t>
      </w:r>
    </w:p>
    <w:p w:rsidR="00DC10F4" w:rsidRPr="004E28BB" w:rsidRDefault="00DC10F4" w:rsidP="00D41D04">
      <w:pPr>
        <w:pStyle w:val="ListNumber4"/>
      </w:pPr>
      <w:r w:rsidRPr="004E28BB">
        <w:rPr>
          <w:rStyle w:val="Guide4-i"/>
        </w:rPr>
        <w:t>Hyperacusis/Sonophobia</w:t>
      </w:r>
      <w:r w:rsidRPr="004E28BB">
        <w:t>: Individuals with TBI may suffer from significant sensitivity to sound. These individuals may benefit from devices such as tinnitus trainers, musician’s plugs</w:t>
      </w:r>
      <w:r w:rsidR="00965099">
        <w:t>,</w:t>
      </w:r>
      <w:r w:rsidRPr="004E28BB">
        <w:t xml:space="preserve"> and simple noise plugs.</w:t>
      </w:r>
    </w:p>
    <w:p w:rsidR="00DC10F4" w:rsidRPr="004E28BB" w:rsidRDefault="00DC10F4" w:rsidP="00D41D04">
      <w:pPr>
        <w:pStyle w:val="ListNumber4"/>
      </w:pPr>
      <w:r w:rsidRPr="004E28BB">
        <w:rPr>
          <w:rStyle w:val="Guide4-i"/>
        </w:rPr>
        <w:t xml:space="preserve">Sensorineural </w:t>
      </w:r>
      <w:r w:rsidR="00965099">
        <w:rPr>
          <w:rStyle w:val="Guide4-i"/>
        </w:rPr>
        <w:t>H</w:t>
      </w:r>
      <w:r w:rsidRPr="004E28BB">
        <w:rPr>
          <w:rStyle w:val="Guide4-i"/>
        </w:rPr>
        <w:t xml:space="preserve">earing </w:t>
      </w:r>
      <w:r w:rsidR="00965099">
        <w:rPr>
          <w:rStyle w:val="Guide4-i"/>
        </w:rPr>
        <w:t>L</w:t>
      </w:r>
      <w:r w:rsidRPr="004E28BB">
        <w:rPr>
          <w:rStyle w:val="Guide4-i"/>
        </w:rPr>
        <w:t>oss</w:t>
      </w:r>
      <w:r w:rsidRPr="004E28BB">
        <w:t>: Individuals with TBI may suffer from nerve hearing loss that may be treated with amplification (hearing aids). A full audiometric evaluation may determine if the individual could benefit from such devices.</w:t>
      </w:r>
    </w:p>
    <w:p w:rsidR="00DC10F4" w:rsidRPr="004E28BB" w:rsidRDefault="00DC10F4" w:rsidP="00D41D04">
      <w:pPr>
        <w:pStyle w:val="ListNumber4"/>
      </w:pPr>
      <w:r w:rsidRPr="004E28BB">
        <w:rPr>
          <w:rStyle w:val="Guide4-i"/>
        </w:rPr>
        <w:t xml:space="preserve">Vestibular </w:t>
      </w:r>
      <w:r w:rsidR="00965099">
        <w:rPr>
          <w:rStyle w:val="Guide4-i"/>
        </w:rPr>
        <w:t>L</w:t>
      </w:r>
      <w:r w:rsidRPr="004E28BB">
        <w:rPr>
          <w:rStyle w:val="Guide4-i"/>
        </w:rPr>
        <w:t>oss</w:t>
      </w:r>
      <w:r w:rsidRPr="004E28BB">
        <w:t xml:space="preserve">: </w:t>
      </w:r>
      <w:r w:rsidR="00965099">
        <w:t>I</w:t>
      </w:r>
      <w:r w:rsidRPr="004E28BB">
        <w:t>ndividuals with TBI may suffer from loss of inner ear balance function resulting in dizziness and imbalance. This can result from labyrinthine concussion, penetrating injuries, injury to the 8th nerve, and explosive pressure changes. Vestibular rehabilitation is of benefit in speeding compensation for these losses.</w:t>
      </w:r>
    </w:p>
    <w:p w:rsidR="00DC10F4" w:rsidRPr="004E28BB" w:rsidRDefault="00DC10F4" w:rsidP="00D41D04">
      <w:pPr>
        <w:pStyle w:val="ListNumber3"/>
      </w:pPr>
      <w:bookmarkStart w:id="519" w:name="_Toc319922621"/>
      <w:bookmarkStart w:id="520" w:name="_Toc394643396"/>
      <w:r w:rsidRPr="004E28BB">
        <w:rPr>
          <w:rStyle w:val="Guide3-abcdChar"/>
        </w:rPr>
        <w:lastRenderedPageBreak/>
        <w:t xml:space="preserve">Treatment of </w:t>
      </w:r>
      <w:r w:rsidR="00965099">
        <w:rPr>
          <w:rStyle w:val="Guide3-abcdChar"/>
        </w:rPr>
        <w:t>R</w:t>
      </w:r>
      <w:r w:rsidRPr="004E28BB">
        <w:rPr>
          <w:rStyle w:val="Guide3-abcdChar"/>
        </w:rPr>
        <w:t xml:space="preserve">ecurrent, </w:t>
      </w:r>
      <w:r w:rsidR="00965099">
        <w:rPr>
          <w:rStyle w:val="Guide3-abcdChar"/>
        </w:rPr>
        <w:t>N</w:t>
      </w:r>
      <w:r w:rsidRPr="004E28BB">
        <w:rPr>
          <w:rStyle w:val="Guide3-abcdChar"/>
        </w:rPr>
        <w:t>on-</w:t>
      </w:r>
      <w:r w:rsidR="00965099">
        <w:rPr>
          <w:rStyle w:val="Guide3-abcdChar"/>
        </w:rPr>
        <w:t>P</w:t>
      </w:r>
      <w:r w:rsidRPr="004E28BB">
        <w:rPr>
          <w:rStyle w:val="Guide3-abcdChar"/>
        </w:rPr>
        <w:t xml:space="preserve">rogressive </w:t>
      </w:r>
      <w:r w:rsidR="00965099">
        <w:rPr>
          <w:rStyle w:val="Guide3-abcdChar"/>
        </w:rPr>
        <w:t>O</w:t>
      </w:r>
      <w:r w:rsidRPr="004E28BB">
        <w:rPr>
          <w:rStyle w:val="Guide3-abcdChar"/>
        </w:rPr>
        <w:t xml:space="preserve">tologic </w:t>
      </w:r>
      <w:r w:rsidR="00965099">
        <w:rPr>
          <w:rStyle w:val="Guide3-abcdChar"/>
        </w:rPr>
        <w:t>D</w:t>
      </w:r>
      <w:r w:rsidRPr="004E28BB">
        <w:rPr>
          <w:rStyle w:val="Guide3-abcdChar"/>
        </w:rPr>
        <w:t>isorders</w:t>
      </w:r>
      <w:bookmarkEnd w:id="520"/>
      <w:r w:rsidRPr="004E28BB">
        <w:t>:</w:t>
      </w:r>
    </w:p>
    <w:p w:rsidR="00DC10F4" w:rsidRPr="004E28BB" w:rsidRDefault="00965099" w:rsidP="00D41D04">
      <w:pPr>
        <w:pStyle w:val="ListNumber4"/>
      </w:pPr>
      <w:r>
        <w:rPr>
          <w:rStyle w:val="Guide4-i"/>
        </w:rPr>
        <w:t>Benign Positional Vertigo (</w:t>
      </w:r>
      <w:r w:rsidR="00DC10F4" w:rsidRPr="004E28BB">
        <w:rPr>
          <w:rStyle w:val="Guide4-i"/>
        </w:rPr>
        <w:t>BPV</w:t>
      </w:r>
      <w:r>
        <w:rPr>
          <w:rStyle w:val="Guide4-i"/>
        </w:rPr>
        <w:t>)</w:t>
      </w:r>
      <w:r w:rsidR="00DC10F4" w:rsidRPr="004E28BB">
        <w:t xml:space="preserve">: </w:t>
      </w:r>
      <w:r>
        <w:t>T</w:t>
      </w:r>
      <w:r w:rsidR="00DC10F4" w:rsidRPr="004E28BB">
        <w:t xml:space="preserve">he most common cause of post-traumatic vertigo </w:t>
      </w:r>
      <w:r w:rsidR="00756447">
        <w:t>(r</w:t>
      </w:r>
      <w:r w:rsidR="00DC10F4" w:rsidRPr="004E28BB">
        <w:t xml:space="preserve">efer to </w:t>
      </w:r>
      <w:r w:rsidR="00811C8B">
        <w:t>Section</w:t>
      </w:r>
      <w:r w:rsidR="00AA28F8" w:rsidRPr="004E28BB">
        <w:t xml:space="preserve"> </w:t>
      </w:r>
      <w:hyperlink w:anchor="TBIJ2fivBenignPositionalVertigo" w:history="1">
        <w:r w:rsidR="00B10BA9" w:rsidRPr="004E28BB">
          <w:rPr>
            <w:rStyle w:val="Hyperlink"/>
            <w:rFonts w:cs="Arial"/>
          </w:rPr>
          <w:t>J.2.f.iv. Benign Positional Vertigo (BPV)</w:t>
        </w:r>
      </w:hyperlink>
      <w:r w:rsidR="00B10BA9" w:rsidRPr="004E28BB">
        <w:t xml:space="preserve"> </w:t>
      </w:r>
      <w:r w:rsidR="00DC10F4" w:rsidRPr="004E28BB">
        <w:t xml:space="preserve">for </w:t>
      </w:r>
      <w:r>
        <w:t xml:space="preserve">a </w:t>
      </w:r>
      <w:r w:rsidR="00DC10F4" w:rsidRPr="004E28BB">
        <w:t>description</w:t>
      </w:r>
      <w:r w:rsidR="00756447">
        <w:t>)</w:t>
      </w:r>
      <w:r w:rsidR="00AA28F8" w:rsidRPr="004E28BB">
        <w:t>.</w:t>
      </w:r>
      <w:r w:rsidR="00DC10F4" w:rsidRPr="004E28BB">
        <w:t xml:space="preserve"> It is an otologic disorder in which particles normally adherent to the gravity sensors of the ear become displaced into the semicircular canals, which cause the sensation of spinning. It is characterized by recurrent, brief spells of vertigo triggered by head movements such as getting in and out of bed, rolling over in bed, tipping the head upward</w:t>
      </w:r>
      <w:r>
        <w:t>,</w:t>
      </w:r>
      <w:r w:rsidR="00DC10F4" w:rsidRPr="004E28BB">
        <w:t xml:space="preserve"> or bending over. It is diagnosed by the Dix Hallpike maneuver and treated with canalith repositioning maneuvers (CRM) specific to the affected semicircular canals. Patients treated by CRM should be re-evaluated within the first month to ensure resolution of symptoms. Recurrences are common after trauma. These may be treated by repeating the CRM, home exercises, or referral to physical therapy.</w:t>
      </w:r>
    </w:p>
    <w:p w:rsidR="00DC10F4" w:rsidRPr="004E28BB" w:rsidRDefault="00DC10F4" w:rsidP="00D41D04">
      <w:pPr>
        <w:pStyle w:val="ListNumber4"/>
      </w:pPr>
      <w:r w:rsidRPr="004E28BB">
        <w:rPr>
          <w:rStyle w:val="Guide4-i"/>
        </w:rPr>
        <w:t xml:space="preserve">Semicircular </w:t>
      </w:r>
      <w:r w:rsidR="00965099">
        <w:rPr>
          <w:rStyle w:val="Guide4-i"/>
        </w:rPr>
        <w:t>C</w:t>
      </w:r>
      <w:r w:rsidRPr="004E28BB">
        <w:rPr>
          <w:rStyle w:val="Guide4-i"/>
        </w:rPr>
        <w:t xml:space="preserve">anal </w:t>
      </w:r>
      <w:r w:rsidR="00965099">
        <w:rPr>
          <w:rStyle w:val="Guide4-i"/>
        </w:rPr>
        <w:t>D</w:t>
      </w:r>
      <w:r w:rsidRPr="004E28BB">
        <w:rPr>
          <w:rStyle w:val="Guide4-i"/>
        </w:rPr>
        <w:t>ehiscence</w:t>
      </w:r>
      <w:r w:rsidRPr="004E28BB">
        <w:t xml:space="preserve">: </w:t>
      </w:r>
      <w:r w:rsidR="00965099">
        <w:t>A</w:t>
      </w:r>
      <w:r w:rsidRPr="004E28BB">
        <w:t xml:space="preserve">n abnormal communication between the CSF space in the skull and perilymph surrounding the inner ear. It can result from blunt head trauma with fracture of the bone separating these spaces. Symptoms include vertigo brought on by loud sounds or straining and autophony, </w:t>
      </w:r>
      <w:r w:rsidR="00965099">
        <w:t xml:space="preserve">which is </w:t>
      </w:r>
      <w:r w:rsidRPr="004E28BB">
        <w:t>the magnification of internal bodily sounds (chewing, eye movement, joint movement, heartbeat) in the affected ear. Vestibular suppressants and avoidance of provoking sounds can be used; surgery is required in severe cases.</w:t>
      </w:r>
    </w:p>
    <w:p w:rsidR="00DC10F4" w:rsidRPr="004E28BB" w:rsidRDefault="00DC10F4" w:rsidP="00D41D04">
      <w:pPr>
        <w:pStyle w:val="ListNumber4"/>
      </w:pPr>
      <w:r w:rsidRPr="004E28BB">
        <w:rPr>
          <w:rStyle w:val="Guide4-i"/>
        </w:rPr>
        <w:t xml:space="preserve">Vestibular </w:t>
      </w:r>
      <w:r w:rsidR="00965099">
        <w:rPr>
          <w:rStyle w:val="Guide4-i"/>
        </w:rPr>
        <w:t>M</w:t>
      </w:r>
      <w:r w:rsidRPr="004E28BB">
        <w:rPr>
          <w:rStyle w:val="Guide4-i"/>
        </w:rPr>
        <w:t>igraine</w:t>
      </w:r>
      <w:r w:rsidRPr="004E28BB">
        <w:t>: Individuals experiencing an exacerbation of migraine after TBI frequently have an associated dizziness. Treatment includes trigger avoidance, vestibular suppressants, and migraine prophylactic medications such as calcium channel blockers, anti-seizure medication, beta blockers</w:t>
      </w:r>
      <w:r w:rsidR="00965099">
        <w:t>,</w:t>
      </w:r>
      <w:r w:rsidRPr="004E28BB">
        <w:t xml:space="preserve"> and SSRI’s </w:t>
      </w:r>
      <w:r w:rsidR="00756447">
        <w:t>(r</w:t>
      </w:r>
      <w:r w:rsidRPr="004E28BB">
        <w:t xml:space="preserve">efer to </w:t>
      </w:r>
      <w:r w:rsidR="00811C8B">
        <w:t>Section</w:t>
      </w:r>
      <w:r w:rsidRPr="004E28BB">
        <w:t xml:space="preserve"> </w:t>
      </w:r>
      <w:hyperlink w:anchor="TBIG7Headache" w:history="1">
        <w:r w:rsidRPr="004E28BB">
          <w:rPr>
            <w:rStyle w:val="Hyperlink"/>
            <w:rFonts w:cs="Arial"/>
          </w:rPr>
          <w:t>G.7. Headache</w:t>
        </w:r>
      </w:hyperlink>
      <w:r w:rsidR="00756447">
        <w:t>)</w:t>
      </w:r>
      <w:r w:rsidRPr="004E28BB">
        <w:t>.</w:t>
      </w:r>
    </w:p>
    <w:p w:rsidR="00DC10F4" w:rsidRPr="004E28BB" w:rsidRDefault="00DC10F4" w:rsidP="00D41D04">
      <w:pPr>
        <w:pStyle w:val="ListNumber4"/>
      </w:pPr>
      <w:r w:rsidRPr="004E28BB">
        <w:rPr>
          <w:rStyle w:val="Guide4-i"/>
        </w:rPr>
        <w:t xml:space="preserve">Impaired </w:t>
      </w:r>
      <w:r w:rsidR="00965099">
        <w:rPr>
          <w:rStyle w:val="Guide4-i"/>
        </w:rPr>
        <w:t>C</w:t>
      </w:r>
      <w:r w:rsidRPr="004E28BB">
        <w:rPr>
          <w:rStyle w:val="Guide4-i"/>
        </w:rPr>
        <w:t xml:space="preserve">ompensation due to </w:t>
      </w:r>
      <w:r w:rsidR="00965099">
        <w:rPr>
          <w:rStyle w:val="Guide4-i"/>
        </w:rPr>
        <w:t>M</w:t>
      </w:r>
      <w:r w:rsidRPr="004E28BB">
        <w:rPr>
          <w:rStyle w:val="Guide4-i"/>
        </w:rPr>
        <w:t xml:space="preserve">ultisensory </w:t>
      </w:r>
      <w:r w:rsidR="00965099">
        <w:rPr>
          <w:rStyle w:val="Guide4-i"/>
        </w:rPr>
        <w:t>I</w:t>
      </w:r>
      <w:r w:rsidRPr="004E28BB">
        <w:rPr>
          <w:rStyle w:val="Guide4-i"/>
        </w:rPr>
        <w:t>mbalance</w:t>
      </w:r>
      <w:r w:rsidRPr="004E28BB">
        <w:t xml:space="preserve">: </w:t>
      </w:r>
      <w:r w:rsidR="00965099">
        <w:t>A</w:t>
      </w:r>
      <w:r w:rsidRPr="004E28BB">
        <w:t xml:space="preserve"> form of persistent dizziness following a fixed vestibular injury characterized by a constant feeling of dysequilibrium that is worsened when walking or making rapid head turns and improved when seated or using a grocery store cart or walker. Compensati</w:t>
      </w:r>
      <w:r w:rsidR="00F0257F" w:rsidRPr="004E28BB">
        <w:t>on to vestibular injury requires</w:t>
      </w:r>
      <w:r w:rsidRPr="004E28BB">
        <w:t xml:space="preserve"> normal binoc</w:t>
      </w:r>
      <w:r w:rsidR="002B622B" w:rsidRPr="004E28BB">
        <w:t>ular vision and visual tracking</w:t>
      </w:r>
      <w:r w:rsidRPr="004E28BB">
        <w:t xml:space="preserve">, normal head/neck mobility, normal somatosensation, </w:t>
      </w:r>
      <w:r w:rsidR="00965099">
        <w:t xml:space="preserve">and </w:t>
      </w:r>
      <w:r w:rsidRPr="004E28BB">
        <w:t>strength and mobility in the legs and feet. Injuries to any of these areas can significantly delay recovery from concurrent vestibular injuries. Treatment requires physical therapy directed at these deficits. A rolling walker with handbrakes or other assistive devices may be provided when balance is significantly impaired.</w:t>
      </w:r>
    </w:p>
    <w:p w:rsidR="00DC10F4" w:rsidRPr="004E28BB" w:rsidRDefault="00DC10F4" w:rsidP="00D41D04">
      <w:pPr>
        <w:pStyle w:val="ListNumber3"/>
      </w:pPr>
      <w:bookmarkStart w:id="521" w:name="_Toc394643397"/>
      <w:r w:rsidRPr="004E28BB">
        <w:rPr>
          <w:rStyle w:val="Guide3-abcdChar"/>
        </w:rPr>
        <w:t xml:space="preserve">Treatment of </w:t>
      </w:r>
      <w:r w:rsidR="00965099">
        <w:rPr>
          <w:rStyle w:val="Guide3-abcdChar"/>
        </w:rPr>
        <w:t>P</w:t>
      </w:r>
      <w:r w:rsidRPr="004E28BB">
        <w:rPr>
          <w:rStyle w:val="Guide3-abcdChar"/>
        </w:rPr>
        <w:t xml:space="preserve">rogressive </w:t>
      </w:r>
      <w:r w:rsidR="00965099">
        <w:rPr>
          <w:rStyle w:val="Guide3-abcdChar"/>
        </w:rPr>
        <w:t>O</w:t>
      </w:r>
      <w:r w:rsidRPr="004E28BB">
        <w:rPr>
          <w:rStyle w:val="Guide3-abcdChar"/>
        </w:rPr>
        <w:t xml:space="preserve">tologic </w:t>
      </w:r>
      <w:r w:rsidR="00965099">
        <w:rPr>
          <w:rStyle w:val="Guide3-abcdChar"/>
        </w:rPr>
        <w:t>D</w:t>
      </w:r>
      <w:r w:rsidRPr="004E28BB">
        <w:rPr>
          <w:rStyle w:val="Guide3-abcdChar"/>
        </w:rPr>
        <w:t>isorders</w:t>
      </w:r>
      <w:bookmarkEnd w:id="521"/>
      <w:r w:rsidRPr="004E28BB">
        <w:t>:</w:t>
      </w:r>
    </w:p>
    <w:p w:rsidR="00DC10F4" w:rsidRPr="004E28BB" w:rsidRDefault="00DC10F4" w:rsidP="00D41D04">
      <w:pPr>
        <w:pStyle w:val="ListNumber4"/>
      </w:pPr>
      <w:bookmarkStart w:id="522" w:name="TBIJ2ciProgressiveVestibulopathy"/>
      <w:bookmarkEnd w:id="522"/>
      <w:r w:rsidRPr="004E28BB">
        <w:rPr>
          <w:rStyle w:val="Guide4-i"/>
        </w:rPr>
        <w:t xml:space="preserve">Progressive </w:t>
      </w:r>
      <w:r w:rsidR="00965099">
        <w:rPr>
          <w:rStyle w:val="Guide4-i"/>
        </w:rPr>
        <w:t>V</w:t>
      </w:r>
      <w:r w:rsidRPr="004E28BB">
        <w:rPr>
          <w:rStyle w:val="Guide4-i"/>
        </w:rPr>
        <w:t xml:space="preserve">estibulopathy with or without </w:t>
      </w:r>
      <w:r w:rsidR="00965099">
        <w:rPr>
          <w:rStyle w:val="Guide4-i"/>
        </w:rPr>
        <w:t>H</w:t>
      </w:r>
      <w:r w:rsidRPr="004E28BB">
        <w:rPr>
          <w:rStyle w:val="Guide4-i"/>
        </w:rPr>
        <w:t xml:space="preserve">earing </w:t>
      </w:r>
      <w:r w:rsidR="00965099">
        <w:rPr>
          <w:rStyle w:val="Guide4-i"/>
        </w:rPr>
        <w:t>L</w:t>
      </w:r>
      <w:r w:rsidRPr="004E28BB">
        <w:rPr>
          <w:rStyle w:val="Guide4-i"/>
        </w:rPr>
        <w:t>oss</w:t>
      </w:r>
      <w:r w:rsidRPr="004E28BB">
        <w:t xml:space="preserve">: </w:t>
      </w:r>
      <w:r w:rsidR="00965099">
        <w:t>E</w:t>
      </w:r>
      <w:r w:rsidRPr="004E28BB">
        <w:t xml:space="preserve">ars with acute auditory or vestibular injuries occasionally convert to a progressively damaging disorder with recurrent vertigo spells and gradual loss of hearing and/or balance function over time. Cases with discrete vertigo spells of hours in duration associated with tinnitus and fluctuating hearing are called post-traumatic endolymphatic hydrops or Ménière’s disease. Hydrops refers to dilation of the endolymph space of the inner ear at the expense of the surrounding perilymph space, and is highly associated with Ménière’s disease, although the mechanism of the ear dysfunction </w:t>
      </w:r>
      <w:r w:rsidRPr="004E28BB">
        <w:lastRenderedPageBreak/>
        <w:t>is not yet known. Treatments include diuretics, calcium channel blockers, steroids, gentamicin perfusion, and surgery.</w:t>
      </w:r>
    </w:p>
    <w:p w:rsidR="00DC10F4" w:rsidRPr="004E28BB" w:rsidRDefault="00DC10F4" w:rsidP="00D41D04">
      <w:pPr>
        <w:pStyle w:val="ListNumber4"/>
      </w:pPr>
      <w:r w:rsidRPr="004E28BB">
        <w:rPr>
          <w:rStyle w:val="Guide4-i"/>
        </w:rPr>
        <w:t xml:space="preserve">Perilymphatic </w:t>
      </w:r>
      <w:r w:rsidR="00965099">
        <w:rPr>
          <w:rStyle w:val="Guide4-i"/>
        </w:rPr>
        <w:t>F</w:t>
      </w:r>
      <w:r w:rsidRPr="004E28BB">
        <w:rPr>
          <w:rStyle w:val="Guide4-i"/>
        </w:rPr>
        <w:t>istula</w:t>
      </w:r>
      <w:r w:rsidRPr="004E28BB">
        <w:t>: Ruptures of the round or oval windows of the inner ear or fractures through the ear can result in leakage of perilymph. This can cause progressive hearing loss and recurrent dizziness that is often triggered by straining. Treatment is bed rest with the head elevated and avoidance of straining for mild cases. Surgery is required for severe cases and those not responding to a week of bed rest.</w:t>
      </w:r>
    </w:p>
    <w:p w:rsidR="00DC10F4" w:rsidRPr="004E28BB" w:rsidRDefault="00DC10F4" w:rsidP="00D41D04">
      <w:pPr>
        <w:pStyle w:val="ListNumber3"/>
      </w:pPr>
      <w:bookmarkStart w:id="523" w:name="_Toc394643398"/>
      <w:r w:rsidRPr="004E28BB">
        <w:rPr>
          <w:rStyle w:val="Guide3-abcdChar"/>
        </w:rPr>
        <w:t xml:space="preserve">In-Office </w:t>
      </w:r>
      <w:r w:rsidR="00965099">
        <w:rPr>
          <w:rStyle w:val="Guide3-abcdChar"/>
        </w:rPr>
        <w:t>T</w:t>
      </w:r>
      <w:r w:rsidRPr="004E28BB">
        <w:rPr>
          <w:rStyle w:val="Guide3-abcdChar"/>
        </w:rPr>
        <w:t xml:space="preserve">reatment </w:t>
      </w:r>
      <w:r w:rsidR="00965099">
        <w:rPr>
          <w:rStyle w:val="Guide3-abcdChar"/>
        </w:rPr>
        <w:t>P</w:t>
      </w:r>
      <w:r w:rsidRPr="004E28BB">
        <w:rPr>
          <w:rStyle w:val="Guide3-abcdChar"/>
        </w:rPr>
        <w:t>rocedures</w:t>
      </w:r>
      <w:bookmarkEnd w:id="523"/>
      <w:r w:rsidRPr="004E28BB">
        <w:t>:</w:t>
      </w:r>
    </w:p>
    <w:p w:rsidR="00DC10F4" w:rsidRPr="004E28BB" w:rsidRDefault="00DC10F4" w:rsidP="00D41D04">
      <w:pPr>
        <w:pStyle w:val="ListNumber4"/>
      </w:pPr>
      <w:r w:rsidRPr="004E28BB">
        <w:rPr>
          <w:rStyle w:val="Guide4-i"/>
        </w:rPr>
        <w:t xml:space="preserve">Steroid </w:t>
      </w:r>
      <w:r w:rsidR="00965099">
        <w:rPr>
          <w:rStyle w:val="Guide4-i"/>
        </w:rPr>
        <w:t>P</w:t>
      </w:r>
      <w:r w:rsidRPr="004E28BB">
        <w:rPr>
          <w:rStyle w:val="Guide4-i"/>
        </w:rPr>
        <w:t>erfusion</w:t>
      </w:r>
      <w:r w:rsidRPr="004E28BB">
        <w:t xml:space="preserve">: </w:t>
      </w:r>
      <w:r w:rsidR="00965099">
        <w:t>D</w:t>
      </w:r>
      <w:r w:rsidRPr="004E28BB">
        <w:t>uring this procedure, steroids are injected into the middle ear space, allowing absorption into the inner ear via the round window membrane. It can provide a temporary reduction in the frequency of vertigo spells in progressive vestibulopathy and may improve hearing after sudden losses.</w:t>
      </w:r>
      <w:bookmarkEnd w:id="519"/>
    </w:p>
    <w:p w:rsidR="00DC10F4" w:rsidRPr="004E28BB" w:rsidRDefault="00DC10F4" w:rsidP="00D41D04">
      <w:pPr>
        <w:pStyle w:val="ListNumber4"/>
      </w:pPr>
      <w:r w:rsidRPr="004E28BB">
        <w:rPr>
          <w:rStyle w:val="Guide4-i"/>
        </w:rPr>
        <w:t xml:space="preserve">Gentamicin </w:t>
      </w:r>
      <w:r w:rsidR="00965099">
        <w:rPr>
          <w:rStyle w:val="Guide4-i"/>
        </w:rPr>
        <w:t>P</w:t>
      </w:r>
      <w:r w:rsidRPr="004E28BB">
        <w:rPr>
          <w:rStyle w:val="Guide4-i"/>
        </w:rPr>
        <w:t>erfusion</w:t>
      </w:r>
      <w:r w:rsidRPr="004E28BB">
        <w:t xml:space="preserve">: </w:t>
      </w:r>
      <w:r w:rsidR="00965099">
        <w:t>T</w:t>
      </w:r>
      <w:r w:rsidRPr="004E28BB">
        <w:t>his is an in office procedure where gentamicin is injected into the middle ear space. From there it is absorbed into the inner ear via the round window membrane. This procedure may have to be repeated several times to control dizzy spells. The gentamicin is toxic to the cells of the inner ear and therefore destroys the inner ear balance function. There is also a significant risk to the hearing function. This procedure has a 95% success rate, but because of its destructive nature, cannot be used in bilateral disease. Use should be reserved for cases in which a unilateral progressive hearing loss and/or loss of vestibular function has been documented.</w:t>
      </w:r>
    </w:p>
    <w:p w:rsidR="00DC10F4" w:rsidRPr="004E28BB" w:rsidRDefault="00DC10F4" w:rsidP="00D41D04">
      <w:pPr>
        <w:pStyle w:val="ListNumber4"/>
      </w:pPr>
      <w:r w:rsidRPr="004E28BB">
        <w:rPr>
          <w:rStyle w:val="Guide4-i"/>
        </w:rPr>
        <w:t xml:space="preserve">The Meniett </w:t>
      </w:r>
      <w:r w:rsidR="00965099">
        <w:rPr>
          <w:rStyle w:val="Guide4-i"/>
        </w:rPr>
        <w:t>D</w:t>
      </w:r>
      <w:r w:rsidRPr="004E28BB">
        <w:rPr>
          <w:rStyle w:val="Guide4-i"/>
        </w:rPr>
        <w:t>evice</w:t>
      </w:r>
      <w:r w:rsidRPr="004E28BB">
        <w:t xml:space="preserve">: This is a portable, alternating pressure generator which transmits low-pressure pulses to the middle ear. There is </w:t>
      </w:r>
      <w:r w:rsidR="00E000CA">
        <w:t>good</w:t>
      </w:r>
      <w:r w:rsidR="00E000CA" w:rsidRPr="004E28BB">
        <w:t xml:space="preserve"> </w:t>
      </w:r>
      <w:r w:rsidRPr="004E28BB">
        <w:t>evidence of short-term symptomatic and functional daily use benefit in individuals with established Ménière’s disease, reduced vestibular function</w:t>
      </w:r>
      <w:r w:rsidR="00965099">
        <w:t>,</w:t>
      </w:r>
      <w:r w:rsidRPr="004E28BB">
        <w:t xml:space="preserve"> and severe vertigo</w:t>
      </w:r>
      <w:r w:rsidR="003523DB">
        <w:t>, which persist</w:t>
      </w:r>
      <w:r w:rsidRPr="004E28BB">
        <w:t xml:space="preserve"> d</w:t>
      </w:r>
      <w:r w:rsidR="00873B39" w:rsidRPr="004E28BB">
        <w:t>espite adequate medical therapy</w:t>
      </w:r>
      <w:r w:rsidRPr="004E28BB">
        <w:rPr>
          <w:rStyle w:val="GuideCitesCharChar"/>
        </w:rPr>
        <w:t xml:space="preserve"> (</w:t>
      </w:r>
      <w:hyperlink w:anchor="Gates2004" w:history="1">
        <w:r w:rsidRPr="00010647">
          <w:rPr>
            <w:rStyle w:val="Hyperlink"/>
            <w:rFonts w:cs="Arial"/>
            <w:highlight w:val="yellow"/>
          </w:rPr>
          <w:t>Gates, 2004</w:t>
        </w:r>
      </w:hyperlink>
      <w:r w:rsidRPr="0092347D">
        <w:rPr>
          <w:rStyle w:val="GuideCitesCharChar"/>
          <w:highlight w:val="yellow"/>
        </w:rPr>
        <w:t xml:space="preserve">; </w:t>
      </w:r>
      <w:hyperlink w:anchor="Gurkov2012" w:history="1">
        <w:r w:rsidRPr="00010647">
          <w:rPr>
            <w:rStyle w:val="Hyperlink"/>
            <w:rFonts w:cs="Arial"/>
            <w:highlight w:val="yellow"/>
          </w:rPr>
          <w:t>Gurkov, 2012</w:t>
        </w:r>
      </w:hyperlink>
      <w:r w:rsidRPr="004E28BB">
        <w:rPr>
          <w:rStyle w:val="GuideCitesCharChar"/>
        </w:rPr>
        <w:t>)</w:t>
      </w:r>
      <w:r w:rsidRPr="004E28BB">
        <w:t xml:space="preserve">. The mechanism of benefit is not yet understood. Individuals must be able to tolerate tympanostomy tubes </w:t>
      </w:r>
      <w:r w:rsidR="00965099">
        <w:t xml:space="preserve">and </w:t>
      </w:r>
      <w:r w:rsidRPr="004E28BB">
        <w:t>practice water precautions and aural hygiene to maintain tube patency. Effectiveness beyond four months of treatment has not been established. **Use of the Meniett device requires a surgical procedure (</w:t>
      </w:r>
      <w:r w:rsidR="00756447">
        <w:t>r</w:t>
      </w:r>
      <w:r w:rsidRPr="004E28BB">
        <w:t xml:space="preserve">efer to </w:t>
      </w:r>
      <w:r w:rsidR="00811C8B">
        <w:t>Section</w:t>
      </w:r>
      <w:r w:rsidRPr="004E28BB">
        <w:t xml:space="preserve"> </w:t>
      </w:r>
      <w:hyperlink w:anchor="TBIL7bTympanostomy" w:history="1">
        <w:r w:rsidR="00771B27" w:rsidRPr="004E28BB">
          <w:rPr>
            <w:rStyle w:val="Hyperlink"/>
            <w:rFonts w:cs="Arial"/>
          </w:rPr>
          <w:t>L</w:t>
        </w:r>
        <w:r w:rsidRPr="004E28BB">
          <w:rPr>
            <w:rStyle w:val="Hyperlink"/>
            <w:rFonts w:cs="Arial"/>
          </w:rPr>
          <w:t>.</w:t>
        </w:r>
        <w:r w:rsidR="00771B27" w:rsidRPr="004E28BB">
          <w:rPr>
            <w:rStyle w:val="Hyperlink"/>
            <w:rFonts w:cs="Arial"/>
          </w:rPr>
          <w:t>7</w:t>
        </w:r>
        <w:r w:rsidRPr="004E28BB">
          <w:rPr>
            <w:rStyle w:val="Hyperlink"/>
            <w:rFonts w:cs="Arial"/>
          </w:rPr>
          <w:t>.</w:t>
        </w:r>
        <w:r w:rsidR="00771B27" w:rsidRPr="004E28BB">
          <w:rPr>
            <w:rStyle w:val="Hyperlink"/>
            <w:rFonts w:cs="Arial"/>
          </w:rPr>
          <w:t>b</w:t>
        </w:r>
        <w:r w:rsidRPr="004E28BB">
          <w:rPr>
            <w:rStyle w:val="Hyperlink"/>
            <w:rFonts w:cs="Arial"/>
          </w:rPr>
          <w:t xml:space="preserve"> Tympanostomy</w:t>
        </w:r>
      </w:hyperlink>
      <w:r w:rsidRPr="004E28BB">
        <w:t>)</w:t>
      </w:r>
      <w:r w:rsidR="006D4820">
        <w:t>.</w:t>
      </w:r>
      <w:r w:rsidRPr="004E28BB">
        <w:t>**</w:t>
      </w:r>
    </w:p>
    <w:p w:rsidR="00DC10F4" w:rsidRPr="004E28BB" w:rsidRDefault="00DC10F4" w:rsidP="00D41D04">
      <w:pPr>
        <w:pStyle w:val="ListNumber3"/>
      </w:pPr>
      <w:bookmarkStart w:id="524" w:name="_Toc315099994"/>
      <w:bookmarkStart w:id="525" w:name="_Toc315160955"/>
      <w:bookmarkStart w:id="526" w:name="TBIH7bTympanostomy"/>
      <w:bookmarkStart w:id="527" w:name="_Toc315960323"/>
      <w:bookmarkStart w:id="528" w:name="_Toc319922654"/>
      <w:bookmarkStart w:id="529" w:name="_Toc394643399"/>
      <w:r w:rsidRPr="004E28BB">
        <w:rPr>
          <w:rStyle w:val="Guide3-abcdChar"/>
        </w:rPr>
        <w:t>Tympanostomy</w:t>
      </w:r>
      <w:bookmarkEnd w:id="524"/>
      <w:bookmarkEnd w:id="525"/>
      <w:bookmarkEnd w:id="526"/>
      <w:bookmarkEnd w:id="527"/>
      <w:bookmarkEnd w:id="528"/>
      <w:bookmarkEnd w:id="529"/>
      <w:r w:rsidRPr="004E28BB">
        <w:t xml:space="preserve">: </w:t>
      </w:r>
      <w:r w:rsidR="00965099">
        <w:t>T</w:t>
      </w:r>
      <w:r w:rsidRPr="004E28BB">
        <w:t xml:space="preserve">ube placement may be needed for use of a Meniett device. </w:t>
      </w:r>
    </w:p>
    <w:p w:rsidR="00771B27" w:rsidRPr="004E28BB" w:rsidRDefault="00DC10F4" w:rsidP="00771B27">
      <w:pPr>
        <w:pStyle w:val="ListNumber3"/>
      </w:pPr>
      <w:bookmarkStart w:id="530" w:name="TBIJ2fVestibularRehab"/>
      <w:bookmarkStart w:id="531" w:name="_Toc394643400"/>
      <w:bookmarkEnd w:id="530"/>
      <w:r w:rsidRPr="004E28BB">
        <w:rPr>
          <w:rStyle w:val="Guide3-abcdChar"/>
        </w:rPr>
        <w:t>Vestibular Rehabilitation</w:t>
      </w:r>
      <w:bookmarkEnd w:id="531"/>
      <w:r w:rsidR="006D4820" w:rsidRPr="004E28BB">
        <w:t>:</w:t>
      </w:r>
      <w:r w:rsidRPr="004E28BB">
        <w:t xml:space="preserve"> </w:t>
      </w:r>
      <w:r w:rsidR="00965099">
        <w:t>P</w:t>
      </w:r>
      <w:r w:rsidRPr="004E28BB">
        <w:t xml:space="preserve">erformed by qualified practitioners, </w:t>
      </w:r>
      <w:r w:rsidR="00771B27" w:rsidRPr="004E28BB">
        <w:t>e.g.</w:t>
      </w:r>
      <w:r w:rsidRPr="004E28BB">
        <w:t>, audiologists, otologist</w:t>
      </w:r>
      <w:r w:rsidR="001B5B53">
        <w:t>s</w:t>
      </w:r>
      <w:r w:rsidRPr="004E28BB">
        <w:t>, trained nurse</w:t>
      </w:r>
      <w:r w:rsidR="001B5B53">
        <w:t>s</w:t>
      </w:r>
      <w:r w:rsidRPr="004E28BB">
        <w:t>, physical therapist</w:t>
      </w:r>
      <w:r w:rsidR="001B5B53">
        <w:t>s</w:t>
      </w:r>
      <w:r w:rsidR="00B14389" w:rsidRPr="004E28BB">
        <w:t xml:space="preserve"> (preferably neurology certified)</w:t>
      </w:r>
      <w:r w:rsidRPr="004E28BB">
        <w:t xml:space="preserve"> or occupational therapist</w:t>
      </w:r>
      <w:r w:rsidR="001B5B53">
        <w:t>s</w:t>
      </w:r>
      <w:r w:rsidR="00771B27" w:rsidRPr="004E28BB">
        <w:t>.</w:t>
      </w:r>
      <w:r w:rsidRPr="004E28BB">
        <w:t xml:space="preserve"> Symptoms of vestibular system dysfunction following TBI may be due to damage of central or peripheral structures and may include vertigo, eye-head dyscoordination affecting the ability to stabilize gaze during head movements, and imbalance affecting stability in standing or walking. Dizziness is commonly associated with TBI. Dizziness and balance disorders may or may not co-exist in the same individual with TBI.</w:t>
      </w:r>
    </w:p>
    <w:p w:rsidR="00DC10F4" w:rsidRPr="004E28BB" w:rsidRDefault="00DC10F4" w:rsidP="00771B27">
      <w:pPr>
        <w:pStyle w:val="ListNumber4"/>
      </w:pPr>
      <w:r w:rsidRPr="004E28BB">
        <w:rPr>
          <w:rStyle w:val="Guide4-i"/>
        </w:rPr>
        <w:t xml:space="preserve">Balance </w:t>
      </w:r>
      <w:r w:rsidR="001B5B53">
        <w:rPr>
          <w:rStyle w:val="Guide4-i"/>
        </w:rPr>
        <w:t>D</w:t>
      </w:r>
      <w:r w:rsidRPr="004E28BB">
        <w:rPr>
          <w:rStyle w:val="Guide4-i"/>
        </w:rPr>
        <w:t>isorders</w:t>
      </w:r>
      <w:r w:rsidRPr="004E28BB">
        <w:t xml:space="preserve">: Balance disorders occur frequently following TBI. One study of </w:t>
      </w:r>
      <w:r w:rsidR="00FA0A79" w:rsidRPr="004E28BB">
        <w:t>MTBI</w:t>
      </w:r>
      <w:r w:rsidRPr="004E28BB">
        <w:t xml:space="preserve"> patients </w:t>
      </w:r>
      <w:r w:rsidR="00316AC2">
        <w:t xml:space="preserve">four </w:t>
      </w:r>
      <w:r w:rsidRPr="004E28BB">
        <w:t xml:space="preserve">years after the incident found 30% continuing complaints of balance problems. Balance is a complex motor control task, requiring integration of sensory information, neural </w:t>
      </w:r>
      <w:r w:rsidRPr="004E28BB">
        <w:lastRenderedPageBreak/>
        <w:t>processing</w:t>
      </w:r>
      <w:r w:rsidR="001B5B53">
        <w:t>,</w:t>
      </w:r>
      <w:r w:rsidRPr="004E28BB">
        <w:t xml:space="preserve"> and biomechanical factors. It is the ability to control the center of gravity (</w:t>
      </w:r>
      <w:smartTag w:uri="urn:schemas-microsoft-com:office:smarttags" w:element="stockticker">
        <w:r w:rsidRPr="004E28BB">
          <w:t>COG</w:t>
        </w:r>
      </w:smartTag>
      <w:r w:rsidRPr="004E28BB">
        <w:t>) over the base of support in a given sensory environment. This may be due to a peripheral vestibular lesion or central vestibular lesion secondary to trauma, fracture, hemorrhage o</w:t>
      </w:r>
      <w:r w:rsidR="00873B39" w:rsidRPr="004E28BB">
        <w:t>r intracranial pressure changes</w:t>
      </w:r>
      <w:r w:rsidRPr="004E28BB">
        <w:rPr>
          <w:rStyle w:val="GuideCitesCharChar"/>
        </w:rPr>
        <w:t xml:space="preserve"> (</w:t>
      </w:r>
      <w:hyperlink w:anchor="Kleffelgaard2012" w:history="1">
        <w:r w:rsidRPr="00010647">
          <w:rPr>
            <w:rStyle w:val="Hyperlink"/>
            <w:rFonts w:cs="Arial"/>
            <w:highlight w:val="yellow"/>
          </w:rPr>
          <w:t>Kleffelgaard, 2012</w:t>
        </w:r>
      </w:hyperlink>
      <w:r w:rsidRPr="004E28BB">
        <w:rPr>
          <w:rStyle w:val="GuideCitesCharChar"/>
        </w:rPr>
        <w:t>)</w:t>
      </w:r>
      <w:r w:rsidR="00873B39" w:rsidRPr="004E28BB">
        <w:t>.</w:t>
      </w:r>
      <w:r w:rsidRPr="004E28BB">
        <w:br/>
      </w:r>
      <w:r w:rsidRPr="004E28BB">
        <w:br/>
        <w:t>Assessment includes evaluation of the motor system, ROM, and sensory systems that affect the person’s ability to maintain equilibrium. Movement strategies to maintain balance require functional ROM and adequate strength. Sensory information from the vestibular, visual and somatosensory systems are key areas associated with maintenance of balance or posture and are integrated at the central level between the two sides of the body and three sensory systems. Central motor planning is essential for proper strategies that are then transmitted to the peripheral motor system for execution. Deficits at the central level, peripheral motor</w:t>
      </w:r>
      <w:r w:rsidR="003523DB">
        <w:t xml:space="preserve"> level,</w:t>
      </w:r>
      <w:r w:rsidRPr="004E28BB">
        <w:t xml:space="preserve"> or </w:t>
      </w:r>
      <w:r w:rsidR="003523DB">
        <w:t xml:space="preserve">peripheral </w:t>
      </w:r>
      <w:r w:rsidRPr="004E28BB">
        <w:t>sensory level will affect balance and equilibrium.</w:t>
      </w:r>
      <w:r w:rsidRPr="004E28BB">
        <w:br/>
      </w:r>
      <w:r w:rsidRPr="004E28BB">
        <w:br/>
        <w:t>The dynamic systems model recognizes that balance and dynamic equilibrium is the result of the interaction between the individual, the functional task, and the environment. Emphasis of treatments performed by a qualified physical or occupational therapist in vestibular and balance dysfunction are head exercises for habituation of vertigo, eye-head coordination exercises for improvement of gaze stabilization, and sensorimotor retraining to remediate postural dyscontrol in all functional movement positions. There is good evidence that vestibular rehabilitation incorporating visual motion performed by the patient alone with brief instruction from a health care provider reduces dizziness and improves func</w:t>
      </w:r>
      <w:r w:rsidR="00873B39" w:rsidRPr="004E28BB">
        <w:t>tion</w:t>
      </w:r>
      <w:r w:rsidRPr="004E28BB">
        <w:rPr>
          <w:rStyle w:val="GuideCitesCharChar"/>
        </w:rPr>
        <w:t xml:space="preserve"> (</w:t>
      </w:r>
      <w:r w:rsidRPr="0092347D">
        <w:rPr>
          <w:rStyle w:val="GuideCitesCharChar"/>
          <w:highlight w:val="yellow"/>
        </w:rPr>
        <w:t>[</w:t>
      </w:r>
      <w:hyperlink w:anchor="Hillier2011" w:history="1">
        <w:r w:rsidRPr="00010647">
          <w:rPr>
            <w:rStyle w:val="Hyperlink"/>
            <w:rFonts w:cs="Arial"/>
            <w:highlight w:val="yellow"/>
          </w:rPr>
          <w:t>Cochrane] Hillier, 2011</w:t>
        </w:r>
      </w:hyperlink>
      <w:r w:rsidRPr="004E28BB">
        <w:rPr>
          <w:rStyle w:val="GuideCitesCharChar"/>
        </w:rPr>
        <w:t>)</w:t>
      </w:r>
      <w:r w:rsidR="00873B39" w:rsidRPr="004E28BB">
        <w:t>.</w:t>
      </w:r>
    </w:p>
    <w:p w:rsidR="00771B27" w:rsidRPr="004E28BB" w:rsidRDefault="00DC10F4" w:rsidP="00D41D04">
      <w:pPr>
        <w:ind w:left="3600" w:hanging="360"/>
      </w:pPr>
      <w:r w:rsidRPr="004E28BB">
        <w:sym w:font="Wingdings" w:char="F076"/>
      </w:r>
      <w:r w:rsidRPr="004E28BB">
        <w:tab/>
        <w:t xml:space="preserve">Time to </w:t>
      </w:r>
      <w:r w:rsidR="001B5B53">
        <w:t>P</w:t>
      </w:r>
      <w:r w:rsidRPr="004E28BB">
        <w:t xml:space="preserve">roduce </w:t>
      </w:r>
      <w:r w:rsidR="001B5B53">
        <w:t>E</w:t>
      </w:r>
      <w:r w:rsidRPr="004E28BB">
        <w:t>ffect: 6 to 12 weeks</w:t>
      </w:r>
      <w:r w:rsidR="001B5B53">
        <w:t>.</w:t>
      </w:r>
    </w:p>
    <w:p w:rsidR="00DC10F4" w:rsidRPr="004E28BB" w:rsidRDefault="00DC10F4" w:rsidP="00D41D04">
      <w:pPr>
        <w:ind w:left="3600" w:hanging="360"/>
      </w:pPr>
      <w:r w:rsidRPr="004E28BB">
        <w:sym w:font="Wingdings" w:char="F076"/>
      </w:r>
      <w:r w:rsidRPr="004E28BB">
        <w:tab/>
        <w:t xml:space="preserve">Frequency: </w:t>
      </w:r>
      <w:r w:rsidR="006D4820">
        <w:t>I</w:t>
      </w:r>
      <w:r w:rsidRPr="004E28BB">
        <w:t>nitially for training with 2</w:t>
      </w:r>
      <w:r w:rsidR="001B5B53">
        <w:t>–</w:t>
      </w:r>
      <w:r w:rsidRPr="004E28BB">
        <w:t xml:space="preserve">4 follow-up visits to reinforce treatment; individuals are expected to perform self-directed exercises twice daily at home, but </w:t>
      </w:r>
      <w:r w:rsidR="001B5B53">
        <w:t xml:space="preserve">they </w:t>
      </w:r>
      <w:r w:rsidRPr="004E28BB">
        <w:t>may require supervision for guidance and safety</w:t>
      </w:r>
      <w:r w:rsidR="001B5B53">
        <w:t>.</w:t>
      </w:r>
    </w:p>
    <w:p w:rsidR="00DC10F4" w:rsidRPr="004E28BB" w:rsidRDefault="00DC10F4" w:rsidP="00D41D04">
      <w:pPr>
        <w:ind w:left="3600" w:hanging="360"/>
      </w:pPr>
      <w:r w:rsidRPr="004E28BB">
        <w:sym w:font="Wingdings" w:char="F076"/>
      </w:r>
      <w:r w:rsidRPr="004E28BB">
        <w:tab/>
        <w:t xml:space="preserve">Optimum </w:t>
      </w:r>
      <w:r w:rsidR="001B5B53">
        <w:t>D</w:t>
      </w:r>
      <w:r w:rsidRPr="004E28BB">
        <w:t>uration: 2 to 6 months with re-evaluation</w:t>
      </w:r>
      <w:r w:rsidR="001B5B53">
        <w:t>.</w:t>
      </w:r>
    </w:p>
    <w:p w:rsidR="00DC10F4" w:rsidRPr="004E28BB" w:rsidRDefault="00DC10F4" w:rsidP="00D41D04">
      <w:pPr>
        <w:ind w:left="3600" w:hanging="360"/>
      </w:pPr>
      <w:r w:rsidRPr="004E28BB">
        <w:sym w:font="Wingdings" w:char="F076"/>
      </w:r>
      <w:r w:rsidRPr="004E28BB">
        <w:tab/>
        <w:t xml:space="preserve">Maximum </w:t>
      </w:r>
      <w:r w:rsidR="001B5B53">
        <w:t>D</w:t>
      </w:r>
      <w:r w:rsidRPr="004E28BB">
        <w:t xml:space="preserve">uration: </w:t>
      </w:r>
      <w:r w:rsidR="001B5B53">
        <w:t>T</w:t>
      </w:r>
      <w:r w:rsidRPr="004E28BB">
        <w:t>herapy will be more intense and requires more frequent therapy for patients with moderate to severe dysfunction. If reports document treatment progress, but the individual is not at maximum therapeutic gain, then additional therapy may be indicated.</w:t>
      </w:r>
    </w:p>
    <w:p w:rsidR="00DC10F4" w:rsidRPr="004E28BB" w:rsidRDefault="00DC10F4" w:rsidP="00D41D04">
      <w:pPr>
        <w:pStyle w:val="ListNumber4"/>
      </w:pPr>
      <w:r w:rsidRPr="004E28BB">
        <w:rPr>
          <w:rStyle w:val="Guide4-i"/>
        </w:rPr>
        <w:t>Postural Control</w:t>
      </w:r>
      <w:r w:rsidRPr="004E28BB">
        <w:t xml:space="preserve">: </w:t>
      </w:r>
      <w:r w:rsidR="001B5B53">
        <w:t>T</w:t>
      </w:r>
      <w:r w:rsidRPr="004E28BB">
        <w:t>reatment involves remediation of stability within the constraints following TBI in the musculoskeletal, neuromuscular, sensory/perceptual</w:t>
      </w:r>
      <w:r w:rsidR="001B5B53">
        <w:t>,</w:t>
      </w:r>
      <w:r w:rsidRPr="004E28BB">
        <w:t xml:space="preserve"> and cognitive areas. Biochemical limitations may limit the individual’s ability to move in ways necessary for compensation. Treatment in this area may include physical modalities to increase ROM, joint mobility</w:t>
      </w:r>
      <w:r w:rsidR="001B5B53">
        <w:t>,</w:t>
      </w:r>
      <w:r w:rsidRPr="004E28BB">
        <w:t xml:space="preserve"> and flexibility. Treatment for muscular incoordination may include therapeutic exercise, electrical stimulation, biofeedback, re-education</w:t>
      </w:r>
      <w:r w:rsidR="001B5B53">
        <w:t>,</w:t>
      </w:r>
      <w:r w:rsidRPr="004E28BB">
        <w:t xml:space="preserve"> and other therapies. A vestibular rehabilitation program needs to be individualized considering cognitive impairments and involves:</w:t>
      </w:r>
    </w:p>
    <w:p w:rsidR="00DC10F4" w:rsidRPr="004E28BB" w:rsidRDefault="00DC10F4" w:rsidP="00D41D04">
      <w:pPr>
        <w:pStyle w:val="ListNumber5"/>
      </w:pPr>
      <w:r w:rsidRPr="004E28BB">
        <w:lastRenderedPageBreak/>
        <w:t>Increased need for physical assistance because of movement problems</w:t>
      </w:r>
      <w:r w:rsidR="006D4820">
        <w:t>.</w:t>
      </w:r>
    </w:p>
    <w:p w:rsidR="00DC10F4" w:rsidRPr="004E28BB" w:rsidRDefault="00DC10F4" w:rsidP="00D41D04">
      <w:pPr>
        <w:pStyle w:val="ListNumber5"/>
      </w:pPr>
      <w:r w:rsidRPr="004E28BB">
        <w:t>Increased need for supervision because of cognitive and behavioral problems</w:t>
      </w:r>
      <w:r w:rsidR="006D4820">
        <w:t>.</w:t>
      </w:r>
    </w:p>
    <w:p w:rsidR="00DC10F4" w:rsidRPr="004E28BB" w:rsidRDefault="00DC10F4" w:rsidP="00D41D04">
      <w:pPr>
        <w:pStyle w:val="ListNumber5"/>
      </w:pPr>
      <w:r w:rsidRPr="004E28BB">
        <w:t>Slower progression of program</w:t>
      </w:r>
      <w:r w:rsidR="006D4820">
        <w:t>.</w:t>
      </w:r>
      <w:r w:rsidR="00B6289B">
        <w:t>.</w:t>
      </w:r>
    </w:p>
    <w:p w:rsidR="00DC10F4" w:rsidRPr="004E28BB" w:rsidRDefault="00DC10F4" w:rsidP="00D41D04">
      <w:pPr>
        <w:pStyle w:val="ListNumber4"/>
      </w:pPr>
      <w:r w:rsidRPr="004E28BB">
        <w:rPr>
          <w:rStyle w:val="Guide4-i"/>
        </w:rPr>
        <w:t>Dizziness</w:t>
      </w:r>
      <w:r w:rsidRPr="004E28BB">
        <w:t xml:space="preserve">: </w:t>
      </w:r>
      <w:r w:rsidR="001B5B53">
        <w:t>A</w:t>
      </w:r>
      <w:r w:rsidRPr="004E28BB">
        <w:t>n abnormal sensation of motion ranging from poorly characterized light-headedness, disequilibrium, rocking and elevator sensations to vertigo</w:t>
      </w:r>
      <w:r w:rsidR="001B5B53">
        <w:t>.</w:t>
      </w:r>
      <w:r w:rsidRPr="004E28BB">
        <w:t xml:space="preserve"> </w:t>
      </w:r>
      <w:r w:rsidR="001B5B53">
        <w:t xml:space="preserve">It </w:t>
      </w:r>
      <w:r w:rsidRPr="004E28BB">
        <w:t xml:space="preserve">may be due to vestibular hypofunction, reduced head mobility, and poor gaze stabilization. Physical therapy exercise treatment approaches are based on principles of adaptation, substitution, and habituation, and </w:t>
      </w:r>
      <w:r w:rsidR="001B5B53">
        <w:t xml:space="preserve">they </w:t>
      </w:r>
      <w:r w:rsidRPr="004E28BB">
        <w:t xml:space="preserve">require the development of specific individual exercises aimed at the person’s specific area of deficit. Because exercise usually increases dizziness temporarily, the progression, speed and intensity of the exercise program </w:t>
      </w:r>
      <w:r w:rsidR="002523D1" w:rsidRPr="004E28BB">
        <w:t>should</w:t>
      </w:r>
      <w:r w:rsidRPr="004E28BB">
        <w:t xml:space="preserve"> be tailored to the individual in order to avoid increasing the symptoms and hinder</w:t>
      </w:r>
      <w:r w:rsidR="001B5B53">
        <w:t>ing</w:t>
      </w:r>
      <w:r w:rsidRPr="004E28BB">
        <w:t xml:space="preserve"> compliance. Programs are developed based on integrating sensory input from the somatosensory, visual</w:t>
      </w:r>
      <w:r w:rsidR="001B5B53">
        <w:t>,</w:t>
      </w:r>
      <w:r w:rsidRPr="004E28BB">
        <w:t xml:space="preserve"> and vestibular systems based on the individual’s function.</w:t>
      </w:r>
      <w:r w:rsidRPr="004E28BB">
        <w:br/>
      </w:r>
      <w:r w:rsidRPr="004E28BB">
        <w:br/>
        <w:t>If it is found that the dizziness problem is from a visual disturbance, referral to an ophthalmologist, neuro-ophthalmologist</w:t>
      </w:r>
      <w:r w:rsidR="001B5B53">
        <w:t>,</w:t>
      </w:r>
      <w:r w:rsidRPr="004E28BB">
        <w:t xml:space="preserve"> or optometrist (knowledgeable in TBI) may be necessary, although treatment can be performed by most therapists or trained nurses. The dynamic systems model recognizes that balance and dynamic equilibrium is the result of the interaction between the individual, the functional task, and the environment. Emphasis of treatments performed by a qualified physical or occupational therapist in vestibular and balance dysfunction are head exercises for habituation of vertigo, eye-head coordination exercises for improvement of gaze stabilization, and sensorimotor retraining to remediate postural dyscontrol in all functional movement positions. There is good evidence that vestibular rehabilitation incorporating visual motion performed by the patient alone with brief instruction from a health care provider reduces </w:t>
      </w:r>
      <w:r w:rsidR="00873B39" w:rsidRPr="004E28BB">
        <w:t>dizziness and improves function</w:t>
      </w:r>
      <w:r w:rsidRPr="004E28BB">
        <w:rPr>
          <w:rStyle w:val="GuideCitesCharChar"/>
        </w:rPr>
        <w:t xml:space="preserve"> </w:t>
      </w:r>
      <w:hyperlink w:anchor="Hillier2011" w:history="1">
        <w:r w:rsidRPr="00010647">
          <w:rPr>
            <w:rStyle w:val="Hyperlink"/>
            <w:rFonts w:cs="Arial"/>
            <w:highlight w:val="yellow"/>
          </w:rPr>
          <w:t>([Cochrane] Hillier, 2011</w:t>
        </w:r>
      </w:hyperlink>
      <w:r w:rsidRPr="004E28BB">
        <w:rPr>
          <w:rStyle w:val="GuideCitesCharChar"/>
        </w:rPr>
        <w:t>)</w:t>
      </w:r>
      <w:r w:rsidR="00873B39" w:rsidRPr="004E28BB">
        <w:t>.</w:t>
      </w:r>
      <w:r w:rsidRPr="004E28BB">
        <w:br/>
      </w:r>
      <w:r w:rsidRPr="004E28BB">
        <w:br/>
        <w:t xml:space="preserve">Special equipment for vestibular treatment may include dynamic platform posturography or a foam/dome apparatus for sensory integration and balance, as well as tilt or rocker boards in the clinic. Other virtual reality devices are not suggested for use with this treatment </w:t>
      </w:r>
      <w:r w:rsidR="001B5B53">
        <w:t xml:space="preserve">because </w:t>
      </w:r>
      <w:r w:rsidRPr="004E28BB">
        <w:t xml:space="preserve">therapist intervention and supervisions </w:t>
      </w:r>
      <w:r w:rsidR="001B5B53">
        <w:t>are</w:t>
      </w:r>
      <w:r w:rsidRPr="004E28BB">
        <w:t xml:space="preserve"> important for success. No special equipment is needed at home unless identified by the treating professional and documented as medically necessary.</w:t>
      </w:r>
      <w:r w:rsidRPr="004E28BB">
        <w:br/>
      </w:r>
      <w:r w:rsidRPr="004E28BB">
        <w:br/>
        <w:t>Individuals with central traumatic vestibular lesions take longer to improve than those with dizziness from other causes. Studies indicate that at six months, only one-third of individuals with unilateral loss from trauma were symptom-free, as compared with other causes. At 18 months, many individuals continued to show symptoms. Of those with central vestibular loss, 60</w:t>
      </w:r>
      <w:r w:rsidR="001B5B53">
        <w:t>–</w:t>
      </w:r>
      <w:r w:rsidRPr="004E28BB">
        <w:t>70% had persisting symptoms at five years, and hal</w:t>
      </w:r>
      <w:r w:rsidR="00873B39" w:rsidRPr="004E28BB">
        <w:t xml:space="preserve">f were unable to </w:t>
      </w:r>
      <w:r w:rsidR="00387A03">
        <w:t>return to work</w:t>
      </w:r>
      <w:r w:rsidRPr="004E28BB">
        <w:rPr>
          <w:rStyle w:val="GuideCitesCharChar"/>
        </w:rPr>
        <w:t xml:space="preserve"> (</w:t>
      </w:r>
      <w:hyperlink w:anchor="Marzo2004" w:history="1">
        <w:r w:rsidRPr="00010647">
          <w:rPr>
            <w:rStyle w:val="Hyperlink"/>
            <w:rFonts w:cs="Arial"/>
            <w:highlight w:val="yellow"/>
          </w:rPr>
          <w:t>Marzo, 2004</w:t>
        </w:r>
      </w:hyperlink>
      <w:r w:rsidRPr="004E28BB">
        <w:rPr>
          <w:rStyle w:val="GuideCitesCharChar"/>
        </w:rPr>
        <w:t>)</w:t>
      </w:r>
      <w:r w:rsidR="00873B39" w:rsidRPr="004E28BB">
        <w:t>.</w:t>
      </w:r>
    </w:p>
    <w:p w:rsidR="00DC10F4" w:rsidRPr="004E28BB" w:rsidRDefault="00DC10F4" w:rsidP="00D41D04">
      <w:pPr>
        <w:ind w:left="3600" w:hanging="360"/>
      </w:pPr>
      <w:r w:rsidRPr="004E28BB">
        <w:sym w:font="Wingdings" w:char="F076"/>
      </w:r>
      <w:r w:rsidRPr="004E28BB">
        <w:tab/>
        <w:t xml:space="preserve">Frequency: </w:t>
      </w:r>
      <w:r w:rsidR="001B5B53">
        <w:t>One</w:t>
      </w:r>
      <w:r w:rsidRPr="004E28BB">
        <w:t xml:space="preserve"> session per week initially</w:t>
      </w:r>
      <w:r w:rsidR="001B5B53">
        <w:t>,</w:t>
      </w:r>
      <w:r w:rsidRPr="004E28BB">
        <w:t xml:space="preserve"> decreasing to once every 3 weeks; individuals are expected to perform self-directed </w:t>
      </w:r>
      <w:r w:rsidRPr="004E28BB">
        <w:lastRenderedPageBreak/>
        <w:t xml:space="preserve">exercises twice daily at home, but </w:t>
      </w:r>
      <w:r w:rsidR="001B5B53">
        <w:t xml:space="preserve">they </w:t>
      </w:r>
      <w:r w:rsidRPr="004E28BB">
        <w:t>may require supervision for guidance and safety</w:t>
      </w:r>
      <w:r w:rsidR="001B5B53">
        <w:t>.</w:t>
      </w:r>
    </w:p>
    <w:p w:rsidR="00DC10F4" w:rsidRPr="004E28BB" w:rsidRDefault="00DC10F4" w:rsidP="00D41D04">
      <w:pPr>
        <w:ind w:left="3600" w:hanging="360"/>
      </w:pPr>
      <w:r w:rsidRPr="004E28BB">
        <w:sym w:font="Wingdings" w:char="F076"/>
      </w:r>
      <w:r w:rsidRPr="004E28BB">
        <w:tab/>
        <w:t xml:space="preserve">Optimum </w:t>
      </w:r>
      <w:r w:rsidR="001B5B53">
        <w:t>D</w:t>
      </w:r>
      <w:r w:rsidRPr="004E28BB">
        <w:t>uration: 6 months with re-evaluation</w:t>
      </w:r>
      <w:r w:rsidR="001B5B53">
        <w:t>.</w:t>
      </w:r>
    </w:p>
    <w:p w:rsidR="00DC10F4" w:rsidRPr="004E28BB" w:rsidRDefault="00DC10F4" w:rsidP="00D41D04">
      <w:pPr>
        <w:ind w:left="3600" w:hanging="360"/>
      </w:pPr>
      <w:r w:rsidRPr="004E28BB">
        <w:sym w:font="Wingdings" w:char="F076"/>
      </w:r>
      <w:r w:rsidRPr="004E28BB">
        <w:tab/>
        <w:t xml:space="preserve">Maximum </w:t>
      </w:r>
      <w:r w:rsidR="001B5B53">
        <w:t>D</w:t>
      </w:r>
      <w:r w:rsidRPr="004E28BB">
        <w:t xml:space="preserve">uration: </w:t>
      </w:r>
      <w:r w:rsidR="001B5B53">
        <w:t>M</w:t>
      </w:r>
      <w:r w:rsidRPr="004E28BB">
        <w:t>ay require follow-up for up to 2 years</w:t>
      </w:r>
      <w:r w:rsidR="001B5B53">
        <w:t>.</w:t>
      </w:r>
    </w:p>
    <w:p w:rsidR="00DC10F4" w:rsidRPr="004E28BB" w:rsidRDefault="00DC10F4" w:rsidP="00D41D04">
      <w:pPr>
        <w:pStyle w:val="ListNumber4"/>
      </w:pPr>
      <w:bookmarkStart w:id="532" w:name="TBIG18civBenignPositionalVertigo"/>
      <w:bookmarkStart w:id="533" w:name="TBIJ2fivBenignPositionalVertigo"/>
      <w:bookmarkEnd w:id="532"/>
      <w:bookmarkEnd w:id="533"/>
      <w:r w:rsidRPr="004E28BB">
        <w:rPr>
          <w:rStyle w:val="Guide4-i"/>
        </w:rPr>
        <w:t>Benign Positional Vertigo (BPV)</w:t>
      </w:r>
      <w:r w:rsidR="001B5B53" w:rsidRPr="001B5B53">
        <w:rPr>
          <w:rStyle w:val="Guide4-i"/>
          <w:u w:val="none"/>
        </w:rPr>
        <w:t>:</w:t>
      </w:r>
      <w:r w:rsidRPr="004E28BB">
        <w:t xml:space="preserve"> </w:t>
      </w:r>
      <w:r w:rsidR="001B5B53">
        <w:t>T</w:t>
      </w:r>
      <w:r w:rsidRPr="004E28BB">
        <w:t xml:space="preserve">he most common cause of vertigo due to a peripheral vestibular disorder. </w:t>
      </w:r>
      <w:r w:rsidR="003523DB">
        <w:t xml:space="preserve">The most common form is caused by canalithiasis, which is the displacement of microscopic calcium bicarbonate crystals from their normal position in the inner ear. </w:t>
      </w:r>
      <w:r w:rsidRPr="004E28BB">
        <w:t xml:space="preserve">A Dix Hallpike and roll test should be used to determine which canals are involved in this disorder. These tests trigger a nystagmus that is less than 60 seconds in duration and has a paroxysmal quality. A burst of dizziness without nystagmus may also indicate mild BPV. CRM </w:t>
      </w:r>
      <w:r w:rsidR="003A29E1" w:rsidRPr="004E28BB">
        <w:t>s</w:t>
      </w:r>
      <w:r w:rsidRPr="004E28BB">
        <w:t xml:space="preserve">hould be applied to the affected semicircular canals based on these tests. The commonly used effective CRM are the Epley and Semont maneuvers for the posterior canal; Gufoni and barbecue roll for the horizontal canal; and deep head hanging maneuvers for the anterior canal. CRM has a success rate exceeding 90%; failure to respond or the presence of a nystagmus </w:t>
      </w:r>
      <w:r w:rsidR="001B5B53">
        <w:t xml:space="preserve">beyond </w:t>
      </w:r>
      <w:r w:rsidRPr="004E28BB">
        <w:t>60 seconds suggests that the diagnosis of BPV may be incorrect.</w:t>
      </w:r>
      <w:r w:rsidRPr="004E28BB">
        <w:br/>
      </w:r>
      <w:r w:rsidRPr="004E28BB">
        <w:br/>
        <w:t>Some individuals may require an exercise</w:t>
      </w:r>
      <w:r w:rsidR="007843ED">
        <w:t>-</w:t>
      </w:r>
      <w:r w:rsidRPr="004E28BB">
        <w:t>based approach following, or instead of</w:t>
      </w:r>
      <w:r w:rsidR="001B5B53">
        <w:t>,</w:t>
      </w:r>
      <w:r w:rsidRPr="004E28BB">
        <w:t xml:space="preserve"> the CRM. Home exercises are safe and effective in this disorder. </w:t>
      </w:r>
    </w:p>
    <w:p w:rsidR="00DC10F4" w:rsidRPr="004E28BB" w:rsidRDefault="00DC10F4" w:rsidP="00D41D04">
      <w:pPr>
        <w:ind w:left="3600" w:hanging="360"/>
      </w:pPr>
      <w:r w:rsidRPr="004E28BB">
        <w:sym w:font="Wingdings" w:char="F076"/>
      </w:r>
      <w:r w:rsidRPr="004E28BB">
        <w:tab/>
        <w:t xml:space="preserve">Frequency: 1 to 3 sessions with repeated CRM at each session and follow-up at </w:t>
      </w:r>
      <w:r w:rsidR="001B5B53">
        <w:t>1</w:t>
      </w:r>
      <w:r w:rsidRPr="004E28BB">
        <w:t xml:space="preserve"> month</w:t>
      </w:r>
      <w:r w:rsidR="001B5B53">
        <w:t>.</w:t>
      </w:r>
      <w:r w:rsidRPr="004E28BB">
        <w:t xml:space="preserve"> </w:t>
      </w:r>
    </w:p>
    <w:p w:rsidR="00DC10F4" w:rsidRPr="004E28BB" w:rsidRDefault="00DC10F4" w:rsidP="00D41D04">
      <w:pPr>
        <w:ind w:left="3600" w:hanging="360"/>
      </w:pPr>
      <w:r w:rsidRPr="004E28BB">
        <w:sym w:font="Wingdings" w:char="F076"/>
      </w:r>
      <w:r w:rsidRPr="004E28BB">
        <w:tab/>
        <w:t xml:space="preserve">Optimum </w:t>
      </w:r>
      <w:r w:rsidR="001B5B53">
        <w:t>D</w:t>
      </w:r>
      <w:r w:rsidRPr="004E28BB">
        <w:t>uration: 1 month with re-evaluation</w:t>
      </w:r>
      <w:r w:rsidR="001B5B53">
        <w:t>.</w:t>
      </w:r>
    </w:p>
    <w:p w:rsidR="00DC10F4" w:rsidRPr="004E28BB" w:rsidRDefault="00DC10F4" w:rsidP="00D41D04">
      <w:pPr>
        <w:ind w:left="3600" w:hanging="360"/>
      </w:pPr>
      <w:r w:rsidRPr="004E28BB">
        <w:sym w:font="Wingdings" w:char="F076"/>
      </w:r>
      <w:r w:rsidRPr="004E28BB">
        <w:tab/>
        <w:t xml:space="preserve">Maximum </w:t>
      </w:r>
      <w:r w:rsidR="001B5B53">
        <w:t>D</w:t>
      </w:r>
      <w:r w:rsidRPr="004E28BB">
        <w:t>uration: Reoccurrence can occur randomly for many years following trauma. Home exercises are necessary for those with frequent recurrences. Some patients are unable to perform home exercises</w:t>
      </w:r>
      <w:r w:rsidR="001B5B53">
        <w:t>,</w:t>
      </w:r>
      <w:r w:rsidRPr="004E28BB">
        <w:t xml:space="preserve"> </w:t>
      </w:r>
      <w:r w:rsidR="003523DB">
        <w:t>so</w:t>
      </w:r>
      <w:r w:rsidRPr="004E28BB">
        <w:t xml:space="preserve"> repeated visits for CRM may be required</w:t>
      </w:r>
      <w:r w:rsidR="001B5B53">
        <w:t>.</w:t>
      </w:r>
      <w:r w:rsidRPr="004E28BB">
        <w:t xml:space="preserve"> </w:t>
      </w:r>
    </w:p>
    <w:p w:rsidR="00DC10F4" w:rsidRPr="004E28BB" w:rsidRDefault="00DC10F4" w:rsidP="00D41D04">
      <w:pPr>
        <w:pStyle w:val="ListNumber2"/>
      </w:pPr>
      <w:bookmarkStart w:id="534" w:name="_Toc319922623"/>
      <w:bookmarkStart w:id="535" w:name="_Toc394643401"/>
      <w:r w:rsidRPr="004E28BB">
        <w:rPr>
          <w:rStyle w:val="Guide2-123Char"/>
        </w:rPr>
        <w:t>SWALLOWING IMPAIRMENTS (DYSPHAGIA)</w:t>
      </w:r>
      <w:bookmarkEnd w:id="534"/>
      <w:bookmarkEnd w:id="535"/>
      <w:r w:rsidR="00B6289B" w:rsidRPr="004E28BB">
        <w:t>:</w:t>
      </w:r>
      <w:r w:rsidRPr="004E28BB">
        <w:tab/>
        <w:t>The incidence of swallowing disorders in the TBI population is high with presenting dysphagia usually characterized by a combination of oral and pharyngeal stage deficits. Co-existing cognitive and behavioral deficits compromise swallowing safety. Physical damage to the oral, pharyngeal, laryngeal</w:t>
      </w:r>
      <w:r w:rsidR="001B5B53">
        <w:t>,</w:t>
      </w:r>
      <w:r w:rsidRPr="004E28BB">
        <w:t xml:space="preserve"> and esophageal structures complicates neurogenic dysphagia. Prolonged ventilation, endotracheal intubation</w:t>
      </w:r>
      <w:r w:rsidR="001B5B53">
        <w:t>,</w:t>
      </w:r>
      <w:r w:rsidRPr="004E28BB">
        <w:t xml:space="preserve"> and the presence of tracheostomy may also have a negative impact on swallow function.</w:t>
      </w:r>
      <w:r w:rsidRPr="004E28BB">
        <w:br/>
      </w:r>
      <w:r w:rsidRPr="004E28BB">
        <w:br/>
        <w:t>The initial goal in oral-pharyngeal dysphagia intervention involves lessening the impact of the dysphagia through prevention of medical complications</w:t>
      </w:r>
      <w:r w:rsidR="001B5B53">
        <w:t>,</w:t>
      </w:r>
      <w:r w:rsidRPr="004E28BB">
        <w:t xml:space="preserve"> such as aspiration pneumonia or malnutrition, and the establishment of alternative nutrition if necessary for the maintenance of adequate nutrition. A stimulation program without presentation of food may be provided early in the course of therapy in preparation for later feeding. In subsequent therapy, there is gradual introduction of oral nutrition using an array of treatment techniques designed to target the physiological impairments underlying the dysphagia while the individual continues to receive alternate nutrition. There is an eventual progression towards total oral nutrition without need for supplementation and independence with any safety precautions or therapy techniques.</w:t>
      </w:r>
      <w:r w:rsidRPr="004E28BB">
        <w:br/>
      </w:r>
      <w:r w:rsidRPr="004E28BB">
        <w:lastRenderedPageBreak/>
        <w:br/>
        <w:t>Therapeutic strategies may be divided into two categories:</w:t>
      </w:r>
    </w:p>
    <w:p w:rsidR="00DC10F4" w:rsidRPr="004E28BB" w:rsidRDefault="00DC10F4" w:rsidP="00D41D04">
      <w:pPr>
        <w:pStyle w:val="ListNumber3"/>
      </w:pPr>
      <w:bookmarkStart w:id="536" w:name="_Toc319922624"/>
      <w:bookmarkStart w:id="537" w:name="_Toc394643402"/>
      <w:r w:rsidRPr="004E28BB">
        <w:rPr>
          <w:rStyle w:val="Guide3-abcdChar"/>
        </w:rPr>
        <w:t>Compensatory Treatment</w:t>
      </w:r>
      <w:bookmarkEnd w:id="536"/>
      <w:bookmarkEnd w:id="537"/>
      <w:r w:rsidRPr="004E28BB">
        <w:t xml:space="preserve">: </w:t>
      </w:r>
      <w:r w:rsidR="001B5B53">
        <w:t>T</w:t>
      </w:r>
      <w:r w:rsidRPr="004E28BB">
        <w:t xml:space="preserve">echniques do not involve direct treatment of the swallowing disorder and may not affect the physiological function of the swallow, but </w:t>
      </w:r>
      <w:r w:rsidR="001B5B53">
        <w:t xml:space="preserve">they may </w:t>
      </w:r>
      <w:r w:rsidRPr="004E28BB">
        <w:t xml:space="preserve">reduce or eliminate the dysphagic symptoms and risk of aspiration by altering the movement of the bolus through the mouth and pharynx. These include, strategies such as postural adjustments of the head, neck and body to alter the dimensions of the pharynx, the flow of the bolus, altering consistency and viscosity of foods, </w:t>
      </w:r>
      <w:r w:rsidR="001B5B53">
        <w:t xml:space="preserve">and </w:t>
      </w:r>
      <w:r w:rsidRPr="004E28BB">
        <w:t xml:space="preserve">varying </w:t>
      </w:r>
      <w:r w:rsidR="001B5B53">
        <w:t xml:space="preserve">the </w:t>
      </w:r>
      <w:r w:rsidRPr="004E28BB">
        <w:t>volume and rate of presentation of the food or drink.</w:t>
      </w:r>
    </w:p>
    <w:p w:rsidR="00DC10F4" w:rsidRPr="004E28BB" w:rsidRDefault="00DC10F4" w:rsidP="00D41D04">
      <w:pPr>
        <w:pStyle w:val="ListNumber3"/>
      </w:pPr>
      <w:bookmarkStart w:id="538" w:name="_Toc319922625"/>
      <w:bookmarkStart w:id="539" w:name="_Toc394643403"/>
      <w:r w:rsidRPr="004E28BB">
        <w:rPr>
          <w:rStyle w:val="Guide3-abcdChar"/>
        </w:rPr>
        <w:t>Therapy Techniques</w:t>
      </w:r>
      <w:bookmarkEnd w:id="538"/>
      <w:bookmarkEnd w:id="539"/>
      <w:r w:rsidRPr="004E28BB">
        <w:t xml:space="preserve">: </w:t>
      </w:r>
      <w:r w:rsidR="001B5B53">
        <w:t>D</w:t>
      </w:r>
      <w:r w:rsidRPr="004E28BB">
        <w:t>esigned to change the swallowing physiology. These include, but are not limited to, strategies such as, ROM and bolus control tasks to improve neuromuscular control, swallowing maneuvers which target specific aspects of the pharyngeal phase of the swallow, and swallowing maneuvers to facilitate laryngeal closure during the pharyngeal phase of the swallow. Neuromuscular electrical stimulation has also been used in conjunction with swallowing therapy</w:t>
      </w:r>
      <w:r w:rsidR="001B5B53">
        <w:t>;</w:t>
      </w:r>
      <w:r w:rsidRPr="004E28BB">
        <w:t xml:space="preserve"> however</w:t>
      </w:r>
      <w:r w:rsidR="001B5B53">
        <w:t>,</w:t>
      </w:r>
      <w:r w:rsidRPr="004E28BB">
        <w:t xml:space="preserve"> </w:t>
      </w:r>
      <w:r w:rsidR="006433BA">
        <w:t>at the time of this guideline</w:t>
      </w:r>
      <w:r w:rsidR="00221A7D">
        <w:t xml:space="preserve">, </w:t>
      </w:r>
      <w:r w:rsidRPr="004E28BB">
        <w:t>the evaluation studies available do not meet evidence standards. Thus</w:t>
      </w:r>
      <w:r w:rsidR="001B5B53">
        <w:t>,</w:t>
      </w:r>
      <w:r w:rsidRPr="004E28BB">
        <w:t xml:space="preserve"> it is not routin</w:t>
      </w:r>
      <w:r w:rsidR="00873B39" w:rsidRPr="004E28BB">
        <w:t>ely recommended but may be used</w:t>
      </w:r>
      <w:r w:rsidRPr="004E28BB">
        <w:rPr>
          <w:rStyle w:val="GuideCitesCharChar"/>
        </w:rPr>
        <w:t xml:space="preserve"> (</w:t>
      </w:r>
      <w:hyperlink w:anchor="CarnabyMann2007" w:history="1">
        <w:r w:rsidRPr="00010647">
          <w:rPr>
            <w:rStyle w:val="Hyperlink"/>
            <w:rFonts w:cs="Arial"/>
            <w:highlight w:val="yellow"/>
          </w:rPr>
          <w:t>Carnaby-Mann, 2007</w:t>
        </w:r>
      </w:hyperlink>
      <w:r w:rsidRPr="0092347D">
        <w:rPr>
          <w:rStyle w:val="GuideCitesCharChar"/>
          <w:highlight w:val="yellow"/>
        </w:rPr>
        <w:t xml:space="preserve">; </w:t>
      </w:r>
      <w:hyperlink w:anchor="Permsirivanich2009" w:history="1">
        <w:r w:rsidRPr="00010647">
          <w:rPr>
            <w:rStyle w:val="Hyperlink"/>
            <w:rFonts w:cs="Arial"/>
            <w:highlight w:val="yellow"/>
          </w:rPr>
          <w:t>Permsirivanich, 2009</w:t>
        </w:r>
      </w:hyperlink>
      <w:r w:rsidRPr="004E28BB">
        <w:rPr>
          <w:rStyle w:val="GuideCitesCharChar"/>
        </w:rPr>
        <w:t>)</w:t>
      </w:r>
      <w:r w:rsidR="00873B39" w:rsidRPr="004E28BB">
        <w:t>.</w:t>
      </w:r>
      <w:r w:rsidRPr="004E28BB">
        <w:br/>
      </w:r>
      <w:r w:rsidRPr="004E28BB">
        <w:br/>
        <w:t>Medical consultation may be necessary to assist with clinical improvement in swallowing function. Medical interventions may include, but are not limited to: medications to reduce production of saliva; elimination of medications associated with reduced saliva production; and vocal fold injection (Teflon, absorbable gelatin sponge) for unilateral vocal fold weakness.</w:t>
      </w:r>
      <w:r w:rsidRPr="004E28BB">
        <w:br/>
      </w:r>
      <w:r w:rsidRPr="004E28BB">
        <w:br/>
        <w:t>It is generally accepted that the speech-language pathologist in consultation with the physician establishes the dysphagia treatment plan. Self-feeding and the use of adaptive equipment for this may be coordinated by the occupational therapist. Additional disciplines participate in a team approach to the treatment of dysphagia. These may include, but are not limited to, professionals such as physicians (including otolaryngologist, gastroenterologists, or other</w:t>
      </w:r>
      <w:r w:rsidR="004D395B">
        <w:t>s</w:t>
      </w:r>
      <w:r w:rsidRPr="004E28BB">
        <w:t>), registered dietitian</w:t>
      </w:r>
      <w:r w:rsidR="004D395B">
        <w:t>s</w:t>
      </w:r>
      <w:r w:rsidRPr="004E28BB">
        <w:t>, nurse</w:t>
      </w:r>
      <w:r w:rsidR="004D395B">
        <w:t>s,</w:t>
      </w:r>
      <w:r w:rsidRPr="004E28BB">
        <w:t xml:space="preserve"> and physical therapist</w:t>
      </w:r>
      <w:r w:rsidR="004D395B">
        <w:t>s</w:t>
      </w:r>
      <w:r w:rsidRPr="004E28BB">
        <w:t>.</w:t>
      </w:r>
      <w:r w:rsidRPr="004E28BB">
        <w:br/>
      </w:r>
      <w:r w:rsidRPr="004E28BB">
        <w:br/>
        <w:t>Ongoing reassessment and modification of therapy techniques and treatment goals to optimize effectiveness are integral components of therapy. Initial treatment plan and goals should be updated whenever needed, but at least with each re</w:t>
      </w:r>
      <w:r w:rsidR="004D395B">
        <w:t>-</w:t>
      </w:r>
      <w:r w:rsidRPr="004E28BB">
        <w:t>evaluation. During the earlier phases of recovery, change may occur rapidly</w:t>
      </w:r>
      <w:r w:rsidR="004D395B">
        <w:t>,</w:t>
      </w:r>
      <w:r w:rsidRPr="004E28BB">
        <w:t xml:space="preserve"> and formal re</w:t>
      </w:r>
      <w:r w:rsidR="004D395B">
        <w:t>-</w:t>
      </w:r>
      <w:r w:rsidRPr="004E28BB">
        <w:t>evaluation (including instrumental evaluation) may be completed frequently.</w:t>
      </w:r>
    </w:p>
    <w:p w:rsidR="00DC10F4" w:rsidRPr="004E28BB" w:rsidRDefault="00DC10F4" w:rsidP="00D41D04">
      <w:pPr>
        <w:ind w:left="2880" w:hanging="360"/>
      </w:pPr>
      <w:r w:rsidRPr="004E28BB">
        <w:sym w:font="Wingdings" w:char="F076"/>
      </w:r>
      <w:r w:rsidRPr="004E28BB">
        <w:tab/>
        <w:t xml:space="preserve">Frequency: </w:t>
      </w:r>
      <w:r w:rsidR="00D5039B">
        <w:t xml:space="preserve">(1) </w:t>
      </w:r>
      <w:r w:rsidRPr="004E28BB">
        <w:t>Acute Care</w:t>
      </w:r>
      <w:r w:rsidR="007843ED">
        <w:t xml:space="preserve"> –</w:t>
      </w:r>
      <w:r w:rsidRPr="004E28BB">
        <w:t xml:space="preserve"> 1 to 2 times daily; </w:t>
      </w:r>
      <w:r w:rsidR="00D5039B">
        <w:t xml:space="preserve">(2) </w:t>
      </w:r>
      <w:r w:rsidRPr="004E28BB">
        <w:t>Post</w:t>
      </w:r>
      <w:r w:rsidR="007843ED">
        <w:t>-</w:t>
      </w:r>
      <w:r w:rsidRPr="004E28BB">
        <w:t>Acute</w:t>
      </w:r>
      <w:r w:rsidR="007843ED">
        <w:t xml:space="preserve"> –</w:t>
      </w:r>
      <w:r w:rsidRPr="004E28BB">
        <w:t xml:space="preserve"> Once per day; </w:t>
      </w:r>
      <w:r w:rsidR="00D5039B">
        <w:t xml:space="preserve">(3) </w:t>
      </w:r>
      <w:r w:rsidR="007843ED">
        <w:t>S</w:t>
      </w:r>
      <w:r w:rsidRPr="004E28BB">
        <w:t>ubacute outpatient/community settings</w:t>
      </w:r>
      <w:r w:rsidR="007843ED">
        <w:t xml:space="preserve"> –</w:t>
      </w:r>
      <w:r w:rsidRPr="004E28BB">
        <w:t xml:space="preserve"> 1 to 5 sessions weekly</w:t>
      </w:r>
      <w:r w:rsidR="004D395B">
        <w:t>.</w:t>
      </w:r>
    </w:p>
    <w:p w:rsidR="00DC10F4" w:rsidRPr="004E28BB" w:rsidRDefault="00DC10F4" w:rsidP="00D41D04">
      <w:pPr>
        <w:ind w:left="2880" w:hanging="360"/>
      </w:pPr>
      <w:r w:rsidRPr="004E28BB">
        <w:sym w:font="Wingdings" w:char="F076"/>
      </w:r>
      <w:r w:rsidRPr="004E28BB">
        <w:tab/>
        <w:t xml:space="preserve">Optimum </w:t>
      </w:r>
      <w:r w:rsidR="004D395B">
        <w:t>D</w:t>
      </w:r>
      <w:r w:rsidRPr="004E28BB">
        <w:t>uration: 6 to 8 weeks with 4-week re-evaluations</w:t>
      </w:r>
      <w:r w:rsidR="004D395B">
        <w:t>.</w:t>
      </w:r>
    </w:p>
    <w:p w:rsidR="00DC10F4" w:rsidRPr="004E28BB" w:rsidRDefault="00DC10F4" w:rsidP="00D41D04">
      <w:pPr>
        <w:ind w:left="2880" w:hanging="360"/>
      </w:pPr>
      <w:r w:rsidRPr="004E28BB">
        <w:sym w:font="Wingdings" w:char="F076"/>
      </w:r>
      <w:r w:rsidRPr="004E28BB">
        <w:tab/>
        <w:t xml:space="preserve">Maximum </w:t>
      </w:r>
      <w:r w:rsidR="004D395B">
        <w:t>D</w:t>
      </w:r>
      <w:r w:rsidRPr="004E28BB">
        <w:t>uration: Beyond 8 weeks</w:t>
      </w:r>
      <w:r w:rsidR="004D395B">
        <w:t>,</w:t>
      </w:r>
      <w:r w:rsidRPr="004E28BB">
        <w:t xml:space="preserve"> documentation of progress is required</w:t>
      </w:r>
      <w:r w:rsidR="004D395B">
        <w:t>.</w:t>
      </w:r>
    </w:p>
    <w:p w:rsidR="00DC10F4" w:rsidRPr="004E28BB" w:rsidRDefault="00DC10F4" w:rsidP="00D41D04">
      <w:pPr>
        <w:ind w:left="2160"/>
      </w:pPr>
      <w:r w:rsidRPr="004E28BB">
        <w:t>Therapy is discontinued when goals are met or when it is apparent that the individual is no longer making progress. In the latter case, re-evaluation and further therapy may be appropriate if/when the individual shows new or renewed potential.</w:t>
      </w:r>
    </w:p>
    <w:p w:rsidR="00DC10F4" w:rsidRPr="004E28BB" w:rsidRDefault="00DC10F4" w:rsidP="00D41D04">
      <w:pPr>
        <w:pStyle w:val="ListNumber2"/>
      </w:pPr>
      <w:bookmarkStart w:id="540" w:name="TBIJ4Communicaton"/>
      <w:bookmarkStart w:id="541" w:name="_Toc319922626"/>
      <w:bookmarkStart w:id="542" w:name="_Toc394643404"/>
      <w:bookmarkEnd w:id="540"/>
      <w:r w:rsidRPr="004E28BB">
        <w:rPr>
          <w:rStyle w:val="Guide2-123Char"/>
        </w:rPr>
        <w:lastRenderedPageBreak/>
        <w:t>COMMUNICATION</w:t>
      </w:r>
      <w:bookmarkEnd w:id="541"/>
      <w:bookmarkEnd w:id="542"/>
      <w:r w:rsidR="00B6289B" w:rsidRPr="004E28BB">
        <w:t>:</w:t>
      </w:r>
      <w:r w:rsidRPr="004E28BB">
        <w:t xml:space="preserve"> </w:t>
      </w:r>
      <w:r w:rsidR="004D395B">
        <w:t>B</w:t>
      </w:r>
      <w:r w:rsidRPr="004E28BB">
        <w:t>asic to all daily activity and is necessary for the maintenance of positive quality of life and psychological well-being. Even the most subtle communication impairment may seriously interfere with an individual’s ability to achieve occupational, personal</w:t>
      </w:r>
      <w:r w:rsidR="004D395B">
        <w:t>,</w:t>
      </w:r>
      <w:r w:rsidRPr="004E28BB">
        <w:t xml:space="preserve"> and interpersonal goals. Speech-language therapy and occupational therapy </w:t>
      </w:r>
      <w:r w:rsidR="004D395B">
        <w:t>are</w:t>
      </w:r>
      <w:r w:rsidRPr="004E28BB">
        <w:t xml:space="preserve"> well</w:t>
      </w:r>
      <w:r w:rsidR="00B05FF1">
        <w:t>-</w:t>
      </w:r>
      <w:r w:rsidRPr="004E28BB">
        <w:t xml:space="preserve">accepted and widely used. </w:t>
      </w:r>
      <w:r w:rsidR="00AA03ED" w:rsidRPr="004E28BB">
        <w:t xml:space="preserve">Music therapy may be appropriate for some patients. </w:t>
      </w:r>
      <w:r w:rsidRPr="004E28BB">
        <w:t>There is insufficient evidence to recommend specific types of therapy</w:t>
      </w:r>
      <w:r w:rsidRPr="004E28BB">
        <w:rPr>
          <w:rStyle w:val="GuideCitesCharChar"/>
        </w:rPr>
        <w:t xml:space="preserve"> </w:t>
      </w:r>
      <w:r w:rsidRPr="0092347D">
        <w:rPr>
          <w:rStyle w:val="GuideCitesCharChar"/>
          <w:highlight w:val="yellow"/>
        </w:rPr>
        <w:t>([</w:t>
      </w:r>
      <w:hyperlink w:anchor="Kelly2010" w:history="1">
        <w:r w:rsidRPr="007944F7">
          <w:rPr>
            <w:rStyle w:val="Hyperlink"/>
            <w:rFonts w:cs="Arial"/>
            <w:highlight w:val="yellow"/>
          </w:rPr>
          <w:t>Cochrane] Kelly, 2010</w:t>
        </w:r>
      </w:hyperlink>
      <w:r w:rsidRPr="004E28BB">
        <w:rPr>
          <w:rStyle w:val="GuideCitesCharChar"/>
        </w:rPr>
        <w:t>)</w:t>
      </w:r>
      <w:r w:rsidR="00873B39" w:rsidRPr="004E28BB">
        <w:t>.</w:t>
      </w:r>
      <w:r w:rsidRPr="004E28BB">
        <w:br/>
      </w:r>
      <w:r w:rsidRPr="004E28BB">
        <w:br/>
        <w:t xml:space="preserve">Communication (speech-language) impairments are a common result of TBI and may be classified into the following groups: </w:t>
      </w:r>
      <w:r w:rsidR="00F64E42">
        <w:t>(</w:t>
      </w:r>
      <w:r w:rsidRPr="004E28BB">
        <w:t xml:space="preserve">1) motor speech disorders, which may take the form of dysarthria and/or apraxia of speech; </w:t>
      </w:r>
      <w:r w:rsidR="00F64E42">
        <w:t>(</w:t>
      </w:r>
      <w:r w:rsidRPr="004E28BB">
        <w:t xml:space="preserve">2) voice disorders; </w:t>
      </w:r>
      <w:r w:rsidR="00F64E42">
        <w:t>(</w:t>
      </w:r>
      <w:r w:rsidRPr="004E28BB">
        <w:t xml:space="preserve">3) language disorders; </w:t>
      </w:r>
      <w:r w:rsidR="00F64E42">
        <w:t>(</w:t>
      </w:r>
      <w:r w:rsidRPr="004E28BB">
        <w:t xml:space="preserve">4) communicative/cognitive disorders; and </w:t>
      </w:r>
      <w:r w:rsidR="00F64E42">
        <w:t>(</w:t>
      </w:r>
      <w:r w:rsidRPr="004E28BB">
        <w:t>5) fluency disorders. These may occur together in varying combinations in TBI.</w:t>
      </w:r>
    </w:p>
    <w:p w:rsidR="00DC10F4" w:rsidRPr="004E28BB" w:rsidRDefault="00DC10F4" w:rsidP="00D41D04">
      <w:pPr>
        <w:pStyle w:val="ListNumber3"/>
      </w:pPr>
      <w:bookmarkStart w:id="543" w:name="_Toc319922627"/>
      <w:bookmarkStart w:id="544" w:name="_Toc394643405"/>
      <w:r w:rsidRPr="004E28BB">
        <w:rPr>
          <w:rStyle w:val="Guide3-abcdChar"/>
        </w:rPr>
        <w:t>Motor Speech Disorders</w:t>
      </w:r>
      <w:bookmarkEnd w:id="543"/>
      <w:bookmarkEnd w:id="544"/>
      <w:r w:rsidRPr="004E28BB">
        <w:t>:</w:t>
      </w:r>
    </w:p>
    <w:p w:rsidR="00DC10F4" w:rsidRPr="004E28BB" w:rsidRDefault="00DC10F4" w:rsidP="00D41D04">
      <w:pPr>
        <w:pStyle w:val="ListNumber4"/>
      </w:pPr>
      <w:r w:rsidRPr="004E28BB">
        <w:rPr>
          <w:rStyle w:val="Guide4-i"/>
        </w:rPr>
        <w:t>Dysarthria</w:t>
      </w:r>
      <w:r w:rsidR="004D395B" w:rsidRPr="004D395B">
        <w:rPr>
          <w:rStyle w:val="Guide4-i"/>
          <w:u w:val="none"/>
        </w:rPr>
        <w:t>:</w:t>
      </w:r>
      <w:r w:rsidRPr="004E28BB">
        <w:t xml:space="preserve"> </w:t>
      </w:r>
      <w:r w:rsidR="004D395B">
        <w:t>A</w:t>
      </w:r>
      <w:r w:rsidRPr="004E28BB">
        <w:t xml:space="preserve"> reduction in speech intelligibility due to weakness and/or incoordination of the speech musculature secondary to central or peripheral nervous system injury that involves the processes of articulation, resonance, phonation</w:t>
      </w:r>
      <w:r w:rsidR="004D395B">
        <w:t>,</w:t>
      </w:r>
      <w:r w:rsidRPr="004E28BB">
        <w:t xml:space="preserve"> and respiration. It accounts for approximately one-third of communication impairments following TBI. Any type or level of severity of dysarthria may occur subsequent to TBI, from very minimal slurring or hypernasality in connected speech to the absence of intelligible speech (anarthria).</w:t>
      </w:r>
    </w:p>
    <w:p w:rsidR="00DC10F4" w:rsidRPr="004E28BB" w:rsidRDefault="00DC10F4" w:rsidP="00D41D04">
      <w:pPr>
        <w:pStyle w:val="ListNumber4"/>
      </w:pPr>
      <w:r w:rsidRPr="004D395B">
        <w:rPr>
          <w:rStyle w:val="Guide4-i"/>
        </w:rPr>
        <w:t>Apraxia</w:t>
      </w:r>
      <w:r w:rsidRPr="004D395B">
        <w:rPr>
          <w:u w:val="single"/>
        </w:rPr>
        <w:t xml:space="preserve"> of </w:t>
      </w:r>
      <w:r w:rsidR="004D395B" w:rsidRPr="004D395B">
        <w:rPr>
          <w:u w:val="single"/>
        </w:rPr>
        <w:t>S</w:t>
      </w:r>
      <w:r w:rsidRPr="004D395B">
        <w:rPr>
          <w:u w:val="single"/>
        </w:rPr>
        <w:t>peech</w:t>
      </w:r>
      <w:r w:rsidR="00B6289B" w:rsidRPr="004E28BB">
        <w:t>:</w:t>
      </w:r>
      <w:r w:rsidRPr="004E28BB">
        <w:t xml:space="preserve"> </w:t>
      </w:r>
      <w:r w:rsidR="004D395B">
        <w:t>A</w:t>
      </w:r>
      <w:r w:rsidRPr="004E28BB">
        <w:t xml:space="preserve"> motor impairment that disrupts central motor planning and interferes with voluntary positioning and sequencing of the movements of the speech musculature in the absence of paralysis or muscular weakness. Symptoms may range from very mild articulation errors to inability to produce any functional speech</w:t>
      </w:r>
      <w:r w:rsidR="004D395B">
        <w:t xml:space="preserve"> volitionally</w:t>
      </w:r>
      <w:r w:rsidRPr="004E28BB">
        <w:t>.</w:t>
      </w:r>
    </w:p>
    <w:p w:rsidR="00DC10F4" w:rsidRPr="004E28BB" w:rsidRDefault="00DC10F4" w:rsidP="00D41D04">
      <w:pPr>
        <w:pStyle w:val="ListNumber3"/>
      </w:pPr>
      <w:bookmarkStart w:id="545" w:name="_Toc319922628"/>
      <w:bookmarkStart w:id="546" w:name="_Toc394643406"/>
      <w:r w:rsidRPr="004E28BB">
        <w:rPr>
          <w:rStyle w:val="Guide3-abcdChar"/>
        </w:rPr>
        <w:t>Voice Disorders</w:t>
      </w:r>
      <w:bookmarkEnd w:id="545"/>
      <w:bookmarkEnd w:id="546"/>
      <w:r w:rsidRPr="004E28BB">
        <w:t>: Any compromise to airway structures (nasal-pharyngeal cavities, larynx, trachea, lungs, the muscle of respiration) or their function may cause voice disorders. These involve impairment in respiration, phonation</w:t>
      </w:r>
      <w:r w:rsidR="004D395B">
        <w:t>,</w:t>
      </w:r>
      <w:r w:rsidRPr="004E28BB">
        <w:t xml:space="preserve"> and/or resonance. A present voice symptom may have one or several causes and may range in severity from mild vocal fatigue to the absence of voicing (aphonia).</w:t>
      </w:r>
    </w:p>
    <w:p w:rsidR="00DC10F4" w:rsidRPr="004E28BB" w:rsidRDefault="00DC10F4" w:rsidP="00D41D04">
      <w:pPr>
        <w:pStyle w:val="ListNumber3"/>
      </w:pPr>
      <w:bookmarkStart w:id="547" w:name="_Toc319922629"/>
      <w:bookmarkStart w:id="548" w:name="_Toc394643407"/>
      <w:r w:rsidRPr="004E28BB">
        <w:rPr>
          <w:rStyle w:val="Guide3-abcdChar"/>
        </w:rPr>
        <w:t>Language Disorders</w:t>
      </w:r>
      <w:bookmarkEnd w:id="547"/>
      <w:bookmarkEnd w:id="548"/>
      <w:r w:rsidRPr="004E28BB">
        <w:t>: Language impairment is often present in the early stages of TBI. In some cases</w:t>
      </w:r>
      <w:r w:rsidR="004D395B">
        <w:t>,</w:t>
      </w:r>
      <w:r w:rsidRPr="004E28BB">
        <w:t xml:space="preserve"> specific language impairment (aphasia) persists as a result of a focal lesion. Language impairments include those of receptive and expressive language in both spoken and written form, as well as gestural expression and reception. These may be impaired to varying degrees</w:t>
      </w:r>
      <w:r w:rsidR="004D395B">
        <w:t>,</w:t>
      </w:r>
      <w:r w:rsidRPr="004E28BB">
        <w:t xml:space="preserve"> </w:t>
      </w:r>
      <w:r w:rsidR="004D395B">
        <w:t xml:space="preserve">ranging </w:t>
      </w:r>
      <w:r w:rsidRPr="004E28BB">
        <w:t>from very mild difficulty with word finding (anomia) to global impairment involving severe impairment in all language areas. In TBI, language deficits tend to occur against a backdrop of cognitive impairment.</w:t>
      </w:r>
    </w:p>
    <w:p w:rsidR="00DC10F4" w:rsidRPr="004E28BB" w:rsidRDefault="00DC10F4" w:rsidP="00D41D04">
      <w:pPr>
        <w:pStyle w:val="ListNumber3"/>
      </w:pPr>
      <w:bookmarkStart w:id="549" w:name="_Toc319922630"/>
      <w:bookmarkStart w:id="550" w:name="_Toc394643408"/>
      <w:r w:rsidRPr="004E28BB">
        <w:rPr>
          <w:rStyle w:val="Guide3-abcdChar"/>
        </w:rPr>
        <w:t>Cognitive-Communicative Disorders</w:t>
      </w:r>
      <w:bookmarkEnd w:id="549"/>
      <w:bookmarkEnd w:id="550"/>
      <w:r w:rsidRPr="004E28BB">
        <w:t>: Cognition and language are intrinsically and reciprocally related. An impairment of language may disrupt one or more cognitive processes</w:t>
      </w:r>
      <w:r w:rsidR="004D395B">
        <w:t>,</w:t>
      </w:r>
      <w:r w:rsidRPr="004E28BB">
        <w:t xml:space="preserve"> and an impairment of one or more cognitive processes may disrupt language. The ability to consciously, efficiently access and manipulate the semantic system requires the complex interplay of language, cognitive</w:t>
      </w:r>
      <w:r w:rsidR="004D395B">
        <w:t>,</w:t>
      </w:r>
      <w:r w:rsidRPr="004E28BB">
        <w:t xml:space="preserve"> and executive processes. Impairments in linguistic and metalinguistic skill as well as impairments in non-linguistic cognitive functions such as perception, attention, discrimination, organization, reasoning, memory</w:t>
      </w:r>
      <w:r w:rsidR="004D395B">
        <w:t>,</w:t>
      </w:r>
      <w:r w:rsidRPr="004E28BB">
        <w:t xml:space="preserve"> and self-regulation interfere with communication of basic needs and with communication in wider social contexts.</w:t>
      </w:r>
      <w:r w:rsidRPr="004E28BB">
        <w:br/>
      </w:r>
      <w:r w:rsidRPr="004E28BB">
        <w:lastRenderedPageBreak/>
        <w:br/>
        <w:t>Social communication skills, also known as pragmatic language skills, encompass the meaning and use of language in social situations. They include the interpretation of contextual clues, non-verbal communications</w:t>
      </w:r>
      <w:r w:rsidR="004D395B">
        <w:t>,</w:t>
      </w:r>
      <w:r w:rsidRPr="004E28BB">
        <w:t xml:space="preserve"> and other interpersonal skills. Social communication skills training is also appropriate for these cases. There is some evidence that group instruction, 90 minutes weekly over 12 weeks, by a skilled le</w:t>
      </w:r>
      <w:r w:rsidR="00873B39" w:rsidRPr="004E28BB">
        <w:t>ader</w:t>
      </w:r>
      <w:r w:rsidR="004D395B">
        <w:t>,</w:t>
      </w:r>
      <w:r w:rsidR="00873B39" w:rsidRPr="004E28BB">
        <w:t xml:space="preserve"> results in improved skills</w:t>
      </w:r>
      <w:r w:rsidRPr="004E28BB">
        <w:rPr>
          <w:rStyle w:val="GuideCitesCharChar"/>
        </w:rPr>
        <w:t xml:space="preserve"> (</w:t>
      </w:r>
      <w:hyperlink w:anchor="Dahlberg2007" w:history="1">
        <w:r w:rsidRPr="007944F7">
          <w:rPr>
            <w:rStyle w:val="Hyperlink"/>
            <w:rFonts w:cs="Arial"/>
            <w:highlight w:val="yellow"/>
          </w:rPr>
          <w:t>Dahlberg, 2007</w:t>
        </w:r>
      </w:hyperlink>
      <w:r w:rsidRPr="004E28BB">
        <w:rPr>
          <w:rStyle w:val="GuideCitesCharChar"/>
        </w:rPr>
        <w:t>)</w:t>
      </w:r>
      <w:r w:rsidR="00873B39" w:rsidRPr="004E28BB">
        <w:t>.</w:t>
      </w:r>
      <w:r w:rsidRPr="004E28BB">
        <w:br/>
      </w:r>
      <w:r w:rsidRPr="004E28BB">
        <w:br/>
        <w:t xml:space="preserve">Certified </w:t>
      </w:r>
      <w:r w:rsidR="004D395B">
        <w:t>s</w:t>
      </w:r>
      <w:r w:rsidRPr="004E28BB">
        <w:t>peech-</w:t>
      </w:r>
      <w:r w:rsidR="004D395B">
        <w:t>l</w:t>
      </w:r>
      <w:r w:rsidRPr="004E28BB">
        <w:t xml:space="preserve">anguage </w:t>
      </w:r>
      <w:r w:rsidR="004D395B">
        <w:t>p</w:t>
      </w:r>
      <w:r w:rsidRPr="004E28BB">
        <w:t xml:space="preserve">athologists and occupational therapists are qualified to identify, </w:t>
      </w:r>
      <w:r w:rsidR="00FA0A79" w:rsidRPr="004E28BB">
        <w:t>evaluate</w:t>
      </w:r>
      <w:r w:rsidR="004D395B">
        <w:t>,</w:t>
      </w:r>
      <w:r w:rsidRPr="004E28BB">
        <w:t xml:space="preserve"> and determine the appropriateness of treatment for individuals with speech, language</w:t>
      </w:r>
      <w:r w:rsidR="004D395B">
        <w:t>,</w:t>
      </w:r>
      <w:r w:rsidRPr="004E28BB">
        <w:t xml:space="preserve"> and cognitive-communicative disorders. When treatment is indicated, speech-language pathologists develop, supervise</w:t>
      </w:r>
      <w:r w:rsidR="004D395B">
        <w:t>,</w:t>
      </w:r>
      <w:r w:rsidRPr="004E28BB">
        <w:t xml:space="preserve"> and/or implement a plan of treatment. Treatment of cognitive-communicative disorders has come to be included under labels such as cognitive retraining, cognitive rehabilitation, cognitive therapy, cognitive remediation</w:t>
      </w:r>
      <w:r w:rsidR="004D395B">
        <w:t>,</w:t>
      </w:r>
      <w:r w:rsidRPr="004E28BB">
        <w:t xml:space="preserve"> and neurotraining. Speech/language pathologists should be integral members of interdisciplinary teams engaged in the identification, diagnosis</w:t>
      </w:r>
      <w:r w:rsidR="004D395B">
        <w:t>,</w:t>
      </w:r>
      <w:r w:rsidRPr="004E28BB">
        <w:t xml:space="preserve"> and treatment of individuals with cognitive-communicative disorders. According to the American Speech-Language and Hearing Association (ASHA), certified Speech-Language Pathologists are qualified to identify, diagnose</w:t>
      </w:r>
      <w:r w:rsidR="004D395B">
        <w:t>,</w:t>
      </w:r>
      <w:r w:rsidRPr="004E28BB">
        <w:t xml:space="preserve"> and determine the appropriateness of treatment for individuals with speech, language</w:t>
      </w:r>
      <w:r w:rsidR="004D395B">
        <w:t>,</w:t>
      </w:r>
      <w:r w:rsidRPr="004E28BB">
        <w:t xml:space="preserve"> and cognitive-communicative disorders.</w:t>
      </w:r>
      <w:r w:rsidRPr="004E28BB">
        <w:br/>
      </w:r>
      <w:r w:rsidRPr="004E28BB">
        <w:br/>
        <w:t>Interaction and consultation between the speech-language pathologist, medical specialists</w:t>
      </w:r>
      <w:r w:rsidR="004D395B">
        <w:t>,</w:t>
      </w:r>
      <w:r w:rsidRPr="004E28BB">
        <w:t xml:space="preserve"> and other members of the interdisciplinary treatment team is an essential part of the treatment of TBI-related communication disorders. There is extensive overlap in professional domains, making it important that team members from different clinical fields collaborate in their approach to assessment and intervention.</w:t>
      </w:r>
      <w:r w:rsidRPr="004E28BB">
        <w:br/>
      </w:r>
      <w:r w:rsidRPr="004E28BB">
        <w:br/>
        <w:t>Speech-language evaluation is recommended when there is evidence to support the presence of communicative symptoms. The evaluation includes:</w:t>
      </w:r>
    </w:p>
    <w:p w:rsidR="00DC10F4" w:rsidRPr="004E28BB" w:rsidRDefault="00DC10F4" w:rsidP="00D41D04">
      <w:pPr>
        <w:ind w:left="2880" w:hanging="360"/>
      </w:pPr>
      <w:r w:rsidRPr="004E28BB">
        <w:t>●</w:t>
      </w:r>
      <w:r w:rsidRPr="004E28BB">
        <w:tab/>
      </w:r>
      <w:r w:rsidR="004D395B">
        <w:t>A</w:t>
      </w:r>
      <w:r w:rsidRPr="004E28BB">
        <w:t xml:space="preserve"> thorough review of relevant medical and social history</w:t>
      </w:r>
      <w:r w:rsidR="004D395B">
        <w:t>.</w:t>
      </w:r>
    </w:p>
    <w:p w:rsidR="00DC10F4" w:rsidRPr="004E28BB" w:rsidRDefault="00DC10F4" w:rsidP="00D41D04">
      <w:pPr>
        <w:ind w:left="2880" w:hanging="360"/>
      </w:pPr>
      <w:r w:rsidRPr="004E28BB">
        <w:t>●</w:t>
      </w:r>
      <w:r w:rsidRPr="004E28BB">
        <w:tab/>
      </w:r>
      <w:r w:rsidR="004D395B">
        <w:t>A</w:t>
      </w:r>
      <w:r w:rsidRPr="004E28BB">
        <w:t xml:space="preserve"> comprehensive assessment of communication skills including standard and </w:t>
      </w:r>
      <w:r w:rsidR="0053165C">
        <w:t>non-</w:t>
      </w:r>
      <w:r w:rsidRPr="004E28BB">
        <w:t>standard measures</w:t>
      </w:r>
      <w:r w:rsidR="004D395B">
        <w:t>.</w:t>
      </w:r>
    </w:p>
    <w:p w:rsidR="00DC10F4" w:rsidRPr="004E28BB" w:rsidRDefault="00DC10F4" w:rsidP="00D41D04">
      <w:pPr>
        <w:ind w:left="2880" w:hanging="360"/>
      </w:pPr>
      <w:r w:rsidRPr="004E28BB">
        <w:t>●</w:t>
      </w:r>
      <w:r w:rsidRPr="004E28BB">
        <w:tab/>
      </w:r>
      <w:r w:rsidR="004D395B">
        <w:t>E</w:t>
      </w:r>
      <w:r w:rsidRPr="004E28BB">
        <w:t>vidence of consultation with family members and/or support system</w:t>
      </w:r>
      <w:r w:rsidR="004D395B">
        <w:t>.</w:t>
      </w:r>
    </w:p>
    <w:p w:rsidR="00DC10F4" w:rsidRPr="004E28BB" w:rsidRDefault="00DC10F4" w:rsidP="00D41D04">
      <w:pPr>
        <w:ind w:left="2880" w:hanging="360"/>
      </w:pPr>
      <w:r w:rsidRPr="004E28BB">
        <w:t>●</w:t>
      </w:r>
      <w:r w:rsidRPr="004E28BB">
        <w:tab/>
      </w:r>
      <w:r w:rsidR="004D395B">
        <w:t>D</w:t>
      </w:r>
      <w:r w:rsidRPr="004E28BB">
        <w:t>iagnosis of communication disorder</w:t>
      </w:r>
      <w:r w:rsidR="004D395B">
        <w:t>.</w:t>
      </w:r>
    </w:p>
    <w:p w:rsidR="00DC10F4" w:rsidRPr="004E28BB" w:rsidRDefault="00DC10F4" w:rsidP="00D41D04">
      <w:pPr>
        <w:ind w:left="2880" w:hanging="360"/>
      </w:pPr>
      <w:r w:rsidRPr="004E28BB">
        <w:t>●</w:t>
      </w:r>
      <w:r w:rsidRPr="004E28BB">
        <w:tab/>
      </w:r>
      <w:r w:rsidR="004D395B">
        <w:t>I</w:t>
      </w:r>
      <w:r w:rsidRPr="004E28BB">
        <w:t>ndication of the severity of the disorder, the individual’s candidacy for intervention, and the prognosis for improvement</w:t>
      </w:r>
      <w:r w:rsidR="004D395B">
        <w:t>.</w:t>
      </w:r>
    </w:p>
    <w:p w:rsidR="00DC10F4" w:rsidRPr="004E28BB" w:rsidRDefault="00DC10F4" w:rsidP="00D41D04">
      <w:pPr>
        <w:ind w:left="2880" w:hanging="360"/>
      </w:pPr>
      <w:r w:rsidRPr="004E28BB">
        <w:t>●</w:t>
      </w:r>
      <w:r w:rsidRPr="004E28BB">
        <w:tab/>
      </w:r>
      <w:r w:rsidR="00E174CC">
        <w:t>A</w:t>
      </w:r>
      <w:r w:rsidRPr="004E28BB">
        <w:t>n intervention plan that is coordinated and integrated with other services being received</w:t>
      </w:r>
      <w:r w:rsidR="00E174CC">
        <w:t>.</w:t>
      </w:r>
    </w:p>
    <w:p w:rsidR="00DC10F4" w:rsidRPr="004E28BB" w:rsidRDefault="00DC10F4" w:rsidP="00D41D04">
      <w:pPr>
        <w:ind w:left="2880" w:hanging="360"/>
      </w:pPr>
      <w:r w:rsidRPr="004E28BB">
        <w:t>●</w:t>
      </w:r>
      <w:r w:rsidRPr="004E28BB">
        <w:tab/>
      </w:r>
      <w:r w:rsidR="00E174CC">
        <w:t>R</w:t>
      </w:r>
      <w:r w:rsidRPr="004E28BB">
        <w:t>ealistic functional goals and recommendations that reflect consideration of the pre-morbid level of function and input from the individual and family</w:t>
      </w:r>
      <w:r w:rsidR="00387A03">
        <w:t xml:space="preserve"> and</w:t>
      </w:r>
      <w:r w:rsidRPr="004E28BB">
        <w:t>/</w:t>
      </w:r>
      <w:r w:rsidR="00387A03">
        <w:t xml:space="preserve">or </w:t>
      </w:r>
      <w:r w:rsidRPr="004E28BB">
        <w:t>support system to assure social and ecological validity</w:t>
      </w:r>
      <w:r w:rsidR="00E174CC">
        <w:t>.</w:t>
      </w:r>
    </w:p>
    <w:p w:rsidR="00DC10F4" w:rsidRPr="004E28BB" w:rsidRDefault="00DC10F4" w:rsidP="00D41D04">
      <w:pPr>
        <w:ind w:left="2880" w:hanging="360"/>
      </w:pPr>
      <w:r w:rsidRPr="004E28BB">
        <w:t>●</w:t>
      </w:r>
      <w:r w:rsidRPr="004E28BB">
        <w:tab/>
      </w:r>
      <w:r w:rsidR="00E174CC">
        <w:t>E</w:t>
      </w:r>
      <w:r w:rsidRPr="004E28BB">
        <w:t>stimate need of therapy frequency and duration with attention to the anticipated ultimate outcome</w:t>
      </w:r>
      <w:r w:rsidR="00E174CC">
        <w:t>.</w:t>
      </w:r>
    </w:p>
    <w:p w:rsidR="00DC10F4" w:rsidRPr="004E28BB" w:rsidRDefault="00DC10F4" w:rsidP="00D41D04">
      <w:pPr>
        <w:ind w:left="2880" w:hanging="360"/>
      </w:pPr>
      <w:r w:rsidRPr="004E28BB">
        <w:lastRenderedPageBreak/>
        <w:t>●</w:t>
      </w:r>
      <w:r w:rsidRPr="004E28BB">
        <w:tab/>
      </w:r>
      <w:r w:rsidR="00E174CC">
        <w:t>A</w:t>
      </w:r>
      <w:r w:rsidRPr="004E28BB">
        <w:t xml:space="preserve"> plan for providing education and training to the individual’s family members and/or support system</w:t>
      </w:r>
      <w:r w:rsidR="00E174CC">
        <w:t>.</w:t>
      </w:r>
    </w:p>
    <w:p w:rsidR="00DC10F4" w:rsidRPr="004E28BB" w:rsidRDefault="00DC10F4" w:rsidP="00D41D04">
      <w:pPr>
        <w:ind w:left="2160"/>
      </w:pPr>
      <w:r w:rsidRPr="004E28BB">
        <w:t>Constellations of communication-related deficits in TBI are extremely varied, depending on the characteristics of the individual who is injured, the nature, location, and severity of injury, and the post-trauma support systems. Coinciding with the great diversity within this group, there is a similar level of diversity in treatment approaches. These have been divided into various categories</w:t>
      </w:r>
      <w:r w:rsidR="00E174CC">
        <w:t>,</w:t>
      </w:r>
      <w:r w:rsidRPr="004E28BB">
        <w:t xml:space="preserve"> such as </w:t>
      </w:r>
      <w:r w:rsidR="00E174CC">
        <w:t>“</w:t>
      </w:r>
      <w:r w:rsidRPr="004E28BB">
        <w:t>conventional</w:t>
      </w:r>
      <w:r w:rsidR="00E174CC">
        <w:t>”</w:t>
      </w:r>
      <w:r w:rsidRPr="004E28BB">
        <w:t xml:space="preserve"> and </w:t>
      </w:r>
      <w:r w:rsidR="00E174CC">
        <w:t>“</w:t>
      </w:r>
      <w:r w:rsidRPr="004E28BB">
        <w:t>functional,</w:t>
      </w:r>
      <w:r w:rsidR="00E174CC">
        <w:t>”</w:t>
      </w:r>
      <w:r w:rsidRPr="004E28BB">
        <w:t xml:space="preserve"> or those </w:t>
      </w:r>
      <w:r w:rsidR="00E174CC">
        <w:t>who</w:t>
      </w:r>
      <w:r w:rsidRPr="004E28BB">
        <w:t xml:space="preserve"> seek to improve communicative functioning through a restorative, compensatory</w:t>
      </w:r>
      <w:r w:rsidR="00E174CC">
        <w:t>,</w:t>
      </w:r>
      <w:r w:rsidRPr="004E28BB">
        <w:t xml:space="preserve"> or behavioral approach. Experienced therapists commonly use a combination of such approaches, depending on the needs of each individual.</w:t>
      </w:r>
      <w:r w:rsidRPr="004E28BB">
        <w:br/>
      </w:r>
      <w:r w:rsidRPr="004E28BB">
        <w:br/>
        <w:t xml:space="preserve">For certain individuals, prosthetic or alternative augmentative communication (AAC) devices may be necessary to optimize communicative success. These include, but are not limited to: </w:t>
      </w:r>
      <w:r w:rsidR="00B6289B">
        <w:t>(</w:t>
      </w:r>
      <w:r w:rsidRPr="004E28BB">
        <w:t xml:space="preserve">1) palatial lift prostheses for velopharyngeal dysfunction resulting in severe impairment in speech intelligibility; and </w:t>
      </w:r>
      <w:r w:rsidR="00B6289B">
        <w:t>(</w:t>
      </w:r>
      <w:r w:rsidRPr="004E28BB">
        <w:t xml:space="preserve">2) augmentative or alternative communication devices which may be indicated when speech is inadequate for functional communication. AAC may involve the use of simple gesture systems, alphabet boards, pictures, word books, or sophisticated use of computer technology (speech generation devices). AAC strategies may enhance communicative participation by replacing, supplementing or scaffolding residual natural speech and providing a means of repairing disrupted communication. </w:t>
      </w:r>
      <w:r w:rsidRPr="004E28BB">
        <w:br/>
      </w:r>
      <w:r w:rsidRPr="004E28BB">
        <w:br/>
        <w:t xml:space="preserve">Melodic Intonation Therapy is a structured therapy </w:t>
      </w:r>
      <w:r w:rsidR="00E174CC">
        <w:t>that</w:t>
      </w:r>
      <w:r w:rsidRPr="004E28BB">
        <w:t xml:space="preserve"> trains verbal reproduction with melodically intoned phrases while tapping the patient’s hand. A number of case series have supported its use in cases with </w:t>
      </w:r>
      <w:r w:rsidR="003523DB">
        <w:t>non-fluent</w:t>
      </w:r>
      <w:r w:rsidR="003523DB" w:rsidRPr="004E28BB">
        <w:t xml:space="preserve"> </w:t>
      </w:r>
      <w:r w:rsidRPr="004E28BB">
        <w:t xml:space="preserve">aphasia </w:t>
      </w:r>
      <w:r w:rsidR="003523DB">
        <w:t xml:space="preserve">and/or </w:t>
      </w:r>
      <w:r w:rsidRPr="004E28BB">
        <w:t xml:space="preserve">auditory communication </w:t>
      </w:r>
      <w:r w:rsidR="003523DB">
        <w:t>deficits</w:t>
      </w:r>
      <w:r w:rsidRPr="004E28BB">
        <w:t xml:space="preserve"> </w:t>
      </w:r>
      <w:r w:rsidR="003523DB">
        <w:t xml:space="preserve">when there is </w:t>
      </w:r>
      <w:r w:rsidRPr="004E28BB">
        <w:t xml:space="preserve">minimal or no damage to the right hemisphere. The therapy can take place as late as </w:t>
      </w:r>
      <w:r w:rsidR="00316AC2">
        <w:t xml:space="preserve">six </w:t>
      </w:r>
      <w:r w:rsidRPr="004E28BB">
        <w:t xml:space="preserve">months </w:t>
      </w:r>
      <w:r w:rsidR="00DC0F11" w:rsidRPr="004E28BB">
        <w:t xml:space="preserve">or longer </w:t>
      </w:r>
      <w:r w:rsidRPr="004E28BB">
        <w:t>after injury</w:t>
      </w:r>
      <w:r w:rsidRPr="004E28BB">
        <w:rPr>
          <w:rStyle w:val="GuideCitesCharChar"/>
        </w:rPr>
        <w:t xml:space="preserve"> (</w:t>
      </w:r>
      <w:hyperlink w:anchor="VanderMeulen2012" w:history="1">
        <w:r w:rsidRPr="007944F7">
          <w:rPr>
            <w:rStyle w:val="Hyperlink"/>
            <w:rFonts w:cs="Arial"/>
            <w:highlight w:val="yellow"/>
          </w:rPr>
          <w:t>van der Muelen, 2012</w:t>
        </w:r>
      </w:hyperlink>
      <w:r w:rsidRPr="004E28BB">
        <w:rPr>
          <w:rStyle w:val="GuideCitesCharChar"/>
        </w:rPr>
        <w:t>)</w:t>
      </w:r>
      <w:r w:rsidR="00873B39" w:rsidRPr="004E28BB">
        <w:t xml:space="preserve">. </w:t>
      </w:r>
      <w:r w:rsidRPr="004E28BB">
        <w:t xml:space="preserve">It is </w:t>
      </w:r>
      <w:r w:rsidR="00DC0F11" w:rsidRPr="004E28BB">
        <w:t xml:space="preserve">often </w:t>
      </w:r>
      <w:r w:rsidRPr="004E28BB">
        <w:t>done 3</w:t>
      </w:r>
      <w:r w:rsidR="00E174CC">
        <w:t>–</w:t>
      </w:r>
      <w:r w:rsidRPr="004E28BB">
        <w:t xml:space="preserve">5 hours per week for </w:t>
      </w:r>
      <w:r w:rsidR="00316AC2">
        <w:t xml:space="preserve">six </w:t>
      </w:r>
      <w:r w:rsidRPr="004E28BB">
        <w:t xml:space="preserve">weeks. </w:t>
      </w:r>
      <w:r w:rsidR="0053165C">
        <w:t>Non-</w:t>
      </w:r>
      <w:r w:rsidRPr="004E28BB">
        <w:t>speech oral motor exercises on speech are another widely accepted therapy</w:t>
      </w:r>
      <w:r w:rsidRPr="004E28BB">
        <w:rPr>
          <w:rStyle w:val="GuideCitesCharChar"/>
        </w:rPr>
        <w:t xml:space="preserve"> (</w:t>
      </w:r>
      <w:hyperlink w:anchor="McCauley2009" w:history="1">
        <w:r w:rsidRPr="007944F7">
          <w:rPr>
            <w:rStyle w:val="Hyperlink"/>
            <w:rFonts w:cs="Arial"/>
            <w:highlight w:val="yellow"/>
          </w:rPr>
          <w:t>McCauley, 2009</w:t>
        </w:r>
      </w:hyperlink>
      <w:r w:rsidRPr="004E28BB">
        <w:rPr>
          <w:rStyle w:val="GuideCitesCharChar"/>
        </w:rPr>
        <w:t>)</w:t>
      </w:r>
      <w:r w:rsidR="00873B39" w:rsidRPr="004E28BB">
        <w:t>.</w:t>
      </w:r>
      <w:r w:rsidRPr="004E28BB">
        <w:rPr>
          <w:i/>
        </w:rPr>
        <w:br/>
      </w:r>
      <w:r w:rsidRPr="004E28BB">
        <w:br/>
        <w:t>The process of deciding on these techniques or devices and the training in their use is integrated into the individual’s ongoing evaluation and therapy plan.</w:t>
      </w:r>
      <w:r w:rsidRPr="004E28BB">
        <w:br/>
      </w:r>
      <w:r w:rsidRPr="004E28BB">
        <w:br/>
        <w:t>For moderate/severe TBI</w:t>
      </w:r>
      <w:r w:rsidR="00E174CC">
        <w:t>,</w:t>
      </w:r>
      <w:r w:rsidRPr="004E28BB">
        <w:t xml:space="preserve"> the following are recommended guidance</w:t>
      </w:r>
      <w:r w:rsidR="00E174CC">
        <w:t>:</w:t>
      </w:r>
    </w:p>
    <w:p w:rsidR="00DC10F4" w:rsidRPr="004E28BB" w:rsidRDefault="00DC10F4" w:rsidP="009C3DC2">
      <w:pPr>
        <w:numPr>
          <w:ilvl w:val="0"/>
          <w:numId w:val="13"/>
        </w:numPr>
      </w:pPr>
      <w:r w:rsidRPr="004E28BB">
        <w:t xml:space="preserve">Frequency: </w:t>
      </w:r>
      <w:r w:rsidR="00B6289B">
        <w:t>(</w:t>
      </w:r>
      <w:r w:rsidRPr="004E28BB">
        <w:t>1) Acute setting</w:t>
      </w:r>
      <w:r w:rsidR="007843ED">
        <w:t xml:space="preserve"> –</w:t>
      </w:r>
      <w:r w:rsidRPr="004E28BB">
        <w:t xml:space="preserve"> once to twice daily sessions</w:t>
      </w:r>
      <w:r w:rsidR="00D5039B">
        <w:t>;</w:t>
      </w:r>
      <w:r w:rsidRPr="004E28BB">
        <w:t xml:space="preserve"> </w:t>
      </w:r>
      <w:r w:rsidR="00B6289B">
        <w:t>(</w:t>
      </w:r>
      <w:r w:rsidRPr="004E28BB">
        <w:t>2)</w:t>
      </w:r>
      <w:r w:rsidR="003A29E1" w:rsidRPr="004E28BB">
        <w:t xml:space="preserve"> </w:t>
      </w:r>
      <w:r w:rsidR="007843ED">
        <w:t>Sub-</w:t>
      </w:r>
      <w:r w:rsidRPr="004E28BB">
        <w:t>acute or outpatient and home/community setting</w:t>
      </w:r>
      <w:r w:rsidR="007843ED">
        <w:t xml:space="preserve"> –</w:t>
      </w:r>
      <w:r w:rsidRPr="004E28BB">
        <w:t xml:space="preserve"> 1 to 5 sessions per week</w:t>
      </w:r>
      <w:r w:rsidR="00E174CC">
        <w:t>.</w:t>
      </w:r>
    </w:p>
    <w:p w:rsidR="00DC10F4" w:rsidRPr="004E28BB" w:rsidRDefault="00DC10F4" w:rsidP="00D41D04">
      <w:pPr>
        <w:ind w:left="2880" w:hanging="360"/>
      </w:pPr>
      <w:r w:rsidRPr="004E28BB">
        <w:sym w:font="Wingdings" w:char="F076"/>
      </w:r>
      <w:r w:rsidRPr="004E28BB">
        <w:tab/>
        <w:t xml:space="preserve">Optimum </w:t>
      </w:r>
      <w:r w:rsidR="00E174CC">
        <w:t>D</w:t>
      </w:r>
      <w:r w:rsidRPr="004E28BB">
        <w:t>uration: 12 weeks with re-evaluations at 4-week intervals. A minimum of 24 sessions for moderate/severe TBI</w:t>
      </w:r>
      <w:r w:rsidR="00E174CC">
        <w:t>.</w:t>
      </w:r>
    </w:p>
    <w:p w:rsidR="00DC10F4" w:rsidRPr="004E28BB" w:rsidRDefault="00DC10F4" w:rsidP="00D41D04">
      <w:pPr>
        <w:ind w:left="2880" w:hanging="360"/>
      </w:pPr>
      <w:r w:rsidRPr="004E28BB">
        <w:sym w:font="Wingdings" w:char="F076"/>
      </w:r>
      <w:r w:rsidRPr="004E28BB">
        <w:tab/>
        <w:t xml:space="preserve">Maximum </w:t>
      </w:r>
      <w:r w:rsidR="00E174CC">
        <w:t>D</w:t>
      </w:r>
      <w:r w:rsidRPr="004E28BB">
        <w:t xml:space="preserve">uration: </w:t>
      </w:r>
      <w:r w:rsidR="00E174CC">
        <w:t>I</w:t>
      </w:r>
      <w:r w:rsidRPr="004E28BB">
        <w:t>ntervention beyond 8 weeks requires documentation of continued functional progress towards established goals. Post</w:t>
      </w:r>
      <w:r w:rsidR="007843ED">
        <w:t>-</w:t>
      </w:r>
      <w:r w:rsidRPr="004E28BB">
        <w:t>acute therapy could extend for 6 to 12 months, or more, if the individual with TBI has significant speech impairment and is making gradual documented improvement.</w:t>
      </w:r>
    </w:p>
    <w:p w:rsidR="00840F42" w:rsidRPr="004E28BB" w:rsidRDefault="00DC10F4" w:rsidP="00D41D04">
      <w:pPr>
        <w:ind w:left="2160"/>
      </w:pPr>
      <w:r w:rsidRPr="004E28BB">
        <w:t>For MTBI</w:t>
      </w:r>
      <w:r w:rsidR="00B6289B">
        <w:t>,</w:t>
      </w:r>
      <w:r w:rsidRPr="004E28BB">
        <w:t xml:space="preserve"> treatment may be focused on attention, memory, and speed of processing with use of compensatory aids. Treatment usually parallels the guidelines set forth under cognitive therapy </w:t>
      </w:r>
      <w:r w:rsidR="00756447">
        <w:t>(r</w:t>
      </w:r>
      <w:r w:rsidRPr="004E28BB">
        <w:t xml:space="preserve">efer to </w:t>
      </w:r>
      <w:r w:rsidR="00E174CC">
        <w:t xml:space="preserve">Section </w:t>
      </w:r>
      <w:hyperlink w:anchor="TBIG3Cognition" w:history="1">
        <w:r w:rsidRPr="004E28BB">
          <w:rPr>
            <w:rStyle w:val="Hyperlink"/>
            <w:rFonts w:cs="Arial"/>
          </w:rPr>
          <w:t>G.3. Cognition</w:t>
        </w:r>
      </w:hyperlink>
      <w:r w:rsidR="00756447">
        <w:t>)</w:t>
      </w:r>
      <w:r w:rsidR="00E174CC">
        <w:t>.</w:t>
      </w:r>
      <w:r w:rsidRPr="004E28BB">
        <w:br/>
      </w:r>
      <w:r w:rsidRPr="004E28BB">
        <w:br/>
      </w:r>
      <w:r w:rsidRPr="004E28BB">
        <w:lastRenderedPageBreak/>
        <w:t xml:space="preserve">Ongoing reassessment and modification of therapy approaches is a part of skilled therapy and is especially necessary with the dynamic nature of communication impairment that occurs with TBI. Goal setting is an evolving and dynamic process that is pivotal to each therapy session. Because of wide variability in type, nature, and severity of communication impairments common to TBI, and the lack of unanimity in the literature with respect to the nature and temporal course of post-TBI communicative dysfunction, there </w:t>
      </w:r>
      <w:r w:rsidR="002523D1" w:rsidRPr="004E28BB">
        <w:t>should</w:t>
      </w:r>
      <w:r w:rsidRPr="004E28BB">
        <w:t xml:space="preserve"> be flexibility in frequency, intensity and duration of treatment. Many cases require follow-up visits at various points to assist individuals with changes in their life</w:t>
      </w:r>
      <w:r w:rsidR="00E174CC">
        <w:t>,</w:t>
      </w:r>
      <w:r w:rsidRPr="004E28BB">
        <w:t xml:space="preserve"> such as increasing job demands.</w:t>
      </w:r>
      <w:bookmarkEnd w:id="503"/>
    </w:p>
    <w:p w:rsidR="00DC10F4" w:rsidRPr="004E28BB" w:rsidRDefault="00840F42" w:rsidP="00D41D04">
      <w:pPr>
        <w:pStyle w:val="Guide1-ABC"/>
      </w:pPr>
      <w:r w:rsidRPr="004E28BB">
        <w:br w:type="page"/>
      </w:r>
      <w:bookmarkStart w:id="551" w:name="TBIKNonOp"/>
      <w:bookmarkStart w:id="552" w:name="_Toc394643409"/>
      <w:bookmarkEnd w:id="551"/>
      <w:r w:rsidR="00DC10F4" w:rsidRPr="004E28BB">
        <w:lastRenderedPageBreak/>
        <w:t xml:space="preserve">NONOPERATIVE THERAPEUTIC PROCEDURES – </w:t>
      </w:r>
      <w:r w:rsidR="00387A03">
        <w:t>RETURN TO WORK</w:t>
      </w:r>
      <w:r w:rsidR="00DC10F4" w:rsidRPr="004E28BB">
        <w:t>, DRIVING</w:t>
      </w:r>
      <w:r w:rsidR="00E174CC">
        <w:t>,</w:t>
      </w:r>
      <w:r w:rsidR="00DC10F4" w:rsidRPr="004E28BB">
        <w:t xml:space="preserve"> &amp; OTHER</w:t>
      </w:r>
      <w:bookmarkEnd w:id="552"/>
    </w:p>
    <w:p w:rsidR="00B47D3C" w:rsidRPr="004E28BB" w:rsidRDefault="00B47D3C" w:rsidP="009C3DC2">
      <w:pPr>
        <w:pStyle w:val="ListNumber2"/>
        <w:numPr>
          <w:ilvl w:val="1"/>
          <w:numId w:val="26"/>
        </w:numPr>
      </w:pPr>
      <w:bookmarkStart w:id="553" w:name="_Toc319922631"/>
      <w:bookmarkStart w:id="554" w:name="_Toc394643410"/>
      <w:r w:rsidRPr="004E28BB">
        <w:rPr>
          <w:rStyle w:val="Guide2-123Char"/>
        </w:rPr>
        <w:t>DRIVING</w:t>
      </w:r>
      <w:bookmarkEnd w:id="553"/>
      <w:bookmarkEnd w:id="554"/>
      <w:r w:rsidR="00B6289B" w:rsidRPr="004E28BB">
        <w:t>:</w:t>
      </w:r>
      <w:r w:rsidRPr="004E28BB">
        <w:t xml:space="preserve"> Independent driving is considered a complex activity of daily living. An individual’s potential for safe driving is influenced by an intricate interaction of physical, cognitive, visual</w:t>
      </w:r>
      <w:r w:rsidR="00E174CC">
        <w:t>,</w:t>
      </w:r>
      <w:r w:rsidRPr="004E28BB">
        <w:t xml:space="preserve"> and behavioral impairments. </w:t>
      </w:r>
      <w:r w:rsidRPr="004E28BB">
        <w:br/>
      </w:r>
      <w:r w:rsidRPr="004E28BB">
        <w:br/>
        <w:t xml:space="preserve">Self report of feeling confident with driving ability may not be reliable. Some studies of demential </w:t>
      </w:r>
      <w:r w:rsidR="00873B39" w:rsidRPr="004E28BB">
        <w:t>patients have demonstrated this</w:t>
      </w:r>
      <w:r w:rsidRPr="004E28BB">
        <w:rPr>
          <w:rStyle w:val="GuideCitesCharChar"/>
        </w:rPr>
        <w:t xml:space="preserve"> (</w:t>
      </w:r>
      <w:hyperlink w:anchor="Iverson2010" w:history="1">
        <w:r w:rsidRPr="00AA12AF">
          <w:rPr>
            <w:rStyle w:val="Hyperlink"/>
            <w:rFonts w:cs="Arial"/>
            <w:highlight w:val="yellow"/>
          </w:rPr>
          <w:t>Iverson, 2010</w:t>
        </w:r>
      </w:hyperlink>
      <w:r w:rsidRPr="004E28BB">
        <w:rPr>
          <w:rStyle w:val="GuideCitesCharChar"/>
        </w:rPr>
        <w:t>)</w:t>
      </w:r>
      <w:r w:rsidR="00873B39" w:rsidRPr="004E28BB">
        <w:t xml:space="preserve">. </w:t>
      </w:r>
      <w:r w:rsidRPr="004E28BB">
        <w:t>An individual’s ability to drive is typically evaluated and treated under physician orders by a certified driver rehabilitation specialist. Physicians, neuropsychologists, or rehabilitation therapists can perform an initial screening to determine driving ability by assessing visual acuity, visual fields, memory, visual perception, visual processing, visual spatial skills, selective and divided attention, executive skills, motor and sensory function</w:t>
      </w:r>
      <w:r w:rsidR="00873B39" w:rsidRPr="004E28BB">
        <w:t xml:space="preserve"> coordination, pain</w:t>
      </w:r>
      <w:r w:rsidR="00E174CC">
        <w:t>,</w:t>
      </w:r>
      <w:r w:rsidR="00873B39" w:rsidRPr="004E28BB">
        <w:t xml:space="preserve"> and fatigue</w:t>
      </w:r>
      <w:r w:rsidR="00676635">
        <w:rPr>
          <w:rStyle w:val="GuideCitesCharChar"/>
        </w:rPr>
        <w:t xml:space="preserve"> (</w:t>
      </w:r>
      <w:hyperlink w:anchor="Wang2010" w:history="1">
        <w:r w:rsidR="00676635" w:rsidRPr="00AA12AF">
          <w:rPr>
            <w:rStyle w:val="Hyperlink"/>
            <w:rFonts w:cs="Arial"/>
            <w:highlight w:val="yellow"/>
          </w:rPr>
          <w:t>Wang, 2010</w:t>
        </w:r>
      </w:hyperlink>
      <w:r w:rsidR="00676635">
        <w:rPr>
          <w:rStyle w:val="GuideCitesCharChar"/>
        </w:rPr>
        <w:t>)</w:t>
      </w:r>
      <w:r w:rsidRPr="004E28BB">
        <w:rPr>
          <w:rStyle w:val="GuideCitesCharChar"/>
        </w:rPr>
        <w:t xml:space="preserve">; </w:t>
      </w:r>
      <w:hyperlink w:anchor="DefCtrforExPsych2009" w:history="1">
        <w:r w:rsidRPr="00AA12AF">
          <w:rPr>
            <w:rStyle w:val="Hyperlink"/>
            <w:rFonts w:cs="Arial"/>
            <w:highlight w:val="yellow"/>
          </w:rPr>
          <w:t>Defense Centers for Excellence for Psychological Health and Traumatic Brain Injury</w:t>
        </w:r>
        <w:r w:rsidR="00031EA1" w:rsidRPr="00AA12AF">
          <w:rPr>
            <w:rStyle w:val="Hyperlink"/>
            <w:rFonts w:cs="Arial"/>
            <w:highlight w:val="yellow"/>
          </w:rPr>
          <w:t>, 2009</w:t>
        </w:r>
      </w:hyperlink>
      <w:r w:rsidRPr="00031EA1">
        <w:rPr>
          <w:rStyle w:val="GuideCitesCharChar"/>
          <w:highlight w:val="yellow"/>
        </w:rPr>
        <w:t>)</w:t>
      </w:r>
      <w:r w:rsidR="00873B39" w:rsidRPr="00031EA1">
        <w:rPr>
          <w:highlight w:val="yellow"/>
        </w:rPr>
        <w:t>.</w:t>
      </w:r>
      <w:r w:rsidR="00873B39" w:rsidRPr="004E28BB">
        <w:t xml:space="preserve"> </w:t>
      </w:r>
      <w:r w:rsidRPr="004E28BB">
        <w:t>The AMA suggests confrontational field testing, Snellen E acuity testing, Trail Making Test part B, clock drawi</w:t>
      </w:r>
      <w:r w:rsidR="000E3FC0">
        <w:t>ng test, and rapid pace test (walk</w:t>
      </w:r>
      <w:r w:rsidR="003C6F6D">
        <w:t xml:space="preserve"> </w:t>
      </w:r>
      <w:r w:rsidR="000E3FC0">
        <w:t>10</w:t>
      </w:r>
      <w:r w:rsidRPr="004E28BB">
        <w:t xml:space="preserve"> feet back and forth in </w:t>
      </w:r>
      <w:r w:rsidR="00603682">
        <w:t xml:space="preserve">nine </w:t>
      </w:r>
      <w:r w:rsidRPr="004E28BB">
        <w:t>seconds) as an initial screening</w:t>
      </w:r>
      <w:r w:rsidR="00E174CC">
        <w:t>,</w:t>
      </w:r>
      <w:r w:rsidRPr="004E28BB">
        <w:t xml:space="preserve"> along with </w:t>
      </w:r>
      <w:r w:rsidR="007C2488">
        <w:t>ROM</w:t>
      </w:r>
      <w:r w:rsidRPr="004E28BB">
        <w:t xml:space="preserve"> and</w:t>
      </w:r>
      <w:r w:rsidR="00873B39" w:rsidRPr="004E28BB">
        <w:t xml:space="preserve"> motor strength</w:t>
      </w:r>
      <w:r w:rsidR="003523DB">
        <w:t xml:space="preserve"> testing</w:t>
      </w:r>
      <w:r w:rsidR="00676635">
        <w:rPr>
          <w:rStyle w:val="GuideCitesCharChar"/>
        </w:rPr>
        <w:t xml:space="preserve"> (</w:t>
      </w:r>
      <w:hyperlink w:anchor="Wang2010" w:history="1">
        <w:r w:rsidR="00676635" w:rsidRPr="00AA12AF">
          <w:rPr>
            <w:rStyle w:val="Hyperlink"/>
            <w:rFonts w:cs="Arial"/>
            <w:highlight w:val="yellow"/>
          </w:rPr>
          <w:t>Wang, 2010</w:t>
        </w:r>
      </w:hyperlink>
      <w:r w:rsidRPr="004E28BB">
        <w:rPr>
          <w:rStyle w:val="GuideCitesCharChar"/>
        </w:rPr>
        <w:t>)</w:t>
      </w:r>
      <w:r w:rsidR="00873B39" w:rsidRPr="004E28BB">
        <w:t>.</w:t>
      </w:r>
      <w:r w:rsidRPr="004E28BB">
        <w:br/>
      </w:r>
      <w:r w:rsidRPr="004E28BB">
        <w:br/>
        <w:t>A thorough history should be taken which includes</w:t>
      </w:r>
      <w:r w:rsidR="00E174CC">
        <w:t>:</w:t>
      </w:r>
      <w:r w:rsidRPr="004E28BB">
        <w:t xml:space="preserve"> </w:t>
      </w:r>
      <w:r w:rsidR="001B3B4C">
        <w:t>(</w:t>
      </w:r>
      <w:r w:rsidRPr="004E28BB">
        <w:t>1) a review of all medication that might affect cognition or coordination</w:t>
      </w:r>
      <w:r w:rsidR="00E174CC">
        <w:t>;</w:t>
      </w:r>
      <w:r w:rsidRPr="004E28BB">
        <w:t xml:space="preserve"> </w:t>
      </w:r>
      <w:r w:rsidR="001B3B4C">
        <w:t>(</w:t>
      </w:r>
      <w:r w:rsidRPr="004E28BB">
        <w:t>2) screening for sleep apnea (BMI &gt;35, neck size &gt;</w:t>
      </w:r>
      <w:r w:rsidRPr="004E28BB" w:rsidDel="00CA2179">
        <w:t xml:space="preserve"> </w:t>
      </w:r>
      <w:r w:rsidRPr="004E28BB">
        <w:t>15.5 in, for</w:t>
      </w:r>
      <w:r w:rsidR="006054C0" w:rsidRPr="004E28BB">
        <w:t xml:space="preserve"> </w:t>
      </w:r>
      <w:r w:rsidRPr="004E28BB">
        <w:t xml:space="preserve">female or 17 in. for males, daytime sleepiness, Eppworth Sleepiness Scale score of 10 or greater, </w:t>
      </w:r>
      <w:r w:rsidR="00316AC2">
        <w:t>two</w:t>
      </w:r>
      <w:r w:rsidRPr="004E28BB">
        <w:t xml:space="preserve"> or more hypertension medications)</w:t>
      </w:r>
      <w:r w:rsidR="00E174CC">
        <w:t>;</w:t>
      </w:r>
      <w:r w:rsidRPr="004E28BB">
        <w:t xml:space="preserve"> </w:t>
      </w:r>
      <w:r w:rsidR="001B3B4C">
        <w:t>(</w:t>
      </w:r>
      <w:r w:rsidRPr="004E28BB">
        <w:t>3) history of accidents and/or tickets</w:t>
      </w:r>
      <w:r w:rsidR="00E174CC">
        <w:t>;</w:t>
      </w:r>
      <w:r w:rsidRPr="004E28BB">
        <w:t xml:space="preserve"> and </w:t>
      </w:r>
      <w:r w:rsidR="001B3B4C">
        <w:t>(</w:t>
      </w:r>
      <w:r w:rsidRPr="004E28BB">
        <w:t xml:space="preserve">4) consultation with </w:t>
      </w:r>
      <w:r w:rsidR="00387A03">
        <w:t>family and/or support system</w:t>
      </w:r>
      <w:r w:rsidRPr="004E28BB">
        <w:t xml:space="preserve"> members or others regarding driving ability. Reluctance of others to ride with the patient may be an indication of problems. Patients may also fill out surveys </w:t>
      </w:r>
      <w:r w:rsidR="00E174CC">
        <w:t>that</w:t>
      </w:r>
      <w:r w:rsidRPr="004E28BB">
        <w:t xml:space="preserve"> have some predictive abilities</w:t>
      </w:r>
      <w:r w:rsidR="006054C0" w:rsidRPr="00773307">
        <w:rPr>
          <w:rStyle w:val="GuideCitesCharChar"/>
        </w:rPr>
        <w:t xml:space="preserve"> </w:t>
      </w:r>
      <w:r w:rsidR="00E000CA" w:rsidRPr="00773307">
        <w:rPr>
          <w:rStyle w:val="GuideCitesCharChar"/>
        </w:rPr>
        <w:t>(</w:t>
      </w:r>
      <w:hyperlink w:anchor="AAA2011" w:history="1">
        <w:r w:rsidR="00E000CA" w:rsidRPr="00A83DB0">
          <w:rPr>
            <w:rStyle w:val="Hyperlink"/>
            <w:rFonts w:cs="Arial"/>
            <w:highlight w:val="yellow"/>
          </w:rPr>
          <w:t>American Automobile A</w:t>
        </w:r>
        <w:r w:rsidR="002E0D04" w:rsidRPr="00A83DB0">
          <w:rPr>
            <w:rStyle w:val="Hyperlink"/>
            <w:rFonts w:cs="Arial"/>
            <w:highlight w:val="yellow"/>
          </w:rPr>
          <w:t>ssociation [AAA], 2011</w:t>
        </w:r>
      </w:hyperlink>
      <w:r w:rsidR="002E0D04">
        <w:rPr>
          <w:rStyle w:val="GuideCitesCharChar"/>
          <w:highlight w:val="yellow"/>
        </w:rPr>
        <w:t xml:space="preserve">; </w:t>
      </w:r>
      <w:hyperlink w:anchor="Eby2010" w:history="1">
        <w:r w:rsidR="002E0D04" w:rsidRPr="00A83DB0">
          <w:rPr>
            <w:rStyle w:val="Hyperlink"/>
            <w:rFonts w:cs="Arial"/>
            <w:highlight w:val="yellow"/>
          </w:rPr>
          <w:t>Eby, 201</w:t>
        </w:r>
        <w:r w:rsidR="00E000CA" w:rsidRPr="00A83DB0">
          <w:rPr>
            <w:rStyle w:val="Hyperlink"/>
            <w:rFonts w:cs="Arial"/>
            <w:highlight w:val="yellow"/>
          </w:rPr>
          <w:t>0</w:t>
        </w:r>
      </w:hyperlink>
      <w:r w:rsidR="00E000CA" w:rsidRPr="00773307">
        <w:rPr>
          <w:rStyle w:val="GuideCitesCharChar"/>
        </w:rPr>
        <w:t>)</w:t>
      </w:r>
      <w:r w:rsidR="00E000CA">
        <w:t xml:space="preserve">. </w:t>
      </w:r>
      <w:r w:rsidRPr="004E28BB">
        <w:t>Unfortunately</w:t>
      </w:r>
      <w:r w:rsidR="00E174CC">
        <w:t>,</w:t>
      </w:r>
      <w:r w:rsidRPr="004E28BB">
        <w:t xml:space="preserve"> at the time of this guideline</w:t>
      </w:r>
      <w:r w:rsidR="00E174CC">
        <w:t>,</w:t>
      </w:r>
      <w:r w:rsidRPr="004E28BB">
        <w:t xml:space="preserve"> there is no evidence for the use of one system of assessment over an</w:t>
      </w:r>
      <w:r w:rsidR="00873B39" w:rsidRPr="004E28BB">
        <w:t>other to predict driving skills</w:t>
      </w:r>
      <w:r w:rsidRPr="00773307">
        <w:rPr>
          <w:rStyle w:val="GuideCitesCharChar"/>
        </w:rPr>
        <w:t xml:space="preserve"> (</w:t>
      </w:r>
      <w:hyperlink w:anchor="Marino2012" w:history="1">
        <w:r w:rsidRPr="00A83DB0">
          <w:rPr>
            <w:rStyle w:val="Hyperlink"/>
            <w:rFonts w:cs="Arial"/>
            <w:highlight w:val="yellow"/>
          </w:rPr>
          <w:t>Marino, 2012</w:t>
        </w:r>
      </w:hyperlink>
      <w:r w:rsidRPr="00CC1088">
        <w:rPr>
          <w:rStyle w:val="GuideCitesCharChar"/>
          <w:highlight w:val="yellow"/>
        </w:rPr>
        <w:t xml:space="preserve">; </w:t>
      </w:r>
      <w:r w:rsidR="00023827" w:rsidRPr="00CC1088">
        <w:rPr>
          <w:rStyle w:val="GuideCitesCharChar"/>
          <w:highlight w:val="yellow"/>
        </w:rPr>
        <w:t>[</w:t>
      </w:r>
      <w:hyperlink w:anchor="Martin2009" w:history="1">
        <w:r w:rsidR="00023827" w:rsidRPr="00A83DB0">
          <w:rPr>
            <w:rStyle w:val="Hyperlink"/>
            <w:rFonts w:cs="Arial"/>
            <w:highlight w:val="yellow"/>
          </w:rPr>
          <w:t xml:space="preserve">Cochrane] </w:t>
        </w:r>
        <w:r w:rsidR="00DA698E" w:rsidRPr="00A83DB0">
          <w:rPr>
            <w:rStyle w:val="Hyperlink"/>
            <w:rFonts w:cs="Arial"/>
            <w:highlight w:val="yellow"/>
          </w:rPr>
          <w:t>Martin, 2009</w:t>
        </w:r>
      </w:hyperlink>
      <w:r w:rsidRPr="00773307">
        <w:rPr>
          <w:rStyle w:val="GuideCitesCharChar"/>
        </w:rPr>
        <w:t>)</w:t>
      </w:r>
      <w:r w:rsidR="00873B39" w:rsidRPr="004E28BB">
        <w:t>.</w:t>
      </w:r>
      <w:r w:rsidR="00357E52" w:rsidRPr="004E28BB">
        <w:br/>
      </w:r>
      <w:r w:rsidRPr="004E28BB">
        <w:br/>
        <w:t>In addition, the treatment and evaluation process may require the services of a:</w:t>
      </w:r>
    </w:p>
    <w:p w:rsidR="00B47D3C" w:rsidRPr="004E28BB" w:rsidRDefault="00B47D3C" w:rsidP="00D41D04">
      <w:pPr>
        <w:ind w:left="2160" w:hanging="360"/>
      </w:pPr>
      <w:r w:rsidRPr="004E28BB">
        <w:t>●</w:t>
      </w:r>
      <w:r w:rsidRPr="004E28BB">
        <w:tab/>
        <w:t>Commercial driver trainer for driving practice</w:t>
      </w:r>
      <w:r w:rsidR="00B6289B">
        <w:t>.</w:t>
      </w:r>
    </w:p>
    <w:p w:rsidR="00B47D3C" w:rsidRPr="004E28BB" w:rsidRDefault="00B47D3C" w:rsidP="00D41D04">
      <w:pPr>
        <w:ind w:left="2160" w:hanging="360"/>
      </w:pPr>
      <w:r w:rsidRPr="004E28BB">
        <w:t>●</w:t>
      </w:r>
      <w:r w:rsidRPr="004E28BB">
        <w:tab/>
        <w:t>Ophthalmologist or optometrist for visual evaluation</w:t>
      </w:r>
      <w:r w:rsidR="00B6289B">
        <w:t>.</w:t>
      </w:r>
    </w:p>
    <w:p w:rsidR="00B47D3C" w:rsidRPr="004E28BB" w:rsidRDefault="00B47D3C" w:rsidP="00D41D04">
      <w:pPr>
        <w:ind w:left="2160" w:hanging="360"/>
      </w:pPr>
      <w:r w:rsidRPr="004E28BB">
        <w:t>●</w:t>
      </w:r>
      <w:r w:rsidRPr="004E28BB">
        <w:tab/>
        <w:t>Commercial vendor and rehab engineer for adaptive equipment</w:t>
      </w:r>
      <w:r w:rsidR="00B6289B">
        <w:t>.</w:t>
      </w:r>
    </w:p>
    <w:p w:rsidR="00B47D3C" w:rsidRPr="004E28BB" w:rsidRDefault="00B47D3C" w:rsidP="00D41D04">
      <w:pPr>
        <w:ind w:left="2160" w:hanging="360"/>
      </w:pPr>
      <w:r w:rsidRPr="004E28BB">
        <w:t>●</w:t>
      </w:r>
      <w:r w:rsidRPr="004E28BB">
        <w:tab/>
        <w:t>Neuropsychologist for cognitive evaluation</w:t>
      </w:r>
      <w:r w:rsidR="00B6289B">
        <w:t>.</w:t>
      </w:r>
    </w:p>
    <w:p w:rsidR="00B47D3C" w:rsidRPr="004E28BB" w:rsidRDefault="00B47D3C" w:rsidP="00D41D04">
      <w:pPr>
        <w:ind w:left="2160" w:hanging="360"/>
      </w:pPr>
      <w:r w:rsidRPr="004E28BB">
        <w:t>●</w:t>
      </w:r>
      <w:r w:rsidRPr="004E28BB">
        <w:tab/>
        <w:t>Speech-</w:t>
      </w:r>
      <w:r w:rsidR="00E174CC">
        <w:t>l</w:t>
      </w:r>
      <w:r w:rsidRPr="004E28BB">
        <w:t>anguage patholog</w:t>
      </w:r>
      <w:r w:rsidR="00E174CC">
        <w:t>ist</w:t>
      </w:r>
      <w:r w:rsidRPr="004E28BB">
        <w:t xml:space="preserve"> for communication evaluation and compensatory strategies</w:t>
      </w:r>
      <w:r w:rsidR="00B6289B">
        <w:t>.</w:t>
      </w:r>
    </w:p>
    <w:p w:rsidR="00B47D3C" w:rsidRPr="004E28BB" w:rsidRDefault="00B47D3C" w:rsidP="00D41D04">
      <w:pPr>
        <w:ind w:left="2160" w:hanging="360"/>
      </w:pPr>
      <w:r w:rsidRPr="004E28BB">
        <w:t>●</w:t>
      </w:r>
      <w:r w:rsidRPr="004E28BB">
        <w:tab/>
        <w:t>Occupational or physical</w:t>
      </w:r>
      <w:r w:rsidR="006054C0" w:rsidRPr="004E28BB">
        <w:t xml:space="preserve"> </w:t>
      </w:r>
      <w:r w:rsidRPr="004E28BB">
        <w:t>therapist with expertise in acquired brain injury</w:t>
      </w:r>
      <w:r w:rsidR="00B6289B">
        <w:t>.</w:t>
      </w:r>
    </w:p>
    <w:p w:rsidR="00B47D3C" w:rsidRPr="004E28BB" w:rsidRDefault="00B47D3C" w:rsidP="00D41D04">
      <w:pPr>
        <w:ind w:left="1440"/>
      </w:pPr>
      <w:r w:rsidRPr="004E28BB">
        <w:t>Public and personal safety and compliance with state department of motor vehicles procedures ultimately determine individual driving privileges. Evaluation and treatment typically occur during the post-acute phase of rehabilitation. Usually</w:t>
      </w:r>
      <w:r w:rsidR="00E174CC">
        <w:t>,</w:t>
      </w:r>
      <w:r w:rsidRPr="004E28BB">
        <w:t xml:space="preserve"> successful driving results are obtained within the first two years post-injury, but this is not always the case.</w:t>
      </w:r>
    </w:p>
    <w:p w:rsidR="00B47D3C" w:rsidRPr="004E28BB" w:rsidRDefault="00B47D3C" w:rsidP="00D41D04">
      <w:pPr>
        <w:ind w:left="2160" w:hanging="360"/>
      </w:pPr>
      <w:r w:rsidRPr="004E28BB">
        <w:sym w:font="Wingdings" w:char="F076"/>
      </w:r>
      <w:r w:rsidRPr="004E28BB">
        <w:tab/>
        <w:t xml:space="preserve">Frequency and </w:t>
      </w:r>
      <w:r w:rsidR="00E174CC">
        <w:t>T</w:t>
      </w:r>
      <w:r w:rsidRPr="004E28BB">
        <w:t xml:space="preserve">ime to </w:t>
      </w:r>
      <w:r w:rsidR="00E174CC">
        <w:t>P</w:t>
      </w:r>
      <w:r w:rsidRPr="004E28BB">
        <w:t xml:space="preserve">roduce </w:t>
      </w:r>
      <w:r w:rsidR="00E174CC">
        <w:t>E</w:t>
      </w:r>
      <w:r w:rsidRPr="004E28BB">
        <w:t xml:space="preserve">ffect: </w:t>
      </w:r>
      <w:r w:rsidR="00E174CC">
        <w:t>E</w:t>
      </w:r>
      <w:r w:rsidRPr="004E28BB">
        <w:t>valuation time of a minimum of 1 to 2 sessions to evaluate physical, perceptual, cognitive</w:t>
      </w:r>
      <w:r w:rsidR="00E174CC">
        <w:t>,</w:t>
      </w:r>
      <w:r w:rsidRPr="004E28BB">
        <w:t xml:space="preserve"> and behavioral skills and for collaboration with other interdisciplinary team members</w:t>
      </w:r>
      <w:r w:rsidR="00E174CC">
        <w:t>.</w:t>
      </w:r>
    </w:p>
    <w:p w:rsidR="00B47D3C" w:rsidRPr="004E28BB" w:rsidRDefault="00B47D3C" w:rsidP="00D41D04">
      <w:pPr>
        <w:ind w:left="2160" w:hanging="360"/>
      </w:pPr>
      <w:r w:rsidRPr="004E28BB">
        <w:lastRenderedPageBreak/>
        <w:sym w:font="Wingdings" w:char="F076"/>
      </w:r>
      <w:r w:rsidRPr="004E28BB">
        <w:tab/>
        <w:t xml:space="preserve">Optimum </w:t>
      </w:r>
      <w:r w:rsidR="00E174CC">
        <w:t>D</w:t>
      </w:r>
      <w:r w:rsidRPr="004E28BB">
        <w:t xml:space="preserve">uration: </w:t>
      </w:r>
      <w:r w:rsidR="00E174CC">
        <w:t xml:space="preserve">Between 2 to 6 sessions of </w:t>
      </w:r>
      <w:r w:rsidRPr="004E28BB">
        <w:t>behind-the-wheel driving evaluation and training on the road</w:t>
      </w:r>
      <w:r w:rsidR="00E174CC">
        <w:t>.</w:t>
      </w:r>
    </w:p>
    <w:p w:rsidR="00B47D3C" w:rsidRPr="004E28BB" w:rsidRDefault="00B47D3C" w:rsidP="00D41D04">
      <w:pPr>
        <w:ind w:left="1440"/>
      </w:pPr>
      <w:r w:rsidRPr="004E28BB">
        <w:t xml:space="preserve">If the individual fails the evaluation, he or she may be required to participate in additional driving practice and repeat the behind-the-wheel test, or to wait </w:t>
      </w:r>
      <w:r w:rsidR="00316AC2">
        <w:t xml:space="preserve">three </w:t>
      </w:r>
      <w:r w:rsidRPr="004E28BB">
        <w:t>months or longer to repeat the evaluation. The evaluation may be repeated at 3</w:t>
      </w:r>
      <w:r w:rsidR="00527940">
        <w:t>-</w:t>
      </w:r>
      <w:r w:rsidRPr="004E28BB">
        <w:t xml:space="preserve"> to 12-month intervals as determined by the evaluator and physician. Several repeat assessments may be necessary to determine safe driving readiness</w:t>
      </w:r>
      <w:r w:rsidR="00023827" w:rsidRPr="004E28BB">
        <w:t>.</w:t>
      </w:r>
    </w:p>
    <w:p w:rsidR="00B47D3C" w:rsidRPr="004E28BB" w:rsidRDefault="00B47D3C" w:rsidP="00D41D04">
      <w:pPr>
        <w:ind w:left="1440"/>
      </w:pPr>
      <w:r w:rsidRPr="004E28BB">
        <w:t>Recommendations and physician prescriptions for necessary adaptive equipment and vehicle modification for safe driving or for dependent passenger transport in vehicles may be necessary. Van lifts and other adaptive equipment and vehicle modifications may be required for dependent individuals in order to provide access to community services and activities. Therapeutic assistance is necessary to help the individual and physician comply with state department of motor vehicles standards for practices and procedures for driver’s licensure.</w:t>
      </w:r>
      <w:r w:rsidRPr="004E28BB">
        <w:br/>
      </w:r>
      <w:r w:rsidRPr="004E28BB">
        <w:br/>
        <w:t>Significant and multiple cognitive impairments, as well as motor and visual impairment, may decrease, delay</w:t>
      </w:r>
      <w:r w:rsidR="00527940">
        <w:t>,</w:t>
      </w:r>
      <w:r w:rsidRPr="004E28BB">
        <w:t xml:space="preserve"> or prevent an individual from achieving functional driving independence. Important cognitive factors include ability to make complex judgments, organize information, anticipate and/or react quickly, maintain self-control</w:t>
      </w:r>
      <w:r w:rsidR="00527940">
        <w:t>,</w:t>
      </w:r>
      <w:r w:rsidRPr="004E28BB">
        <w:t xml:space="preserve"> and other factors. Individuals with </w:t>
      </w:r>
      <w:r w:rsidR="00527940">
        <w:t>m</w:t>
      </w:r>
      <w:r w:rsidRPr="004E28BB">
        <w:t>oderate/</w:t>
      </w:r>
      <w:r w:rsidR="00527940">
        <w:t>s</w:t>
      </w:r>
      <w:r w:rsidRPr="004E28BB">
        <w:t>evere TBI may or may not be able to successfully compensate for these impairments.</w:t>
      </w:r>
    </w:p>
    <w:p w:rsidR="00B47D3C" w:rsidRPr="004E28BB" w:rsidRDefault="00387A03" w:rsidP="00D41D04">
      <w:pPr>
        <w:pStyle w:val="ListNumber2"/>
      </w:pPr>
      <w:bookmarkStart w:id="555" w:name="TBIG22ReturnToWork"/>
      <w:bookmarkStart w:id="556" w:name="TBIK2ReturnToWork"/>
      <w:bookmarkStart w:id="557" w:name="_Toc394643411"/>
      <w:bookmarkEnd w:id="555"/>
      <w:bookmarkEnd w:id="556"/>
      <w:r>
        <w:rPr>
          <w:rStyle w:val="Guide2-123Char"/>
        </w:rPr>
        <w:t>RETURN TO WORK</w:t>
      </w:r>
      <w:bookmarkEnd w:id="557"/>
      <w:r w:rsidR="00B6289B" w:rsidRPr="004E28BB">
        <w:t>:</w:t>
      </w:r>
      <w:r w:rsidR="00B47D3C" w:rsidRPr="004E28BB">
        <w:t xml:space="preserve"> In addition to the treatment strategies described below, practitioners should be familiar with how various state and federal statutes and regulations may impact return</w:t>
      </w:r>
      <w:r w:rsidR="00527940">
        <w:t>-</w:t>
      </w:r>
      <w:r w:rsidR="00B47D3C" w:rsidRPr="004E28BB">
        <w:t>to</w:t>
      </w:r>
      <w:r w:rsidR="00527940">
        <w:t>-</w:t>
      </w:r>
      <w:r w:rsidR="00B47D3C" w:rsidRPr="004E28BB">
        <w:t>work planning. These may include, but are not limited to, Family and Medical Leave Act (FMLA), Americans with Disabilities Act (ADA), Occupational Health and Safety Administration (OSHA), Federal Motor Carrier Safety Administration (FMCSA), and the Department of Transportation (DOT). One study found a relationship between perceived self-efficacy in cognitive areas and life</w:t>
      </w:r>
      <w:r w:rsidR="00527940">
        <w:t xml:space="preserve"> </w:t>
      </w:r>
      <w:r w:rsidR="00B47D3C" w:rsidRPr="004E28BB">
        <w:t xml:space="preserve">satisfaction. The same study found a relationship with employed or </w:t>
      </w:r>
      <w:r w:rsidR="00B14389" w:rsidRPr="004E28BB">
        <w:t>voluntary work and satisfaction</w:t>
      </w:r>
      <w:r w:rsidR="00B47D3C" w:rsidRPr="004E28BB">
        <w:rPr>
          <w:rStyle w:val="GuideCitesCharChar"/>
        </w:rPr>
        <w:t xml:space="preserve"> (</w:t>
      </w:r>
      <w:hyperlink w:anchor="Cicerone2007" w:history="1">
        <w:r w:rsidR="00B47D3C" w:rsidRPr="00A83DB0">
          <w:rPr>
            <w:rStyle w:val="Hyperlink"/>
            <w:rFonts w:cs="Arial"/>
            <w:highlight w:val="yellow"/>
          </w:rPr>
          <w:t>Cicerone, 2007</w:t>
        </w:r>
      </w:hyperlink>
      <w:r w:rsidR="00B47D3C" w:rsidRPr="004E28BB">
        <w:rPr>
          <w:rStyle w:val="GuideCitesCharChar"/>
        </w:rPr>
        <w:t>)</w:t>
      </w:r>
      <w:r w:rsidR="00B14389" w:rsidRPr="004E28BB">
        <w:t>. In places where the employer is unable to accommodate, other options include sheltered work shops.</w:t>
      </w:r>
    </w:p>
    <w:p w:rsidR="00B47D3C" w:rsidRPr="004E28BB" w:rsidRDefault="00527940" w:rsidP="00D41D04">
      <w:pPr>
        <w:pStyle w:val="ListNumber3"/>
      </w:pPr>
      <w:bookmarkStart w:id="558" w:name="_Toc319922633"/>
      <w:bookmarkStart w:id="559" w:name="_Toc394643412"/>
      <w:r>
        <w:rPr>
          <w:rStyle w:val="Guide3-abcdChar"/>
        </w:rPr>
        <w:t>Return to W</w:t>
      </w:r>
      <w:r w:rsidR="00387A03">
        <w:rPr>
          <w:rStyle w:val="Guide3-abcdChar"/>
        </w:rPr>
        <w:t>ork</w:t>
      </w:r>
      <w:r w:rsidR="004B4B64">
        <w:rPr>
          <w:rStyle w:val="Guide3-abcdChar"/>
        </w:rPr>
        <w:t xml:space="preserve"> – </w:t>
      </w:r>
      <w:r w:rsidR="00B47D3C" w:rsidRPr="004E28BB">
        <w:rPr>
          <w:rStyle w:val="Guide3-abcdChar"/>
        </w:rPr>
        <w:t>MTBI</w:t>
      </w:r>
      <w:bookmarkEnd w:id="558"/>
      <w:bookmarkEnd w:id="559"/>
      <w:r w:rsidR="00B47D3C" w:rsidRPr="004E28BB">
        <w:t>: During the first five days post</w:t>
      </w:r>
      <w:r w:rsidR="007843ED">
        <w:t>-</w:t>
      </w:r>
      <w:r w:rsidR="00B47D3C" w:rsidRPr="004E28BB">
        <w:t>injury</w:t>
      </w:r>
      <w:r>
        <w:t>,</w:t>
      </w:r>
      <w:r w:rsidR="00B47D3C" w:rsidRPr="004E28BB">
        <w:t xml:space="preserve"> symptoms can be severe and significantly disrupt normal daily function. Initial considerations should include lightening task load and allowing extra time to complete normal tasks. Thus</w:t>
      </w:r>
      <w:r>
        <w:t>,</w:t>
      </w:r>
      <w:r w:rsidR="00B47D3C" w:rsidRPr="004E28BB">
        <w:t xml:space="preserve"> shortening the work day or adding breaks, along with decreased responsibility for the first several weeks are generally suggested. Driving, heavy lifting, working with dangerous machinery</w:t>
      </w:r>
      <w:r w:rsidR="003710B5" w:rsidRPr="004E28BB">
        <w:t>, use of ladders,</w:t>
      </w:r>
      <w:r w:rsidR="00B47D3C" w:rsidRPr="004E28BB">
        <w:t xml:space="preserve"> and</w:t>
      </w:r>
      <w:r w:rsidR="00202675">
        <w:t xml:space="preserve"> </w:t>
      </w:r>
      <w:r w:rsidR="00B47D3C" w:rsidRPr="004E28BB">
        <w:t>heights may be restricted because of possible safety risk</w:t>
      </w:r>
      <w:r w:rsidR="00B47D3C" w:rsidRPr="00773307">
        <w:rPr>
          <w:rStyle w:val="GuideCitesCharChar"/>
        </w:rPr>
        <w:t xml:space="preserve"> (</w:t>
      </w:r>
      <w:hyperlink w:anchor="CDCnd" w:history="1">
        <w:r w:rsidR="00B47D3C" w:rsidRPr="00A83DB0">
          <w:rPr>
            <w:rStyle w:val="Hyperlink"/>
            <w:rFonts w:cs="Arial"/>
            <w:highlight w:val="yellow"/>
          </w:rPr>
          <w:t>Centers for Disease Control and Prevention. U.S. Department of Health and Human Services</w:t>
        </w:r>
        <w:r w:rsidR="00DA698E" w:rsidRPr="00A83DB0">
          <w:rPr>
            <w:rStyle w:val="Hyperlink"/>
            <w:rFonts w:cs="Arial"/>
            <w:highlight w:val="yellow"/>
          </w:rPr>
          <w:t>, n.d</w:t>
        </w:r>
      </w:hyperlink>
      <w:r w:rsidR="00DA698E" w:rsidRPr="00CC1088">
        <w:rPr>
          <w:rStyle w:val="GuideCitesCharChar"/>
          <w:highlight w:val="yellow"/>
        </w:rPr>
        <w:t>.</w:t>
      </w:r>
      <w:r w:rsidR="00B47D3C" w:rsidRPr="00CC1088">
        <w:rPr>
          <w:rStyle w:val="GuideCitesCharChar"/>
          <w:highlight w:val="yellow"/>
        </w:rPr>
        <w:t>)</w:t>
      </w:r>
      <w:r w:rsidR="00873B39" w:rsidRPr="00CC1088">
        <w:rPr>
          <w:highlight w:val="yellow"/>
        </w:rPr>
        <w:t>.</w:t>
      </w:r>
      <w:r w:rsidR="00873B39" w:rsidRPr="004E28BB">
        <w:t xml:space="preserve"> </w:t>
      </w:r>
      <w:r w:rsidR="00B47D3C" w:rsidRPr="004E28BB">
        <w:t>For individuals with MTBI who have persistent deficits, or who have difficulty once back at work, a return to work program requires a carefully designed and managed plan involving the person with TBI, his/her employer</w:t>
      </w:r>
      <w:r>
        <w:t>,</w:t>
      </w:r>
      <w:r w:rsidR="00B47D3C" w:rsidRPr="004E28BB">
        <w:t xml:space="preserve"> and the treatment team. Physicians should consider evaluation and treatment for co-morbid conditions such as chronic pain, stress level, pre-existing personality disorders,</w:t>
      </w:r>
      <w:r w:rsidR="006054C0" w:rsidRPr="004E28BB">
        <w:t xml:space="preserve"> </w:t>
      </w:r>
      <w:r w:rsidR="00B47D3C" w:rsidRPr="004E28BB">
        <w:t xml:space="preserve">depression, anxiety, and/or substance abuse. Communication among all involved parties and the avoidance of fragmentation among treatment professionals is critical to successful outcome. Case management may be indicated to facilitate communication. Following return to work, maintenance support services are appropriate to best insure the durability of </w:t>
      </w:r>
      <w:r>
        <w:t xml:space="preserve">the </w:t>
      </w:r>
      <w:r w:rsidR="00B47D3C" w:rsidRPr="004E28BB">
        <w:t>outcome.</w:t>
      </w:r>
      <w:r w:rsidR="00B47D3C" w:rsidRPr="004E28BB">
        <w:br/>
      </w:r>
      <w:r w:rsidR="00B47D3C" w:rsidRPr="004E28BB">
        <w:br/>
        <w:t xml:space="preserve">Following MTBI, many individuals are able to resume normal work duties with secondary prevention precautions and education requiring little or no additional </w:t>
      </w:r>
      <w:r w:rsidR="00B47D3C" w:rsidRPr="004E28BB">
        <w:lastRenderedPageBreak/>
        <w:t>therapeutic intervention. A smaller percentage of individuals with MTBI at the upper end of the definition</w:t>
      </w:r>
      <w:r>
        <w:t>,</w:t>
      </w:r>
      <w:r w:rsidR="00B47D3C" w:rsidRPr="004E28BB">
        <w:t xml:space="preserve"> such as age greater than 40, prior TBI, loss of consciousness close to 30 minutes</w:t>
      </w:r>
      <w:r>
        <w:t>,</w:t>
      </w:r>
      <w:r w:rsidR="00B47D3C" w:rsidRPr="004E28BB">
        <w:t xml:space="preserve"> or mental status changes lasting up to 24 hours, may require more assistance in return to work and accommodations. Individuals with MTBI should be instructed to temporarily reduce the amount, type</w:t>
      </w:r>
      <w:r>
        <w:t>,</w:t>
      </w:r>
      <w:r w:rsidR="00B47D3C" w:rsidRPr="004E28BB">
        <w:t xml:space="preserve"> and/or intensity of their work duties or temporarily remain out of work entirely for the first three days and gradually increase complex cognitive and physical duties based on symptomology.</w:t>
      </w:r>
      <w:r w:rsidR="00B47D3C" w:rsidRPr="004E28BB">
        <w:br/>
      </w:r>
      <w:r w:rsidR="00B47D3C" w:rsidRPr="004E28BB">
        <w:br/>
        <w:t>If workers with MTBI have any loss of consciousness or prolonged disorientation, providers should consider restricting higher risk job duties, such as working at heights, working with power tools and operating heavy machinery, until they have been free from the symptoms, including dizziness,</w:t>
      </w:r>
      <w:r w:rsidR="003710B5" w:rsidRPr="004E28BB">
        <w:t xml:space="preserve"> and imbalance</w:t>
      </w:r>
      <w:r w:rsidR="00B47D3C" w:rsidRPr="004E28BB">
        <w:t xml:space="preserve"> for two weeks. Second impact syndrome (</w:t>
      </w:r>
      <w:r w:rsidR="00756447">
        <w:t>r</w:t>
      </w:r>
      <w:r w:rsidR="00B47D3C" w:rsidRPr="004E28BB">
        <w:t xml:space="preserve">efer to </w:t>
      </w:r>
      <w:r w:rsidR="00811C8B">
        <w:t>Section</w:t>
      </w:r>
      <w:r w:rsidR="00B47D3C" w:rsidRPr="004E28BB">
        <w:t xml:space="preserve"> </w:t>
      </w:r>
      <w:hyperlink w:anchor="TBIC10bSecondaryPrevention" w:history="1">
        <w:r w:rsidR="00B47D3C" w:rsidRPr="004E28BB">
          <w:rPr>
            <w:rStyle w:val="Hyperlink"/>
            <w:rFonts w:cs="Arial"/>
          </w:rPr>
          <w:t>C.10.b Secondary Prevention</w:t>
        </w:r>
      </w:hyperlink>
      <w:r w:rsidR="00B47D3C" w:rsidRPr="004E28BB">
        <w:t xml:space="preserve">) has been seen in younger age groups who suffer severe life threatening effects after a second brain injury within a short </w:t>
      </w:r>
      <w:r>
        <w:t>time after</w:t>
      </w:r>
      <w:r w:rsidR="00B47D3C" w:rsidRPr="004E28BB">
        <w:t xml:space="preserve"> the first </w:t>
      </w:r>
      <w:r>
        <w:t>TBI</w:t>
      </w:r>
      <w:r w:rsidR="00B47D3C" w:rsidRPr="004E28BB">
        <w:t>. Physicians should take this into account when writing work restrictions.</w:t>
      </w:r>
      <w:r w:rsidR="00B47D3C" w:rsidRPr="004E28BB">
        <w:br/>
      </w:r>
      <w:r w:rsidR="00B47D3C" w:rsidRPr="004E28BB">
        <w:br/>
        <w:t>Return to full duty depends on the rate of decrease of symptoms. Generally</w:t>
      </w:r>
      <w:r>
        <w:t>,</w:t>
      </w:r>
      <w:r w:rsidR="00B47D3C" w:rsidRPr="004E28BB">
        <w:t xml:space="preserve"> if symptoms recur during increasing job duties or exertion, duti</w:t>
      </w:r>
      <w:r w:rsidR="00873B39" w:rsidRPr="004E28BB">
        <w:t>es should be decreased slightly</w:t>
      </w:r>
      <w:r w:rsidR="00B47D3C" w:rsidRPr="004E28BB">
        <w:rPr>
          <w:rStyle w:val="GuideCitesCharChar"/>
        </w:rPr>
        <w:t xml:space="preserve"> (</w:t>
      </w:r>
      <w:hyperlink w:anchor="DefandVetsTBIctr2008" w:history="1">
        <w:r w:rsidR="00B47D3C" w:rsidRPr="00A83DB0">
          <w:rPr>
            <w:rStyle w:val="Hyperlink"/>
            <w:rFonts w:cs="Arial"/>
            <w:highlight w:val="yellow"/>
          </w:rPr>
          <w:t>Defense and Veterans Brain Injury Center, 2008</w:t>
        </w:r>
      </w:hyperlink>
      <w:r w:rsidR="00B47D3C" w:rsidRPr="004E28BB">
        <w:rPr>
          <w:rStyle w:val="GuideCitesCharChar"/>
        </w:rPr>
        <w:t>)</w:t>
      </w:r>
      <w:r w:rsidR="00873B39" w:rsidRPr="004E28BB">
        <w:t xml:space="preserve">. </w:t>
      </w:r>
      <w:r w:rsidR="00B47D3C" w:rsidRPr="004E28BB">
        <w:t>For cases with symptoms lasting longer than 15 minutes at the time of the injury, unconsciousness lasting minutes or prolonged amnesia, very gradual return to activity ov</w:t>
      </w:r>
      <w:r w:rsidR="00873B39" w:rsidRPr="004E28BB">
        <w:t>er weeks may be necessary</w:t>
      </w:r>
      <w:r w:rsidR="00B47D3C" w:rsidRPr="004E28BB">
        <w:rPr>
          <w:rStyle w:val="GuideCitesCharChar"/>
        </w:rPr>
        <w:t xml:space="preserve"> (</w:t>
      </w:r>
      <w:hyperlink w:anchor="Frey2009" w:history="1">
        <w:r w:rsidR="00B47D3C" w:rsidRPr="00A83DB0">
          <w:rPr>
            <w:rStyle w:val="Hyperlink"/>
            <w:rFonts w:cs="Arial"/>
            <w:highlight w:val="yellow"/>
          </w:rPr>
          <w:t>Frey, 2009</w:t>
        </w:r>
      </w:hyperlink>
      <w:r w:rsidR="00B47D3C" w:rsidRPr="004E28BB">
        <w:rPr>
          <w:rStyle w:val="GuideCitesCharChar"/>
        </w:rPr>
        <w:t>)</w:t>
      </w:r>
      <w:r w:rsidR="00873B39" w:rsidRPr="004E28BB">
        <w:t>.</w:t>
      </w:r>
      <w:r w:rsidR="00B47D3C" w:rsidRPr="004E28BB">
        <w:br/>
      </w:r>
      <w:r w:rsidR="00B47D3C" w:rsidRPr="004E28BB">
        <w:br/>
        <w:t>Post-concussion symptoms in workers with MTBI may include cognitive deficits in memory, attention</w:t>
      </w:r>
      <w:r>
        <w:t>,</w:t>
      </w:r>
      <w:r w:rsidR="00B47D3C" w:rsidRPr="004E28BB">
        <w:t xml:space="preserve"> and executive function. Physicians should be aware of this, even if the worker has no complaints/symptoms. Memory, attention</w:t>
      </w:r>
      <w:r>
        <w:t>,</w:t>
      </w:r>
      <w:r w:rsidR="00B47D3C" w:rsidRPr="004E28BB">
        <w:t xml:space="preserve"> and executive function should be tested by asking specific questions regarding recent events and having </w:t>
      </w:r>
      <w:r>
        <w:t xml:space="preserve">the </w:t>
      </w:r>
      <w:r w:rsidR="00B47D3C" w:rsidRPr="004E28BB">
        <w:t xml:space="preserve">individual perform specified tasks. Physicians should educate the individual with TBI and their supervisor to be aware of possible memory and attention deficits and </w:t>
      </w:r>
      <w:r>
        <w:t xml:space="preserve">to </w:t>
      </w:r>
      <w:r w:rsidR="00B47D3C" w:rsidRPr="004E28BB">
        <w:t xml:space="preserve">accommodate accordingly. Time to return to baseline function will differ according to the individual’s pre-accident condition, age, </w:t>
      </w:r>
      <w:r>
        <w:t xml:space="preserve">and </w:t>
      </w:r>
      <w:r w:rsidR="00B47D3C" w:rsidRPr="004E28BB">
        <w:t>medication</w:t>
      </w:r>
      <w:r>
        <w:t>,</w:t>
      </w:r>
      <w:r w:rsidR="00B47D3C" w:rsidRPr="004E28BB">
        <w:t xml:space="preserve"> a</w:t>
      </w:r>
      <w:r>
        <w:t>s well as</w:t>
      </w:r>
      <w:r w:rsidR="00B47D3C" w:rsidRPr="004E28BB">
        <w:t xml:space="preserve"> other pre-injury, injury, and post-injury factors. </w:t>
      </w:r>
      <w:r w:rsidR="009B0153">
        <w:t>The individual should be competent in most basic ADLs before return</w:t>
      </w:r>
      <w:r w:rsidR="001D127F">
        <w:t xml:space="preserve"> </w:t>
      </w:r>
      <w:r w:rsidR="009B0153">
        <w:t>to</w:t>
      </w:r>
      <w:r w:rsidR="001D127F">
        <w:t xml:space="preserve"> </w:t>
      </w:r>
      <w:r w:rsidR="009B0153">
        <w:t>work is considered.</w:t>
      </w:r>
      <w:r w:rsidR="00B065A0" w:rsidRPr="004E28BB">
        <w:br/>
      </w:r>
      <w:r w:rsidR="00B47D3C" w:rsidRPr="004E28BB">
        <w:br/>
        <w:t>Physicians should attempt to be clear and specific in documenting vocational restrictions and have a plan for re-entry to work and communication with the employer (e.g., supervisor, safety officer, employee health nurse). Having a significant physical disability, psychosocial impairment, cognitive impairment, or a history of alcohol and other substance abuse are factors that impede return to work. Other factors impeding return to work include difficulties regarding transportation, coordination</w:t>
      </w:r>
      <w:r>
        <w:t>,</w:t>
      </w:r>
      <w:r w:rsidR="00B47D3C" w:rsidRPr="004E28BB">
        <w:t xml:space="preserve"> and vision. An interdisciplinary team approach may be recommended, which may include a neuropsychological assessment, vocational evaluation, job site analysis, early contact with employer, assessment of vocational feasibility, supervisor education, transferable skills analysis, skillful increased titration of job duties and demands, job coaching, physical</w:t>
      </w:r>
      <w:r>
        <w:t xml:space="preserve"> therapy</w:t>
      </w:r>
      <w:r w:rsidR="00B47D3C" w:rsidRPr="004E28BB">
        <w:t xml:space="preserve">, occupational </w:t>
      </w:r>
      <w:r>
        <w:t xml:space="preserve">therapy, </w:t>
      </w:r>
      <w:r w:rsidR="00B47D3C" w:rsidRPr="004E28BB">
        <w:t>speech-language therapy</w:t>
      </w:r>
      <w:r>
        <w:t>,</w:t>
      </w:r>
      <w:r w:rsidR="00B47D3C" w:rsidRPr="004E28BB">
        <w:t xml:space="preserve"> and psychological services.</w:t>
      </w:r>
      <w:r w:rsidR="00B47D3C" w:rsidRPr="004E28BB">
        <w:br/>
      </w:r>
      <w:r w:rsidR="00B47D3C" w:rsidRPr="004E28BB">
        <w:br/>
        <w:t>For individuals with MTBI who have persistent deficits, or who have difficulty once back at work, a return</w:t>
      </w:r>
      <w:r>
        <w:t>-</w:t>
      </w:r>
      <w:r w:rsidR="00B47D3C" w:rsidRPr="004E28BB">
        <w:t>to</w:t>
      </w:r>
      <w:r>
        <w:t>-</w:t>
      </w:r>
      <w:r w:rsidR="00B47D3C" w:rsidRPr="004E28BB">
        <w:t>work program should occur</w:t>
      </w:r>
      <w:r>
        <w:t>,</w:t>
      </w:r>
      <w:r w:rsidR="00B47D3C" w:rsidRPr="004E28BB">
        <w:t xml:space="preserve"> which requires a carefully designed and managed plan involving the person with TBI, his/her employer</w:t>
      </w:r>
      <w:r>
        <w:t>,</w:t>
      </w:r>
      <w:r w:rsidR="00B47D3C" w:rsidRPr="004E28BB">
        <w:t xml:space="preserve"> and the treatment team. Physicians should consider evaluation and treatment for co-morbidities</w:t>
      </w:r>
      <w:r>
        <w:t>,</w:t>
      </w:r>
      <w:r w:rsidR="00B47D3C" w:rsidRPr="004E28BB">
        <w:t xml:space="preserve"> such as chronic pain, stress level, pre-existing personality disorders, depression, anxiety, or substance abuse. Communication </w:t>
      </w:r>
      <w:r w:rsidR="00B47D3C" w:rsidRPr="004E28BB">
        <w:lastRenderedPageBreak/>
        <w:t>among all involved parties and the avoidance of fragmentation among treatment professionals is critical to successful outcome. Case management may be indicated to facilitate communication.</w:t>
      </w:r>
      <w:r w:rsidR="006054C0" w:rsidRPr="004E28BB">
        <w:t xml:space="preserve"> </w:t>
      </w:r>
      <w:r w:rsidR="00B47D3C" w:rsidRPr="004E28BB">
        <w:t xml:space="preserve">Following return to work, maintenance support services are appropriate to best insure the durability of </w:t>
      </w:r>
      <w:r>
        <w:t xml:space="preserve">the </w:t>
      </w:r>
      <w:r w:rsidR="00B47D3C" w:rsidRPr="004E28BB">
        <w:t>outcome.</w:t>
      </w:r>
    </w:p>
    <w:p w:rsidR="00B47D3C" w:rsidRPr="004E28BB" w:rsidRDefault="00B47D3C" w:rsidP="00D41D04">
      <w:pPr>
        <w:pStyle w:val="ListNumber3"/>
      </w:pPr>
      <w:bookmarkStart w:id="560" w:name="_Toc319922634"/>
      <w:bookmarkStart w:id="561" w:name="_Toc394643413"/>
      <w:r w:rsidRPr="004E28BB">
        <w:rPr>
          <w:rStyle w:val="Guide3-abcdChar"/>
        </w:rPr>
        <w:t>Return to Work</w:t>
      </w:r>
      <w:r w:rsidR="004B4B64">
        <w:rPr>
          <w:rStyle w:val="Guide3-abcdChar"/>
        </w:rPr>
        <w:t xml:space="preserve"> – </w:t>
      </w:r>
      <w:r w:rsidRPr="004E28BB">
        <w:rPr>
          <w:rStyle w:val="Guide3-abcdChar"/>
        </w:rPr>
        <w:t>Moderate/</w:t>
      </w:r>
      <w:r w:rsidR="00D93980">
        <w:rPr>
          <w:rStyle w:val="Guide3-abcdChar"/>
        </w:rPr>
        <w:t>S</w:t>
      </w:r>
      <w:r w:rsidRPr="004E28BB">
        <w:rPr>
          <w:rStyle w:val="Guide3-abcdChar"/>
        </w:rPr>
        <w:t>evere TBI</w:t>
      </w:r>
      <w:bookmarkEnd w:id="560"/>
      <w:bookmarkEnd w:id="561"/>
      <w:r w:rsidRPr="004E28BB">
        <w:t>: Following moderate/severe TBI, some individuals are unable to return to work. Successful return to work among individuals with moderate/severe injury may require an interdisciplinary approach including neuropsychological assessment, speech-language assessment, functional capacity evaluation, job site analysis, early contact with employer, assessment of vocational feasibility, transferable skills analysis, supervisor education, job coaching, skillful increased titration of job duties and demands, mental health, family counseling</w:t>
      </w:r>
      <w:r w:rsidR="00D93980">
        <w:t>,</w:t>
      </w:r>
      <w:r w:rsidRPr="004E28BB">
        <w:t xml:space="preserve"> and follow-up services.</w:t>
      </w:r>
    </w:p>
    <w:p w:rsidR="00B47D3C" w:rsidRPr="004E28BB" w:rsidRDefault="00B47D3C" w:rsidP="00D41D04">
      <w:pPr>
        <w:pStyle w:val="ListNumber3"/>
      </w:pPr>
      <w:bookmarkStart w:id="562" w:name="_Toc319922635"/>
      <w:bookmarkStart w:id="563" w:name="_Toc394643414"/>
      <w:r w:rsidRPr="004E28BB">
        <w:rPr>
          <w:rStyle w:val="Guide3-abcdChar"/>
        </w:rPr>
        <w:t xml:space="preserve">The </w:t>
      </w:r>
      <w:r w:rsidR="00D93980">
        <w:rPr>
          <w:rStyle w:val="Guide3-abcdChar"/>
        </w:rPr>
        <w:t>F</w:t>
      </w:r>
      <w:r w:rsidRPr="004E28BB">
        <w:rPr>
          <w:rStyle w:val="Guide3-abcdChar"/>
        </w:rPr>
        <w:t xml:space="preserve">ollowing </w:t>
      </w:r>
      <w:r w:rsidR="00D93980">
        <w:rPr>
          <w:rStyle w:val="Guide3-abcdChar"/>
        </w:rPr>
        <w:t>S</w:t>
      </w:r>
      <w:r w:rsidRPr="004E28BB">
        <w:rPr>
          <w:rStyle w:val="Guide3-abcdChar"/>
        </w:rPr>
        <w:t xml:space="preserve">hould be </w:t>
      </w:r>
      <w:r w:rsidR="00D93980">
        <w:rPr>
          <w:rStyle w:val="Guide3-abcdChar"/>
        </w:rPr>
        <w:t>C</w:t>
      </w:r>
      <w:r w:rsidRPr="004E28BB">
        <w:rPr>
          <w:rStyle w:val="Guide3-abcdChar"/>
        </w:rPr>
        <w:t xml:space="preserve">onsidered when </w:t>
      </w:r>
      <w:r w:rsidR="00D93980">
        <w:rPr>
          <w:rStyle w:val="Guide3-abcdChar"/>
        </w:rPr>
        <w:t>A</w:t>
      </w:r>
      <w:r w:rsidRPr="004E28BB">
        <w:rPr>
          <w:rStyle w:val="Guide3-abcdChar"/>
        </w:rPr>
        <w:t xml:space="preserve">ttempting to </w:t>
      </w:r>
      <w:r w:rsidR="00D93980">
        <w:rPr>
          <w:rStyle w:val="Guide3-abcdChar"/>
        </w:rPr>
        <w:t>R</w:t>
      </w:r>
      <w:r w:rsidRPr="004E28BB">
        <w:rPr>
          <w:rStyle w:val="Guide3-abcdChar"/>
        </w:rPr>
        <w:t xml:space="preserve">eturn an </w:t>
      </w:r>
      <w:r w:rsidR="00D93980">
        <w:rPr>
          <w:rStyle w:val="Guide3-abcdChar"/>
        </w:rPr>
        <w:t>I</w:t>
      </w:r>
      <w:r w:rsidRPr="004E28BB">
        <w:rPr>
          <w:rStyle w:val="Guide3-abcdChar"/>
        </w:rPr>
        <w:t xml:space="preserve">njured </w:t>
      </w:r>
      <w:r w:rsidR="00D93980">
        <w:rPr>
          <w:rStyle w:val="Guide3-abcdChar"/>
        </w:rPr>
        <w:t>W</w:t>
      </w:r>
      <w:r w:rsidRPr="004E28BB">
        <w:rPr>
          <w:rStyle w:val="Guide3-abcdChar"/>
        </w:rPr>
        <w:t xml:space="preserve">orker with Moderate/Severe TBI to </w:t>
      </w:r>
      <w:r w:rsidR="00D93980">
        <w:rPr>
          <w:rStyle w:val="Guide3-abcdChar"/>
        </w:rPr>
        <w:t>W</w:t>
      </w:r>
      <w:r w:rsidRPr="004E28BB">
        <w:rPr>
          <w:rStyle w:val="Guide3-abcdChar"/>
        </w:rPr>
        <w:t>ork</w:t>
      </w:r>
      <w:bookmarkEnd w:id="562"/>
      <w:bookmarkEnd w:id="563"/>
      <w:r w:rsidRPr="004E28BB">
        <w:t>:</w:t>
      </w:r>
    </w:p>
    <w:p w:rsidR="00B47D3C" w:rsidRPr="004E28BB" w:rsidRDefault="00B47D3C" w:rsidP="00D41D04">
      <w:pPr>
        <w:pStyle w:val="ListNumber4"/>
      </w:pPr>
      <w:r w:rsidRPr="004E28BB">
        <w:rPr>
          <w:rStyle w:val="Guide4-i"/>
        </w:rPr>
        <w:t>Job History Interview</w:t>
      </w:r>
      <w:r w:rsidRPr="004E28BB">
        <w:t>: The authorized treating physician should perform a job history interview at the time of the initial evaluation and before any plan of treatment is established. Documentation should include the workers’ job demands, stressors, duties of current job, and duties of job at the time of the initial injury. In addition, cognitive and social issues should be identified</w:t>
      </w:r>
      <w:r w:rsidR="00F23CC5">
        <w:t>,</w:t>
      </w:r>
      <w:r w:rsidRPr="004E28BB">
        <w:t xml:space="preserve"> and treatment of these issues should be incorporated into the plan of care.</w:t>
      </w:r>
    </w:p>
    <w:p w:rsidR="00B47D3C" w:rsidRPr="004E28BB" w:rsidRDefault="00B47D3C" w:rsidP="00D41D04">
      <w:pPr>
        <w:pStyle w:val="ListNumber4"/>
      </w:pPr>
      <w:r w:rsidRPr="004E28BB">
        <w:rPr>
          <w:rStyle w:val="Guide4-i"/>
        </w:rPr>
        <w:t>Coordination of Care</w:t>
      </w:r>
      <w:r w:rsidRPr="004E28BB">
        <w:t xml:space="preserve">: Management of the case is a significant part of </w:t>
      </w:r>
      <w:r w:rsidR="00387A03">
        <w:t>return to work</w:t>
      </w:r>
      <w:r w:rsidRPr="004E28BB">
        <w:t xml:space="preserve"> and may be the responsibility of the authorized treating physician, occupational health nurse, risk manager, or others. Case management is a method of communication between the primary provider, referral providers, insurer, employer, and employee. Because case management may be coordinated by a variety of professionals, the case manager should be identified in the medical record.</w:t>
      </w:r>
    </w:p>
    <w:p w:rsidR="00B47D3C" w:rsidRPr="004E28BB" w:rsidRDefault="00B47D3C" w:rsidP="00D41D04">
      <w:pPr>
        <w:pStyle w:val="ListNumber4"/>
      </w:pPr>
      <w:r w:rsidRPr="004E28BB">
        <w:rPr>
          <w:rStyle w:val="Guide4-i"/>
        </w:rPr>
        <w:t>Communication</w:t>
      </w:r>
      <w:r w:rsidRPr="004E28BB">
        <w:t xml:space="preserve">: </w:t>
      </w:r>
      <w:r w:rsidR="00F23CC5">
        <w:t>E</w:t>
      </w:r>
      <w:r w:rsidRPr="004E28BB">
        <w:t xml:space="preserve">ssential between the patient, authorized treating physician, employer, and insurer. Employers should be contacted to verify employment status, job duties and demands, and policies regarding injured workers. In addition, availability </w:t>
      </w:r>
      <w:r w:rsidR="00F23CC5">
        <w:t xml:space="preserve">and duration </w:t>
      </w:r>
      <w:r w:rsidRPr="004E28BB">
        <w:t>of temporary and permanent restrictions, as well as other placement options</w:t>
      </w:r>
      <w:r w:rsidR="00F23CC5">
        <w:t>,</w:t>
      </w:r>
      <w:r w:rsidRPr="004E28BB">
        <w:t xml:space="preserve"> should be discussed and documented. All communications in the absence of the patient are required to be documented and made available to the patient.</w:t>
      </w:r>
    </w:p>
    <w:p w:rsidR="00B47D3C" w:rsidRPr="004E28BB" w:rsidRDefault="00B47D3C" w:rsidP="00D41D04">
      <w:pPr>
        <w:pStyle w:val="ListNumber4"/>
      </w:pPr>
      <w:r w:rsidRPr="004E28BB">
        <w:rPr>
          <w:rStyle w:val="Guide4-i"/>
        </w:rPr>
        <w:t>Establishment of Return-To-Work Status</w:t>
      </w:r>
      <w:r w:rsidRPr="004E28BB">
        <w:t xml:space="preserve">: </w:t>
      </w:r>
      <w:r w:rsidR="00387A03">
        <w:t>Return to work</w:t>
      </w:r>
      <w:r w:rsidRPr="004E28BB">
        <w:t xml:space="preserve"> for persons with TBI should be thought of as therapeutic, assuming that work is not likely to aggravate the basic problem or increase discomfort. In most cases of TBI, the worker may not be currently working or even employed. The goal of </w:t>
      </w:r>
      <w:r w:rsidR="00387A03">
        <w:t>return to work</w:t>
      </w:r>
      <w:r w:rsidRPr="004E28BB">
        <w:t xml:space="preserve"> would be to implement a plan of care to return the worker to any level of employment with the current employer or to return them to any type of new employment.</w:t>
      </w:r>
    </w:p>
    <w:p w:rsidR="00B47D3C" w:rsidRPr="004E28BB" w:rsidRDefault="00B47D3C" w:rsidP="00D41D04">
      <w:pPr>
        <w:pStyle w:val="ListNumber4"/>
      </w:pPr>
      <w:r w:rsidRPr="004E28BB">
        <w:rPr>
          <w:rStyle w:val="Guide4-i"/>
        </w:rPr>
        <w:t>Establishment of Activity Level Restrictions</w:t>
      </w:r>
      <w:r w:rsidRPr="004E28BB">
        <w:t xml:space="preserve">: A formal job description for the injured/ill employee who is employed is necessary to identify physical and cognitive demands at work and assist in the creation of modified duty. A job site evaluation may be utilized to identify tasks such as pushing, pulling, lifting, reaching above shoulder level, grasping, pinching, sitting, standing, posture, </w:t>
      </w:r>
      <w:r w:rsidR="00B14389" w:rsidRPr="004E28BB">
        <w:t xml:space="preserve">balance, </w:t>
      </w:r>
      <w:r w:rsidRPr="004E28BB">
        <w:t xml:space="preserve">ambulatory distance and </w:t>
      </w:r>
      <w:r w:rsidRPr="004E28BB">
        <w:lastRenderedPageBreak/>
        <w:t xml:space="preserve">terrain, and if applicable, environment for temperature, air flow, noise, </w:t>
      </w:r>
      <w:r w:rsidR="00B14389" w:rsidRPr="004E28BB">
        <w:t xml:space="preserve">tolerance for scanning, scrolling and other computer use, </w:t>
      </w:r>
      <w:r w:rsidRPr="004E28BB">
        <w:t>cognitive activities</w:t>
      </w:r>
      <w:r w:rsidR="00EE30AD">
        <w:t>,</w:t>
      </w:r>
      <w:r w:rsidRPr="004E28BB">
        <w:t xml:space="preserve"> and the number of hours that may be worked per day. Due to the lack of predictability regarding exacerbation of symptoms affecting function, an extended </w:t>
      </w:r>
      <w:r w:rsidR="00EE30AD">
        <w:t xml:space="preserve">and </w:t>
      </w:r>
      <w:r w:rsidRPr="004E28BB">
        <w:t>occupationally focused functional capacity evaluation may be necessary to determine the patient’s tolerance for job type tasks over a continuing period of time. Work capacity should usually be evaluated with an FCE or through assessment by occupational or physical therapists with experience</w:t>
      </w:r>
      <w:r w:rsidR="006054C0" w:rsidRPr="004E28BB">
        <w:t xml:space="preserve"> </w:t>
      </w:r>
      <w:r w:rsidRPr="004E28BB">
        <w:t>in acquired brain injury treatment. Work restrictions assigned by the authorized treating physician may be temporary or permanent. The case manager should continue to seek out modified work until restrictions become less cumbersome or as the worker’s condition improves or deteriorates.</w:t>
      </w:r>
    </w:p>
    <w:p w:rsidR="00B47D3C" w:rsidRPr="004E28BB" w:rsidRDefault="00B47D3C" w:rsidP="00D41D04">
      <w:pPr>
        <w:pStyle w:val="ListNumber4"/>
      </w:pPr>
      <w:r w:rsidRPr="004E28BB">
        <w:rPr>
          <w:rStyle w:val="Guide4-i"/>
        </w:rPr>
        <w:t xml:space="preserve">Rehabilitation and </w:t>
      </w:r>
      <w:r w:rsidR="00EE30AD">
        <w:rPr>
          <w:rStyle w:val="Guide4-i"/>
        </w:rPr>
        <w:t>Return to W</w:t>
      </w:r>
      <w:r w:rsidR="00387A03">
        <w:rPr>
          <w:rStyle w:val="Guide4-i"/>
        </w:rPr>
        <w:t>ork</w:t>
      </w:r>
      <w:r w:rsidRPr="004E28BB">
        <w:t>: As part of rehabilitation, every attempt should be made to simulate work activities so that the authorized treating physician may promote adequate job performance. The use of ergonomic or adaptive equipment, therapeutic breaks, assistive devices</w:t>
      </w:r>
      <w:r w:rsidR="00EE30AD">
        <w:t>,</w:t>
      </w:r>
      <w:r w:rsidRPr="004E28BB">
        <w:t xml:space="preserve"> and interventional modalities at work may be necessary to maintain employment.</w:t>
      </w:r>
    </w:p>
    <w:p w:rsidR="00B47D3C" w:rsidRPr="004E28BB" w:rsidRDefault="00B47D3C" w:rsidP="00D41D04">
      <w:pPr>
        <w:pStyle w:val="ListNumber4"/>
      </w:pPr>
      <w:r w:rsidRPr="004E28BB">
        <w:rPr>
          <w:rStyle w:val="Guide4-i"/>
        </w:rPr>
        <w:t>Vocational Assistance</w:t>
      </w:r>
      <w:r w:rsidRPr="004E28BB">
        <w:t xml:space="preserve">: Formal vocational rehabilitation is a generally accepted intervention and can assist disabled persons to return to viable employment. Assisting patients to identify vocational goals will facilitate medical recovery and aid in the maintenance of MMI by </w:t>
      </w:r>
      <w:r w:rsidR="001B3B4C">
        <w:t>(</w:t>
      </w:r>
      <w:r w:rsidRPr="004E28BB">
        <w:t xml:space="preserve">1) increasing motivation towards treatment and </w:t>
      </w:r>
      <w:r w:rsidR="001B3B4C">
        <w:t>(</w:t>
      </w:r>
      <w:r w:rsidRPr="004E28BB">
        <w:t>2) alleviating the patient’s emotional distress. TBI patients will benefit most if vocational assistance is provided during the interdisciplinary rehabilitation phase of treatment. To assess the patient’s vocational capacity, a vocational assessment utilizing the information from occupational and physical therapy assessments may be utilized to identify rehabilitation program goals, as well as optimize both patient motivation and utilization of rehabilitation resources. This may be extremely helpful in decreasing the patient’s fear regarding an inability to earn a living which can add to their anxiety and depression.</w:t>
      </w:r>
    </w:p>
    <w:p w:rsidR="00B47D3C" w:rsidRPr="004E28BB" w:rsidRDefault="00B47D3C" w:rsidP="00D41D04">
      <w:pPr>
        <w:pStyle w:val="ListNumber2"/>
      </w:pPr>
      <w:bookmarkStart w:id="564" w:name="_Toc319922636"/>
      <w:bookmarkStart w:id="565" w:name="_Toc394643415"/>
      <w:r w:rsidRPr="004E28BB">
        <w:rPr>
          <w:rStyle w:val="Guide2-123Char"/>
        </w:rPr>
        <w:t>VOCATIONAL REHABILITATION</w:t>
      </w:r>
      <w:bookmarkEnd w:id="564"/>
      <w:bookmarkEnd w:id="565"/>
      <w:r w:rsidR="0069203C" w:rsidRPr="004E28BB">
        <w:t>:</w:t>
      </w:r>
      <w:r w:rsidRPr="004E28BB">
        <w:t xml:space="preserve"> </w:t>
      </w:r>
      <w:r w:rsidR="00EE30AD">
        <w:t>A</w:t>
      </w:r>
      <w:r w:rsidRPr="004E28BB">
        <w:t xml:space="preserve"> generally accepted intervention, but </w:t>
      </w:r>
      <w:r w:rsidR="00EE30AD">
        <w:t xml:space="preserve">the </w:t>
      </w:r>
      <w:r w:rsidRPr="004E28BB">
        <w:t xml:space="preserve">Colorado Workers’ Compensation statute limits its use. In one study, an acquired brain injury vocational rehabilitation program was successful at returning 41% of clients to competitive employment. The majority of the cases were </w:t>
      </w:r>
      <w:r w:rsidR="001B3B4C">
        <w:t>two</w:t>
      </w:r>
      <w:r w:rsidRPr="004E28BB">
        <w:t xml:space="preserve"> years or more from date of injury and had injuries classified as severe (post</w:t>
      </w:r>
      <w:r w:rsidR="007843ED">
        <w:t>-</w:t>
      </w:r>
      <w:r w:rsidRPr="004E28BB">
        <w:t xml:space="preserve">traumatic amnesia duration of </w:t>
      </w:r>
      <w:r w:rsidR="001B3B4C">
        <w:t>one</w:t>
      </w:r>
      <w:r w:rsidRPr="004E28BB">
        <w:t xml:space="preserve"> or more days)</w:t>
      </w:r>
      <w:r w:rsidR="003523DB">
        <w:t>.</w:t>
      </w:r>
      <w:r w:rsidRPr="004E28BB">
        <w:t xml:space="preserve"> </w:t>
      </w:r>
      <w:r w:rsidR="003523DB">
        <w:t xml:space="preserve">These cases were also </w:t>
      </w:r>
      <w:r w:rsidRPr="004E28BB">
        <w:t xml:space="preserve">without significant behavior or problems and able to function independently for </w:t>
      </w:r>
      <w:r w:rsidR="0049733A">
        <w:t>ADLs</w:t>
      </w:r>
      <w:r w:rsidRPr="004E28BB">
        <w:t>. The program included cognitive training for those who had not previously received it and jo</w:t>
      </w:r>
      <w:r w:rsidR="00873B39" w:rsidRPr="004E28BB">
        <w:t>b trials with job coach support</w:t>
      </w:r>
      <w:r w:rsidRPr="00773307">
        <w:rPr>
          <w:rStyle w:val="GuideCitesCharChar"/>
        </w:rPr>
        <w:t xml:space="preserve"> (</w:t>
      </w:r>
      <w:hyperlink w:anchor="Murphy2006" w:history="1">
        <w:r w:rsidRPr="00A83DB0">
          <w:rPr>
            <w:rStyle w:val="Hyperlink"/>
            <w:rFonts w:cs="Arial"/>
            <w:highlight w:val="yellow"/>
          </w:rPr>
          <w:t>Murphy, 2006</w:t>
        </w:r>
      </w:hyperlink>
      <w:r w:rsidRPr="00773307">
        <w:rPr>
          <w:rStyle w:val="GuideCitesCharChar"/>
        </w:rPr>
        <w:t>)</w:t>
      </w:r>
      <w:r w:rsidR="00873B39" w:rsidRPr="004E28BB">
        <w:t xml:space="preserve">. </w:t>
      </w:r>
      <w:r w:rsidRPr="004E28BB">
        <w:t xml:space="preserve">Initiation of vocational rehabilitation requires adequate evaluation of individuals with TBI for quantification of highest functional level, motivation and achievement of </w:t>
      </w:r>
      <w:r w:rsidR="00B05FF1">
        <w:t>MMI</w:t>
      </w:r>
      <w:r w:rsidRPr="004E28BB">
        <w:t xml:space="preserve">. Vocational rehabilitation should involve a comprehensive job analysis and a carefully planned return to work strategy. In some instances, retraining may need to occur to access new job markets </w:t>
      </w:r>
      <w:r w:rsidR="00756447">
        <w:t>(r</w:t>
      </w:r>
      <w:r w:rsidRPr="004E28BB">
        <w:t xml:space="preserve">efer to </w:t>
      </w:r>
      <w:r w:rsidR="00811C8B">
        <w:t>Section</w:t>
      </w:r>
      <w:r w:rsidRPr="004E28BB">
        <w:t xml:space="preserve"> </w:t>
      </w:r>
      <w:r w:rsidR="00B065A0" w:rsidRPr="0069203C">
        <w:t>K.</w:t>
      </w:r>
      <w:r w:rsidRPr="0069203C">
        <w:t>2 Return to Work</w:t>
      </w:r>
      <w:r w:rsidR="00756447">
        <w:t>)</w:t>
      </w:r>
      <w:r w:rsidR="0069203C">
        <w:t>.</w:t>
      </w:r>
    </w:p>
    <w:p w:rsidR="00B47D3C" w:rsidRPr="004E28BB" w:rsidRDefault="00B47D3C" w:rsidP="00D41D04">
      <w:pPr>
        <w:pStyle w:val="ListNumber2"/>
        <w:rPr>
          <w:i/>
        </w:rPr>
      </w:pPr>
      <w:bookmarkStart w:id="566" w:name="_Toc319922637"/>
      <w:bookmarkStart w:id="567" w:name="_Toc394643416"/>
      <w:r w:rsidRPr="004E28BB">
        <w:rPr>
          <w:rStyle w:val="Guide2-123Char"/>
        </w:rPr>
        <w:t>COMPLEMENTARY AND ALTERNATIVE MEDICINE (CAM)</w:t>
      </w:r>
      <w:bookmarkEnd w:id="566"/>
      <w:bookmarkEnd w:id="567"/>
      <w:r w:rsidR="0069203C" w:rsidRPr="004E28BB">
        <w:t>:</w:t>
      </w:r>
      <w:r w:rsidRPr="004E28BB">
        <w:t xml:space="preserve"> (as defined by the National Center for Complementary and Alternative Medicine [NCCAM]) </w:t>
      </w:r>
      <w:r w:rsidR="00EE30AD">
        <w:t>A</w:t>
      </w:r>
      <w:r w:rsidRPr="004E28BB">
        <w:t xml:space="preserve"> group of diverse medical and health care systems, practices</w:t>
      </w:r>
      <w:r w:rsidR="00EE30AD">
        <w:t>,</w:t>
      </w:r>
      <w:r w:rsidRPr="004E28BB">
        <w:t xml:space="preserve"> and products that are not presently considered to be part of conventional medicine. </w:t>
      </w:r>
      <w:smartTag w:uri="urn:schemas-microsoft-com:office:smarttags" w:element="place">
        <w:r w:rsidRPr="004E28BB">
          <w:t>CAM</w:t>
        </w:r>
      </w:smartTag>
      <w:r w:rsidRPr="004E28BB">
        <w:t xml:space="preserve"> includes a wide range of interventions, some of which have not be</w:t>
      </w:r>
      <w:r w:rsidR="00B065A0" w:rsidRPr="004E28BB">
        <w:t>en supported by empirical data</w:t>
      </w:r>
      <w:r w:rsidRPr="004E28BB">
        <w:t xml:space="preserve">. These alternative treatments include, but are not limited to: art therapy, craniosacral trauma </w:t>
      </w:r>
      <w:r w:rsidRPr="004E28BB">
        <w:lastRenderedPageBreak/>
        <w:t>release, EEG neuro feedback, dance therapy, hippotherapy, hypnosis, and horticulture therapy</w:t>
      </w:r>
      <w:r w:rsidR="00B065A0" w:rsidRPr="004E28BB">
        <w:t>.</w:t>
      </w:r>
      <w:r w:rsidRPr="004E28BB">
        <w:t xml:space="preserve"> </w:t>
      </w:r>
      <w:smartTag w:uri="urn:schemas-microsoft-com:office:smarttags" w:element="place">
        <w:r w:rsidRPr="004E28BB">
          <w:t>CAM</w:t>
        </w:r>
      </w:smartTag>
      <w:r w:rsidRPr="004E28BB">
        <w:t xml:space="preserve"> uses methods of treatment based on a broad range of knowledge with roots in both eastern and western medicine. Many providers may integrate more than one procedure. Some of these interventions, including the exercise-based procedures, are currently integrated into ongoing rehabilitation programs. In general, most approaches place major focus on the important relationship between physical and emotional well-being. Alternative therapies should not be employed as the primary treatment modality, but </w:t>
      </w:r>
      <w:r w:rsidR="00E50FE2">
        <w:t xml:space="preserve">they </w:t>
      </w:r>
      <w:r w:rsidRPr="004E28BB">
        <w:t>may be considered for individual cases when other treatments have failed to produce functional gains, when there is a valid clinical rationale for their use</w:t>
      </w:r>
      <w:r w:rsidR="00E50FE2">
        <w:t>,</w:t>
      </w:r>
      <w:r w:rsidRPr="004E28BB">
        <w:t xml:space="preserve"> and when treatment goals are directed to documentable, functional improvement. </w:t>
      </w:r>
      <w:smartTag w:uri="urn:schemas-microsoft-com:office:smarttags" w:element="place">
        <w:r w:rsidRPr="004E28BB">
          <w:t>CAM</w:t>
        </w:r>
      </w:smartTag>
      <w:r w:rsidRPr="004E28BB">
        <w:t xml:space="preserve"> treatment requires prior authorization from the payer and agreement on fees in accordance with criteria in the Division of Workers’ Compensation Rules 16 and 18.</w:t>
      </w:r>
    </w:p>
    <w:p w:rsidR="00B47D3C" w:rsidRPr="004E28BB" w:rsidRDefault="00B47D3C" w:rsidP="00D41D04">
      <w:pPr>
        <w:ind w:left="2160" w:hanging="360"/>
      </w:pPr>
      <w:r w:rsidRPr="004E28BB">
        <w:sym w:font="Wingdings" w:char="F076"/>
      </w:r>
      <w:r w:rsidRPr="004E28BB">
        <w:tab/>
        <w:t xml:space="preserve">Time to </w:t>
      </w:r>
      <w:r w:rsidR="00E50FE2">
        <w:t>P</w:t>
      </w:r>
      <w:r w:rsidRPr="004E28BB">
        <w:t xml:space="preserve">roduce </w:t>
      </w:r>
      <w:r w:rsidR="00E50FE2">
        <w:t>E</w:t>
      </w:r>
      <w:r w:rsidRPr="004E28BB">
        <w:t>ffect: 3 to 6 treatments</w:t>
      </w:r>
      <w:r w:rsidR="00E50FE2">
        <w:t>.</w:t>
      </w:r>
    </w:p>
    <w:p w:rsidR="00B47D3C" w:rsidRPr="004E28BB" w:rsidRDefault="00B47D3C" w:rsidP="00D41D04">
      <w:pPr>
        <w:ind w:left="2160" w:hanging="360"/>
      </w:pPr>
      <w:r w:rsidRPr="004E28BB">
        <w:sym w:font="Wingdings" w:char="F076"/>
      </w:r>
      <w:r w:rsidRPr="004E28BB">
        <w:tab/>
        <w:t xml:space="preserve">Optimum </w:t>
      </w:r>
      <w:r w:rsidR="00E50FE2">
        <w:t>D</w:t>
      </w:r>
      <w:r w:rsidRPr="004E28BB">
        <w:t>uration: 4 to 6 weeks</w:t>
      </w:r>
      <w:r w:rsidR="00E50FE2">
        <w:t>.</w:t>
      </w:r>
    </w:p>
    <w:p w:rsidR="00B47D3C" w:rsidRPr="004E28BB" w:rsidRDefault="00B47D3C" w:rsidP="00D41D04">
      <w:pPr>
        <w:ind w:left="2160" w:hanging="360"/>
      </w:pPr>
      <w:r w:rsidRPr="004E28BB">
        <w:sym w:font="Wingdings" w:char="F076"/>
      </w:r>
      <w:r w:rsidRPr="004E28BB">
        <w:tab/>
        <w:t xml:space="preserve">Maximum </w:t>
      </w:r>
      <w:r w:rsidR="00E50FE2">
        <w:t>D</w:t>
      </w:r>
      <w:r w:rsidRPr="004E28BB">
        <w:t xml:space="preserve">uration: Not well-established for CAM and should be based on specific </w:t>
      </w:r>
      <w:smartTag w:uri="urn:schemas-microsoft-com:office:smarttags" w:element="place">
        <w:r w:rsidRPr="004E28BB">
          <w:t>CAM</w:t>
        </w:r>
      </w:smartTag>
      <w:r w:rsidRPr="004E28BB">
        <w:t xml:space="preserve"> treatment, physician’s clinical judgment</w:t>
      </w:r>
      <w:r w:rsidR="00E50FE2">
        <w:t>,</w:t>
      </w:r>
      <w:r w:rsidRPr="004E28BB">
        <w:t xml:space="preserve"> and demonstration of positive symptomatic and functional gains</w:t>
      </w:r>
      <w:r w:rsidR="00E50FE2">
        <w:t>.</w:t>
      </w:r>
    </w:p>
    <w:p w:rsidR="00B47D3C" w:rsidRPr="004E28BB" w:rsidRDefault="00B47D3C" w:rsidP="00D41D04">
      <w:pPr>
        <w:ind w:left="1440"/>
        <w:rPr>
          <w:b/>
          <w:i/>
        </w:rPr>
      </w:pPr>
      <w:r w:rsidRPr="004E28BB">
        <w:t>Acupuncture, biofeedback</w:t>
      </w:r>
      <w:r w:rsidR="00E50FE2">
        <w:t>,</w:t>
      </w:r>
      <w:r w:rsidRPr="004E28BB">
        <w:t xml:space="preserve"> and cervical spinal manipulations are widely accepted and may be used for headaches or other painful conditions </w:t>
      </w:r>
      <w:r w:rsidR="00756447">
        <w:t>(r</w:t>
      </w:r>
      <w:r w:rsidRPr="004E28BB">
        <w:t xml:space="preserve">efer to </w:t>
      </w:r>
      <w:r w:rsidR="00E50FE2">
        <w:t>S</w:t>
      </w:r>
      <w:r w:rsidRPr="004E28BB">
        <w:t>ections F.1. Acupuncture, F.2. Biofeedback and F.14.c Manipulation</w:t>
      </w:r>
      <w:r w:rsidR="00E50FE2">
        <w:t xml:space="preserve"> in the Chronic Pain Guidelines</w:t>
      </w:r>
      <w:r w:rsidR="00756447">
        <w:t>)</w:t>
      </w:r>
      <w:r w:rsidRPr="004E28BB">
        <w:t>.</w:t>
      </w:r>
    </w:p>
    <w:p w:rsidR="00B47D3C" w:rsidRPr="004E28BB" w:rsidRDefault="00B47D3C" w:rsidP="00D41D04">
      <w:pPr>
        <w:pStyle w:val="ListNumber2"/>
      </w:pPr>
      <w:bookmarkStart w:id="568" w:name="_Toc319922638"/>
      <w:bookmarkStart w:id="569" w:name="_Toc394643417"/>
      <w:r w:rsidRPr="004E28BB">
        <w:rPr>
          <w:rStyle w:val="Guide2-123Char"/>
        </w:rPr>
        <w:t>OTHER TREATMENTS</w:t>
      </w:r>
      <w:bookmarkEnd w:id="568"/>
      <w:bookmarkEnd w:id="569"/>
      <w:r w:rsidR="0069203C" w:rsidRPr="004E28BB">
        <w:t>:</w:t>
      </w:r>
      <w:r w:rsidRPr="004E28BB">
        <w:tab/>
      </w:r>
    </w:p>
    <w:p w:rsidR="00B47D3C" w:rsidRPr="004E28BB" w:rsidRDefault="00B47D3C" w:rsidP="00D41D04">
      <w:pPr>
        <w:pStyle w:val="ListNumber3"/>
      </w:pPr>
      <w:bookmarkStart w:id="570" w:name="_Toc319922639"/>
      <w:bookmarkStart w:id="571" w:name="_Toc394643418"/>
      <w:r w:rsidRPr="004E28BB">
        <w:rPr>
          <w:rStyle w:val="Guide3-abcdChar"/>
        </w:rPr>
        <w:t>Hyperbaric Oxygen</w:t>
      </w:r>
      <w:bookmarkEnd w:id="570"/>
      <w:bookmarkEnd w:id="571"/>
      <w:r w:rsidRPr="004E28BB">
        <w:t>: Studies in this area demonstrated a possible decrease in morbidity for severely injured patients but no clear overall improvement in outcome. It is also associated with possible long term pulmonary damage. It is considered investigational a</w:t>
      </w:r>
      <w:r w:rsidR="00873B39" w:rsidRPr="004E28BB">
        <w:t>t this time and not recommended</w:t>
      </w:r>
      <w:r w:rsidRPr="004E28BB">
        <w:rPr>
          <w:rStyle w:val="GuideCitesCharChar"/>
        </w:rPr>
        <w:t xml:space="preserve"> </w:t>
      </w:r>
      <w:hyperlink w:anchor="Bennett2004" w:history="1">
        <w:r w:rsidRPr="00A83DB0">
          <w:rPr>
            <w:rStyle w:val="Hyperlink"/>
            <w:rFonts w:cs="Arial"/>
            <w:highlight w:val="yellow"/>
          </w:rPr>
          <w:t>([Cochrane] Bennett, 2004</w:t>
        </w:r>
      </w:hyperlink>
      <w:r w:rsidRPr="004E28BB">
        <w:rPr>
          <w:rStyle w:val="GuideCitesCharChar"/>
        </w:rPr>
        <w:t>)</w:t>
      </w:r>
      <w:r w:rsidR="00873B39" w:rsidRPr="004E28BB">
        <w:t>.</w:t>
      </w:r>
    </w:p>
    <w:p w:rsidR="00B47D3C" w:rsidRPr="004E28BB" w:rsidRDefault="00B47D3C" w:rsidP="00D41D04">
      <w:pPr>
        <w:pStyle w:val="ListNumber3"/>
        <w:rPr>
          <w:sz w:val="24"/>
          <w:szCs w:val="24"/>
        </w:rPr>
      </w:pPr>
      <w:bookmarkStart w:id="572" w:name="_Toc319922640"/>
      <w:bookmarkStart w:id="573" w:name="_Toc394643419"/>
      <w:r w:rsidRPr="004E28BB">
        <w:rPr>
          <w:rStyle w:val="Guide3-abcdChar"/>
        </w:rPr>
        <w:t>Deep Thalamic Stimulation</w:t>
      </w:r>
      <w:bookmarkEnd w:id="572"/>
      <w:bookmarkEnd w:id="573"/>
      <w:r w:rsidRPr="004E28BB">
        <w:t>: This technique has been used in some cases of stroke with motor and cognition problems. There are no studies reported on patients with TBI. It is considered investigational at this time and generally not recommended.</w:t>
      </w:r>
      <w:bookmarkStart w:id="574" w:name="_Toc319922641"/>
      <w:r w:rsidRPr="004E28BB">
        <w:t xml:space="preserve"> It may be used for patients with severe spasticity or motor problems who have failed other treatments. </w:t>
      </w:r>
    </w:p>
    <w:p w:rsidR="00E47E8A" w:rsidRPr="004E28BB" w:rsidRDefault="00B47D3C" w:rsidP="00D41D04">
      <w:pPr>
        <w:pStyle w:val="ListNumber3"/>
      </w:pPr>
      <w:bookmarkStart w:id="575" w:name="_Toc394643420"/>
      <w:r w:rsidRPr="004E28BB">
        <w:rPr>
          <w:rStyle w:val="Guide3-abcdChar"/>
        </w:rPr>
        <w:t>Transcranial Magnetic Stimulation</w:t>
      </w:r>
      <w:bookmarkEnd w:id="575"/>
      <w:r w:rsidR="00E50FE2">
        <w:t>:</w:t>
      </w:r>
      <w:r w:rsidRPr="004E28BB">
        <w:t xml:space="preserve"> This is</w:t>
      </w:r>
      <w:bookmarkEnd w:id="574"/>
      <w:r w:rsidRPr="004E28BB">
        <w:t xml:space="preserve"> a noninvasive treatment and exploratory diagnostic tool </w:t>
      </w:r>
      <w:r w:rsidR="00E50FE2">
        <w:t>that</w:t>
      </w:r>
      <w:r w:rsidRPr="004E28BB">
        <w:t xml:space="preserve"> is FDA approved for use in major depression resistant to other therapy. Some patients have experienced seizures as a side effect. There is no evidence for its use in </w:t>
      </w:r>
      <w:r w:rsidR="00E50FE2">
        <w:t>TBI,</w:t>
      </w:r>
      <w:r w:rsidRPr="004E28BB">
        <w:t xml:space="preserve"> and it is not recommended for TBI or for comatose or vegetative patients. It is considered experimental for these conditions.</w:t>
      </w:r>
    </w:p>
    <w:p w:rsidR="006054C0" w:rsidRPr="004E28BB" w:rsidRDefault="00E47E8A" w:rsidP="00D41D04">
      <w:pPr>
        <w:pStyle w:val="Guide1-ABC"/>
      </w:pPr>
      <w:r w:rsidRPr="004E28BB">
        <w:br w:type="page"/>
      </w:r>
      <w:bookmarkStart w:id="576" w:name="TBILOperativeTherProcedures"/>
      <w:bookmarkStart w:id="577" w:name="_Toc394643421"/>
      <w:bookmarkEnd w:id="576"/>
      <w:r w:rsidRPr="004E28BB">
        <w:lastRenderedPageBreak/>
        <w:t>OPERATIVE THERAPEUTIC PROCEDURES</w:t>
      </w:r>
      <w:bookmarkStart w:id="578" w:name="TBIIMaintenanceManagement"/>
      <w:bookmarkStart w:id="579" w:name="_Toc319922663"/>
      <w:bookmarkEnd w:id="578"/>
      <w:bookmarkEnd w:id="577"/>
    </w:p>
    <w:p w:rsidR="006054C0" w:rsidRPr="004E28BB" w:rsidRDefault="006054C0" w:rsidP="00D41D04">
      <w:pPr>
        <w:ind w:left="720"/>
      </w:pPr>
      <w:r w:rsidRPr="004E28BB">
        <w:t>It is not the intent of medical treatment guidelines to provide an exhaustive list of surgical procedures associated with TBI. Instead, an overview of the general categories is presented to illustrate the wide range of procedures that are widely accepted for treatment of individuals with TBI. Combinations and variations on procedures should be tailored to specific cases; hence, a variety of procedures based on the clinical judgment of the treating physician is to be expected. Common procedures include, but are not limited to:</w:t>
      </w:r>
    </w:p>
    <w:p w:rsidR="006054C0" w:rsidRPr="004E28BB" w:rsidRDefault="006054C0" w:rsidP="009C3DC2">
      <w:pPr>
        <w:pStyle w:val="ListNumber2"/>
        <w:numPr>
          <w:ilvl w:val="1"/>
          <w:numId w:val="27"/>
        </w:numPr>
        <w:rPr>
          <w:rStyle w:val="Guide2-123Char"/>
          <w:b w:val="0"/>
          <w:caps w:val="0"/>
        </w:rPr>
      </w:pPr>
      <w:bookmarkStart w:id="580" w:name="_Toc315099983"/>
      <w:bookmarkStart w:id="581" w:name="_Toc315160944"/>
      <w:bookmarkStart w:id="582" w:name="TBIH1ExtraCranialSoftTissue"/>
      <w:bookmarkStart w:id="583" w:name="_Toc315960303"/>
      <w:bookmarkStart w:id="584" w:name="_Toc319922643"/>
      <w:bookmarkStart w:id="585" w:name="_Toc394643422"/>
      <w:r w:rsidRPr="004E28BB">
        <w:rPr>
          <w:rStyle w:val="Guide2-123Char"/>
        </w:rPr>
        <w:t>EXTRACRANIAL SOFT TISSUE</w:t>
      </w:r>
      <w:bookmarkEnd w:id="580"/>
      <w:bookmarkEnd w:id="581"/>
      <w:bookmarkEnd w:id="582"/>
      <w:bookmarkEnd w:id="583"/>
      <w:bookmarkEnd w:id="584"/>
      <w:bookmarkEnd w:id="585"/>
      <w:r w:rsidR="0069203C" w:rsidRPr="004E28BB">
        <w:t>:</w:t>
      </w:r>
    </w:p>
    <w:p w:rsidR="006054C0" w:rsidRPr="004E28BB" w:rsidRDefault="006054C0" w:rsidP="00D41D04">
      <w:pPr>
        <w:pStyle w:val="ListNumber3"/>
      </w:pPr>
      <w:r w:rsidRPr="004E28BB">
        <w:t>Debridement</w:t>
      </w:r>
      <w:r w:rsidR="003523DB">
        <w:t xml:space="preserve"> and</w:t>
      </w:r>
      <w:r w:rsidRPr="004E28BB">
        <w:t xml:space="preserve"> closure</w:t>
      </w:r>
      <w:r w:rsidR="0069203C">
        <w:t>.</w:t>
      </w:r>
    </w:p>
    <w:p w:rsidR="006054C0" w:rsidRPr="004E28BB" w:rsidRDefault="006054C0" w:rsidP="00D41D04">
      <w:pPr>
        <w:pStyle w:val="ListNumber3"/>
      </w:pPr>
      <w:r w:rsidRPr="004E28BB">
        <w:t>Plastic or reconstructive</w:t>
      </w:r>
      <w:r w:rsidR="0069203C">
        <w:t>.</w:t>
      </w:r>
    </w:p>
    <w:p w:rsidR="006054C0" w:rsidRPr="004E28BB" w:rsidRDefault="006054C0" w:rsidP="00D41D04">
      <w:pPr>
        <w:pStyle w:val="ListNumber2"/>
      </w:pPr>
      <w:bookmarkStart w:id="586" w:name="_Toc315099984"/>
      <w:bookmarkStart w:id="587" w:name="_Toc315160945"/>
      <w:bookmarkStart w:id="588" w:name="TBIH2Maxillofacial"/>
      <w:bookmarkStart w:id="589" w:name="_Toc315960304"/>
      <w:bookmarkStart w:id="590" w:name="_Toc319922644"/>
      <w:bookmarkStart w:id="591" w:name="_Toc394643423"/>
      <w:r w:rsidRPr="004E28BB">
        <w:rPr>
          <w:rStyle w:val="Guide2-123Char"/>
        </w:rPr>
        <w:t>MAXILLOFACIAL</w:t>
      </w:r>
      <w:bookmarkEnd w:id="586"/>
      <w:bookmarkEnd w:id="587"/>
      <w:bookmarkEnd w:id="588"/>
      <w:bookmarkEnd w:id="589"/>
      <w:bookmarkEnd w:id="590"/>
      <w:bookmarkEnd w:id="591"/>
      <w:r w:rsidR="0069203C" w:rsidRPr="004E28BB">
        <w:t>:</w:t>
      </w:r>
      <w:r w:rsidRPr="004E28BB">
        <w:tab/>
      </w:r>
    </w:p>
    <w:p w:rsidR="006054C0" w:rsidRPr="004E28BB" w:rsidRDefault="006054C0" w:rsidP="00D41D04">
      <w:pPr>
        <w:pStyle w:val="ListNumber3"/>
      </w:pPr>
      <w:r w:rsidRPr="004E28BB">
        <w:t>Repair and stabilization of fracture</w:t>
      </w:r>
      <w:r w:rsidR="0069203C">
        <w:t>.</w:t>
      </w:r>
    </w:p>
    <w:p w:rsidR="006054C0" w:rsidRPr="004E28BB" w:rsidRDefault="006054C0" w:rsidP="00D41D04">
      <w:pPr>
        <w:pStyle w:val="ListNumber3"/>
      </w:pPr>
      <w:r w:rsidRPr="004E28BB">
        <w:t>Facial nerve decompression</w:t>
      </w:r>
      <w:r w:rsidR="0069203C">
        <w:t>.</w:t>
      </w:r>
    </w:p>
    <w:p w:rsidR="006054C0" w:rsidRPr="004E28BB" w:rsidRDefault="006054C0" w:rsidP="00D41D04">
      <w:pPr>
        <w:pStyle w:val="ListNumber3"/>
      </w:pPr>
      <w:r w:rsidRPr="004E28BB">
        <w:t>Repair and/or reconstruction</w:t>
      </w:r>
      <w:r w:rsidR="0069203C">
        <w:t>.</w:t>
      </w:r>
    </w:p>
    <w:p w:rsidR="006054C0" w:rsidRPr="004E28BB" w:rsidRDefault="006054C0" w:rsidP="00D41D04">
      <w:pPr>
        <w:pStyle w:val="ListNumber2"/>
      </w:pPr>
      <w:bookmarkStart w:id="592" w:name="_Toc315099985"/>
      <w:bookmarkStart w:id="593" w:name="_Toc315160946"/>
      <w:bookmarkStart w:id="594" w:name="TBIH3Skull"/>
      <w:bookmarkStart w:id="595" w:name="_Toc315960305"/>
      <w:bookmarkStart w:id="596" w:name="_Toc319922645"/>
      <w:bookmarkStart w:id="597" w:name="_Toc394643424"/>
      <w:r w:rsidRPr="004E28BB">
        <w:rPr>
          <w:rStyle w:val="Guide2-123Char"/>
        </w:rPr>
        <w:t>SKULL</w:t>
      </w:r>
      <w:bookmarkEnd w:id="592"/>
      <w:bookmarkEnd w:id="593"/>
      <w:bookmarkEnd w:id="594"/>
      <w:bookmarkEnd w:id="595"/>
      <w:bookmarkEnd w:id="596"/>
      <w:bookmarkEnd w:id="597"/>
      <w:r w:rsidR="0069203C" w:rsidRPr="004E28BB">
        <w:t>:</w:t>
      </w:r>
      <w:r w:rsidRPr="004E28BB">
        <w:t xml:space="preserve"> </w:t>
      </w:r>
    </w:p>
    <w:p w:rsidR="006054C0" w:rsidRPr="004E28BB" w:rsidRDefault="006054C0" w:rsidP="00D41D04">
      <w:pPr>
        <w:pStyle w:val="ListNumber3"/>
      </w:pPr>
      <w:r w:rsidRPr="004E28BB">
        <w:t>Debridement, elevation</w:t>
      </w:r>
      <w:r w:rsidR="00E50FE2">
        <w:t>,</w:t>
      </w:r>
      <w:r w:rsidRPr="004E28BB">
        <w:t xml:space="preserve"> and/or repair of fracture or defect including cranioplasty</w:t>
      </w:r>
      <w:r w:rsidR="0069203C">
        <w:t>.</w:t>
      </w:r>
    </w:p>
    <w:p w:rsidR="006054C0" w:rsidRPr="004E28BB" w:rsidRDefault="006054C0" w:rsidP="00D41D04">
      <w:pPr>
        <w:pStyle w:val="ListNumber2"/>
      </w:pPr>
      <w:bookmarkStart w:id="598" w:name="_Toc315099986"/>
      <w:bookmarkStart w:id="599" w:name="_Toc315160947"/>
      <w:bookmarkStart w:id="600" w:name="TBIH4Brain"/>
      <w:bookmarkStart w:id="601" w:name="_Toc315960306"/>
      <w:bookmarkStart w:id="602" w:name="_Toc319922646"/>
      <w:bookmarkStart w:id="603" w:name="_Toc394643425"/>
      <w:r w:rsidRPr="004E28BB">
        <w:rPr>
          <w:rStyle w:val="Guide2-123Char"/>
        </w:rPr>
        <w:t>BRAIN</w:t>
      </w:r>
      <w:bookmarkEnd w:id="598"/>
      <w:bookmarkEnd w:id="599"/>
      <w:bookmarkEnd w:id="600"/>
      <w:bookmarkEnd w:id="601"/>
      <w:bookmarkEnd w:id="602"/>
      <w:bookmarkEnd w:id="603"/>
      <w:r w:rsidR="0069203C" w:rsidRPr="004E28BB">
        <w:t>:</w:t>
      </w:r>
      <w:r w:rsidRPr="004E28BB">
        <w:tab/>
      </w:r>
    </w:p>
    <w:p w:rsidR="006054C0" w:rsidRPr="004E28BB" w:rsidRDefault="006054C0" w:rsidP="00D41D04">
      <w:pPr>
        <w:pStyle w:val="ListNumber3"/>
      </w:pPr>
      <w:r w:rsidRPr="004E28BB">
        <w:t xml:space="preserve">Debride penetrating injury, gunshot wound, </w:t>
      </w:r>
      <w:r w:rsidR="00E50FE2">
        <w:t>or</w:t>
      </w:r>
      <w:r w:rsidRPr="004E28BB">
        <w:t xml:space="preserve"> foreign body</w:t>
      </w:r>
      <w:r w:rsidR="0069203C">
        <w:t>.</w:t>
      </w:r>
    </w:p>
    <w:p w:rsidR="006054C0" w:rsidRPr="004E28BB" w:rsidRDefault="006054C0" w:rsidP="00D41D04">
      <w:pPr>
        <w:pStyle w:val="ListNumber3"/>
      </w:pPr>
      <w:r w:rsidRPr="004E28BB">
        <w:t>Decompression and evacuation</w:t>
      </w:r>
      <w:r w:rsidR="0069203C">
        <w:t>.</w:t>
      </w:r>
    </w:p>
    <w:p w:rsidR="006054C0" w:rsidRPr="004E28BB" w:rsidRDefault="006054C0" w:rsidP="00D41D04">
      <w:pPr>
        <w:pStyle w:val="ListNumber4"/>
      </w:pPr>
      <w:r w:rsidRPr="004E28BB">
        <w:rPr>
          <w:rStyle w:val="Guide4-i"/>
        </w:rPr>
        <w:t>Hematoma</w:t>
      </w:r>
      <w:r w:rsidRPr="004E28BB">
        <w:t>: epidural, subdural, intraparenchymal</w:t>
      </w:r>
      <w:r w:rsidR="0069203C">
        <w:t>.</w:t>
      </w:r>
    </w:p>
    <w:p w:rsidR="006054C0" w:rsidRPr="004E28BB" w:rsidRDefault="006054C0" w:rsidP="00D41D04">
      <w:pPr>
        <w:pStyle w:val="ListNumber4"/>
        <w:rPr>
          <w:rStyle w:val="Guide4-i"/>
        </w:rPr>
      </w:pPr>
      <w:r w:rsidRPr="004E28BB">
        <w:rPr>
          <w:rStyle w:val="Guide4-i"/>
        </w:rPr>
        <w:t>Contusion</w:t>
      </w:r>
      <w:r w:rsidR="0069203C">
        <w:rPr>
          <w:rStyle w:val="Guide4-i"/>
        </w:rPr>
        <w:t>.</w:t>
      </w:r>
    </w:p>
    <w:p w:rsidR="006054C0" w:rsidRPr="004E28BB" w:rsidRDefault="006054C0" w:rsidP="00D41D04">
      <w:pPr>
        <w:pStyle w:val="ListNumber4"/>
      </w:pPr>
      <w:r w:rsidRPr="004E28BB">
        <w:rPr>
          <w:rStyle w:val="Guide4-i"/>
        </w:rPr>
        <w:t>Infections</w:t>
      </w:r>
      <w:r w:rsidRPr="004E28BB">
        <w:t>: abscess or empyema</w:t>
      </w:r>
      <w:r w:rsidR="0069203C">
        <w:t>.</w:t>
      </w:r>
    </w:p>
    <w:p w:rsidR="006054C0" w:rsidRPr="004E28BB" w:rsidRDefault="006054C0" w:rsidP="00D41D04">
      <w:pPr>
        <w:pStyle w:val="ListNumber3"/>
      </w:pPr>
      <w:r w:rsidRPr="0069203C">
        <w:rPr>
          <w:u w:val="single"/>
        </w:rPr>
        <w:t>Decompressive Craniectomy</w:t>
      </w:r>
      <w:r w:rsidRPr="004E28BB">
        <w:t xml:space="preserve">: </w:t>
      </w:r>
    </w:p>
    <w:p w:rsidR="006054C0" w:rsidRPr="004E28BB" w:rsidRDefault="006054C0" w:rsidP="00D41D04">
      <w:pPr>
        <w:pStyle w:val="ListNumber4"/>
      </w:pPr>
      <w:r w:rsidRPr="004E28BB">
        <w:rPr>
          <w:rStyle w:val="Guide4-i"/>
        </w:rPr>
        <w:t>Description</w:t>
      </w:r>
      <w:r w:rsidRPr="004E28BB">
        <w:t>: Removal of a large portion of the skull and dural opening to manage</w:t>
      </w:r>
      <w:r w:rsidRPr="004E28BB">
        <w:rPr>
          <w:i/>
        </w:rPr>
        <w:t xml:space="preserve"> </w:t>
      </w:r>
      <w:r w:rsidRPr="004E28BB">
        <w:t>cerebral edema causing increased intracranial pressure (ICP). The bone flap is then stored. Cranioplasty is later required to correct the skull defect deficit. When the autologous graft cannot be replaced</w:t>
      </w:r>
      <w:r w:rsidR="00E50FE2">
        <w:t>,</w:t>
      </w:r>
      <w:r w:rsidRPr="004E28BB">
        <w:t xml:space="preserve"> an alternative method a</w:t>
      </w:r>
      <w:r w:rsidR="00873B39" w:rsidRPr="004E28BB">
        <w:t>llograft may be used</w:t>
      </w:r>
      <w:r w:rsidRPr="004E28BB">
        <w:rPr>
          <w:rStyle w:val="GuideCitesCharChar"/>
        </w:rPr>
        <w:t xml:space="preserve"> (</w:t>
      </w:r>
      <w:hyperlink w:anchor="Cabraja2009" w:history="1">
        <w:r w:rsidRPr="00A83DB0">
          <w:rPr>
            <w:rStyle w:val="Hyperlink"/>
            <w:rFonts w:cs="Arial"/>
            <w:highlight w:val="yellow"/>
          </w:rPr>
          <w:t>Cabraja, 2009</w:t>
        </w:r>
      </w:hyperlink>
      <w:r w:rsidRPr="004E28BB">
        <w:rPr>
          <w:rStyle w:val="GuideCitesCharChar"/>
        </w:rPr>
        <w:t>)</w:t>
      </w:r>
      <w:r w:rsidR="00873B39" w:rsidRPr="004E28BB">
        <w:t>.</w:t>
      </w:r>
      <w:r w:rsidRPr="004E28BB">
        <w:br/>
      </w:r>
      <w:r w:rsidRPr="004E28BB">
        <w:br/>
      </w:r>
      <w:r w:rsidR="004E6757" w:rsidRPr="004E28BB">
        <w:t xml:space="preserve">The most recent randomized controlled trial comparing medical management for diffuse TBI with </w:t>
      </w:r>
      <w:r w:rsidR="00E50FE2">
        <w:t xml:space="preserve">a </w:t>
      </w:r>
      <w:r w:rsidR="004E6757" w:rsidRPr="004E28BB">
        <w:t xml:space="preserve">bifrontotemporoparietal craniectomy showed similar rates of death and worse outcomes </w:t>
      </w:r>
      <w:r w:rsidR="004E6757" w:rsidRPr="004E28BB">
        <w:rPr>
          <w:rStyle w:val="GuideCitesCharChar"/>
        </w:rPr>
        <w:t>(</w:t>
      </w:r>
      <w:hyperlink w:anchor="Cooper2011b" w:history="1">
        <w:r w:rsidR="004E6757" w:rsidRPr="00A83DB0">
          <w:rPr>
            <w:rStyle w:val="Hyperlink"/>
            <w:rFonts w:cs="Arial"/>
            <w:highlight w:val="yellow"/>
          </w:rPr>
          <w:t>Cooper</w:t>
        </w:r>
        <w:r w:rsidR="000379D6" w:rsidRPr="00A83DB0">
          <w:rPr>
            <w:rStyle w:val="Hyperlink"/>
            <w:rFonts w:cs="Arial"/>
            <w:highlight w:val="yellow"/>
          </w:rPr>
          <w:t>,</w:t>
        </w:r>
        <w:r w:rsidR="004E6757" w:rsidRPr="00A83DB0">
          <w:rPr>
            <w:rStyle w:val="Hyperlink"/>
            <w:rFonts w:cs="Arial"/>
            <w:highlight w:val="yellow"/>
          </w:rPr>
          <w:t xml:space="preserve"> 2011</w:t>
        </w:r>
        <w:r w:rsidR="00D216DC" w:rsidRPr="00A83DB0">
          <w:rPr>
            <w:rStyle w:val="Hyperlink"/>
            <w:rFonts w:cs="Arial"/>
            <w:highlight w:val="yellow"/>
          </w:rPr>
          <w:t>b</w:t>
        </w:r>
      </w:hyperlink>
      <w:r w:rsidR="004E6757" w:rsidRPr="004E28BB">
        <w:rPr>
          <w:rStyle w:val="GuideCitesCharChar"/>
        </w:rPr>
        <w:t>)</w:t>
      </w:r>
      <w:r w:rsidR="004E6757" w:rsidRPr="004E28BB">
        <w:t>. However the surgery was done early</w:t>
      </w:r>
      <w:r w:rsidR="00E50FE2">
        <w:t>,</w:t>
      </w:r>
      <w:r w:rsidR="004E6757" w:rsidRPr="004E28BB">
        <w:t xml:space="preserve"> and a number of the patients randomized to craniectomy had bilateral fixed dilated pupils. The study was also criticized for use of a 20mmHg ICP trigger and early surgery. </w:t>
      </w:r>
      <w:r w:rsidR="004E6757" w:rsidRPr="004E28BB">
        <w:rPr>
          <w:rStyle w:val="GuideCitesCharChar"/>
        </w:rPr>
        <w:t>(</w:t>
      </w:r>
      <w:hyperlink w:anchor="Chi2011" w:history="1">
        <w:r w:rsidR="004E6757" w:rsidRPr="00A83DB0">
          <w:rPr>
            <w:rStyle w:val="Hyperlink"/>
            <w:rFonts w:cs="Arial"/>
            <w:highlight w:val="yellow"/>
          </w:rPr>
          <w:t>Chi, 2011</w:t>
        </w:r>
      </w:hyperlink>
      <w:r w:rsidR="004E6757" w:rsidRPr="0072398C">
        <w:rPr>
          <w:rStyle w:val="GuideCitesCharChar"/>
          <w:highlight w:val="yellow"/>
        </w:rPr>
        <w:t xml:space="preserve">; </w:t>
      </w:r>
      <w:hyperlink w:anchor="Hutchinson2011" w:history="1">
        <w:r w:rsidR="004E6757" w:rsidRPr="00A83DB0">
          <w:rPr>
            <w:rStyle w:val="Hyperlink"/>
            <w:rFonts w:cs="Arial"/>
            <w:highlight w:val="yellow"/>
          </w:rPr>
          <w:t>Hutchinson, 2011</w:t>
        </w:r>
      </w:hyperlink>
      <w:r w:rsidR="004E6757" w:rsidRPr="0072398C">
        <w:rPr>
          <w:rStyle w:val="GuideCitesCharChar"/>
          <w:highlight w:val="yellow"/>
        </w:rPr>
        <w:t xml:space="preserve">; </w:t>
      </w:r>
      <w:hyperlink w:anchor="Marion2011" w:history="1">
        <w:r w:rsidR="004E6757" w:rsidRPr="00A83DB0">
          <w:rPr>
            <w:rStyle w:val="Hyperlink"/>
            <w:rFonts w:cs="Arial"/>
            <w:highlight w:val="yellow"/>
          </w:rPr>
          <w:t>Marion, 2011</w:t>
        </w:r>
      </w:hyperlink>
      <w:r w:rsidR="004E6757" w:rsidRPr="004E28BB">
        <w:rPr>
          <w:rStyle w:val="GuideCitesCharChar"/>
        </w:rPr>
        <w:t>)</w:t>
      </w:r>
      <w:r w:rsidR="004E6757" w:rsidRPr="004E28BB">
        <w:t xml:space="preserve">. </w:t>
      </w:r>
      <w:r w:rsidRPr="004E28BB">
        <w:t>A Cochrane evidence</w:t>
      </w:r>
      <w:r w:rsidR="007843ED">
        <w:t>-</w:t>
      </w:r>
      <w:r w:rsidRPr="004E28BB">
        <w:lastRenderedPageBreak/>
        <w:t>based review in 2006 reached no conclusions about the efficacy of the procedure for</w:t>
      </w:r>
      <w:r w:rsidR="00873B39" w:rsidRPr="004E28BB">
        <w:t xml:space="preserve"> diffuse </w:t>
      </w:r>
      <w:r w:rsidR="00E50FE2">
        <w:t>TBI</w:t>
      </w:r>
      <w:r w:rsidRPr="004E28BB">
        <w:rPr>
          <w:rStyle w:val="GuideCitesCharChar"/>
        </w:rPr>
        <w:t xml:space="preserve"> </w:t>
      </w:r>
      <w:hyperlink w:anchor="Sahuquillo2006" w:history="1">
        <w:r w:rsidRPr="00A83DB0">
          <w:rPr>
            <w:rStyle w:val="Hyperlink"/>
            <w:rFonts w:cs="Arial"/>
            <w:highlight w:val="yellow"/>
          </w:rPr>
          <w:t>([Cochrane] Sahuquillo, 2006</w:t>
        </w:r>
        <w:r w:rsidRPr="00A83DB0">
          <w:rPr>
            <w:rStyle w:val="Hyperlink"/>
            <w:rFonts w:cs="Arial"/>
          </w:rPr>
          <w:t>)</w:t>
        </w:r>
        <w:r w:rsidR="00873B39" w:rsidRPr="00A83DB0">
          <w:rPr>
            <w:rStyle w:val="Hyperlink"/>
            <w:rFonts w:cs="Arial"/>
          </w:rPr>
          <w:t>.</w:t>
        </w:r>
      </w:hyperlink>
      <w:r w:rsidR="00873B39" w:rsidRPr="004E28BB">
        <w:t xml:space="preserve"> </w:t>
      </w:r>
      <w:r w:rsidRPr="004E28BB">
        <w:t>In a systematic review of the literature</w:t>
      </w:r>
      <w:r w:rsidR="00E50FE2">
        <w:t>,</w:t>
      </w:r>
      <w:r w:rsidRPr="004E28BB">
        <w:t xml:space="preserve"> the average 6 month mortality was 28%</w:t>
      </w:r>
      <w:r w:rsidR="00E50FE2">
        <w:t>,</w:t>
      </w:r>
      <w:r w:rsidRPr="004E28BB">
        <w:t xml:space="preserve"> and the mean quality of life outcome was independently functioning but debilitated</w:t>
      </w:r>
      <w:r w:rsidR="00802F18">
        <w:t xml:space="preserve"> (</w:t>
      </w:r>
      <w:hyperlink w:anchor="Kakar2009" w:history="1">
        <w:r w:rsidR="00802F18" w:rsidRPr="00A83DB0">
          <w:rPr>
            <w:rStyle w:val="Hyperlink"/>
            <w:rFonts w:cs="Arial"/>
            <w:highlight w:val="yellow"/>
          </w:rPr>
          <w:t>Kakar, 2009</w:t>
        </w:r>
      </w:hyperlink>
      <w:r w:rsidR="00855CEC">
        <w:t>)</w:t>
      </w:r>
      <w:r w:rsidRPr="004E28BB">
        <w:t>.</w:t>
      </w:r>
      <w:r w:rsidRPr="004E28BB">
        <w:rPr>
          <w:b/>
        </w:rPr>
        <w:t xml:space="preserve"> </w:t>
      </w:r>
    </w:p>
    <w:p w:rsidR="006054C0" w:rsidRPr="004E28BB" w:rsidRDefault="006054C0" w:rsidP="00D41D04">
      <w:pPr>
        <w:pStyle w:val="ListNumber4"/>
      </w:pPr>
      <w:r w:rsidRPr="004E28BB">
        <w:rPr>
          <w:rStyle w:val="Guide4-i"/>
        </w:rPr>
        <w:t>Indications</w:t>
      </w:r>
      <w:r w:rsidRPr="004E28BB">
        <w:t xml:space="preserve">: </w:t>
      </w:r>
      <w:r w:rsidRPr="004E28BB">
        <w:br/>
      </w:r>
      <w:r w:rsidRPr="004E28BB">
        <w:br/>
        <w:t xml:space="preserve">May be performed in conjunction with evacuation of mass lesions or may be performed for intracranial hypertension. </w:t>
      </w:r>
    </w:p>
    <w:p w:rsidR="006054C0" w:rsidRPr="004E28BB" w:rsidRDefault="006054C0" w:rsidP="00D41D04">
      <w:pPr>
        <w:pStyle w:val="ListNumber4"/>
      </w:pPr>
      <w:r w:rsidRPr="004E28BB">
        <w:rPr>
          <w:rStyle w:val="Guide4-i"/>
        </w:rPr>
        <w:t>Complications</w:t>
      </w:r>
      <w:r w:rsidRPr="004E28BB">
        <w:t>:</w:t>
      </w:r>
    </w:p>
    <w:p w:rsidR="006054C0" w:rsidRPr="004E28BB" w:rsidRDefault="006054C0" w:rsidP="00D41D04">
      <w:pPr>
        <w:pStyle w:val="ListNumber5"/>
      </w:pPr>
      <w:r w:rsidRPr="004E28BB">
        <w:t xml:space="preserve">Craniectomy </w:t>
      </w:r>
      <w:r w:rsidR="00E50FE2" w:rsidRPr="004E28BB">
        <w:t>–</w:t>
      </w:r>
      <w:r w:rsidRPr="004E28BB">
        <w:t xml:space="preserve"> Subdural hygroma or hemorrhage, contra-lateral contusions, outcome of a vegeta</w:t>
      </w:r>
      <w:r w:rsidR="000A66D9" w:rsidRPr="004E28BB">
        <w:t>tive state, cerebral herniation</w:t>
      </w:r>
      <w:r w:rsidRPr="004E28BB">
        <w:rPr>
          <w:rStyle w:val="GuideCitesCharChar"/>
        </w:rPr>
        <w:t xml:space="preserve"> (</w:t>
      </w:r>
      <w:hyperlink w:anchor="Stiver2009" w:history="1">
        <w:r w:rsidRPr="00A83DB0">
          <w:rPr>
            <w:rStyle w:val="Hyperlink"/>
            <w:rFonts w:cs="Arial"/>
            <w:highlight w:val="yellow"/>
          </w:rPr>
          <w:t>Stiver, 2009</w:t>
        </w:r>
      </w:hyperlink>
      <w:r w:rsidRPr="004E28BB">
        <w:rPr>
          <w:rStyle w:val="GuideCitesCharChar"/>
        </w:rPr>
        <w:t>)</w:t>
      </w:r>
      <w:r w:rsidR="000A66D9" w:rsidRPr="004E28BB">
        <w:t>.</w:t>
      </w:r>
    </w:p>
    <w:p w:rsidR="006054C0" w:rsidRPr="004E28BB" w:rsidRDefault="006054C0" w:rsidP="00D41D04">
      <w:pPr>
        <w:pStyle w:val="ListNumber5"/>
      </w:pPr>
      <w:r w:rsidRPr="004E28BB">
        <w:t xml:space="preserve">Cranioplasty – </w:t>
      </w:r>
      <w:r w:rsidR="00E50FE2">
        <w:t>I</w:t>
      </w:r>
      <w:r w:rsidRPr="004E28BB">
        <w:t>nfection, wound break down, bone resorption, increased rate of complication for patients with bilateral craniectomies</w:t>
      </w:r>
      <w:r w:rsidRPr="004E28BB">
        <w:rPr>
          <w:rStyle w:val="GuideCitesCharChar"/>
        </w:rPr>
        <w:t xml:space="preserve"> (</w:t>
      </w:r>
      <w:hyperlink w:anchor="Gooch2009" w:history="1">
        <w:r w:rsidRPr="00CE5BB4">
          <w:rPr>
            <w:rStyle w:val="Hyperlink"/>
            <w:rFonts w:cs="Arial"/>
            <w:highlight w:val="yellow"/>
          </w:rPr>
          <w:t>Gooch, 2009</w:t>
        </w:r>
      </w:hyperlink>
      <w:r w:rsidRPr="004E28BB">
        <w:rPr>
          <w:rStyle w:val="GuideCitesCharChar"/>
        </w:rPr>
        <w:t>)</w:t>
      </w:r>
      <w:r w:rsidR="000A66D9" w:rsidRPr="004E28BB">
        <w:t>.</w:t>
      </w:r>
    </w:p>
    <w:p w:rsidR="006054C0" w:rsidRPr="004E28BB" w:rsidRDefault="006054C0" w:rsidP="00D41D04">
      <w:pPr>
        <w:pStyle w:val="ListNumber2"/>
        <w:rPr>
          <w:rStyle w:val="Guide2-123Char"/>
          <w:b w:val="0"/>
          <w:caps w:val="0"/>
        </w:rPr>
      </w:pPr>
      <w:bookmarkStart w:id="604" w:name="_Toc315958093"/>
      <w:bookmarkStart w:id="605" w:name="_Toc315960036"/>
      <w:bookmarkStart w:id="606" w:name="_Toc315960307"/>
      <w:bookmarkStart w:id="607" w:name="_Toc315958094"/>
      <w:bookmarkStart w:id="608" w:name="_Toc315960037"/>
      <w:bookmarkStart w:id="609" w:name="_Toc315960308"/>
      <w:bookmarkStart w:id="610" w:name="_Toc315958095"/>
      <w:bookmarkStart w:id="611" w:name="_Toc315960038"/>
      <w:bookmarkStart w:id="612" w:name="_Toc315960309"/>
      <w:bookmarkStart w:id="613" w:name="_Toc315958096"/>
      <w:bookmarkStart w:id="614" w:name="_Toc315960039"/>
      <w:bookmarkStart w:id="615" w:name="_Toc315960310"/>
      <w:bookmarkStart w:id="616" w:name="_Toc315958097"/>
      <w:bookmarkStart w:id="617" w:name="_Toc315960040"/>
      <w:bookmarkStart w:id="618" w:name="_Toc315960311"/>
      <w:bookmarkStart w:id="619" w:name="_Toc315958098"/>
      <w:bookmarkStart w:id="620" w:name="_Toc315960041"/>
      <w:bookmarkStart w:id="621" w:name="_Toc315960312"/>
      <w:bookmarkStart w:id="622" w:name="_Toc315958099"/>
      <w:bookmarkStart w:id="623" w:name="_Toc315960042"/>
      <w:bookmarkStart w:id="624" w:name="_Toc315960313"/>
      <w:bookmarkStart w:id="625" w:name="_Toc315958100"/>
      <w:bookmarkStart w:id="626" w:name="_Toc315960043"/>
      <w:bookmarkStart w:id="627" w:name="_Toc315960314"/>
      <w:bookmarkStart w:id="628" w:name="_Toc315958101"/>
      <w:bookmarkStart w:id="629" w:name="_Toc315960044"/>
      <w:bookmarkStart w:id="630" w:name="_Toc315960315"/>
      <w:bookmarkStart w:id="631" w:name="_Toc315099987"/>
      <w:bookmarkStart w:id="632" w:name="_Toc315160948"/>
      <w:bookmarkStart w:id="633" w:name="TBIH5CerebralSpinalFluid_CSF"/>
      <w:bookmarkStart w:id="634" w:name="_Toc315960316"/>
      <w:bookmarkStart w:id="635" w:name="_Toc319922647"/>
      <w:bookmarkStart w:id="636" w:name="_Toc394643426"/>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r w:rsidRPr="004E28BB">
        <w:rPr>
          <w:rStyle w:val="Guide2-123Char"/>
        </w:rPr>
        <w:t>CEREBRAL SPINAL FLUID (CSF)</w:t>
      </w:r>
      <w:bookmarkStart w:id="637" w:name="_Toc315099988"/>
      <w:bookmarkStart w:id="638" w:name="_Toc315160949"/>
      <w:bookmarkStart w:id="639" w:name="TBIH5aCSFLeakFistula"/>
      <w:bookmarkStart w:id="640" w:name="_Toc315960317"/>
      <w:bookmarkEnd w:id="631"/>
      <w:bookmarkEnd w:id="632"/>
      <w:bookmarkEnd w:id="633"/>
      <w:bookmarkEnd w:id="634"/>
      <w:bookmarkEnd w:id="635"/>
      <w:bookmarkEnd w:id="636"/>
      <w:r w:rsidR="0069203C" w:rsidRPr="004E28BB">
        <w:t>:</w:t>
      </w:r>
    </w:p>
    <w:p w:rsidR="006054C0" w:rsidRPr="004E28BB" w:rsidRDefault="006054C0" w:rsidP="00D41D04">
      <w:pPr>
        <w:pStyle w:val="ListNumber3"/>
      </w:pPr>
      <w:bookmarkStart w:id="641" w:name="_Toc319922648"/>
      <w:bookmarkStart w:id="642" w:name="_Toc394643427"/>
      <w:r w:rsidRPr="004E28BB">
        <w:rPr>
          <w:rStyle w:val="Guide3-abcdChar"/>
        </w:rPr>
        <w:t>CSF Leak or Fistula</w:t>
      </w:r>
      <w:bookmarkEnd w:id="637"/>
      <w:bookmarkEnd w:id="638"/>
      <w:bookmarkEnd w:id="639"/>
      <w:bookmarkEnd w:id="640"/>
      <w:bookmarkEnd w:id="641"/>
      <w:bookmarkEnd w:id="642"/>
      <w:r w:rsidRPr="004E28BB">
        <w:t xml:space="preserve">: Lumbar spinal drain or serial lumbar puncture may be used as option to promote spontaneous resolution of CSF leak, or as adjunct to surgical repair. Repair of </w:t>
      </w:r>
      <w:r w:rsidR="00E50FE2">
        <w:t xml:space="preserve">the </w:t>
      </w:r>
      <w:r w:rsidRPr="004E28BB">
        <w:t>leak or fistula may require surgical exploration of the anterior cranial fossa, the temporal bone</w:t>
      </w:r>
      <w:r w:rsidR="00E50FE2">
        <w:t>,</w:t>
      </w:r>
      <w:r w:rsidRPr="004E28BB">
        <w:t xml:space="preserve"> and/or sinuses to identify </w:t>
      </w:r>
      <w:r w:rsidR="00E50FE2">
        <w:t xml:space="preserve">the </w:t>
      </w:r>
      <w:r w:rsidRPr="004E28BB">
        <w:t>CSF leak and seal it.</w:t>
      </w:r>
    </w:p>
    <w:p w:rsidR="006054C0" w:rsidRPr="004E28BB" w:rsidRDefault="006054C0" w:rsidP="00D41D04">
      <w:pPr>
        <w:pStyle w:val="ListNumber3"/>
      </w:pPr>
      <w:bookmarkStart w:id="643" w:name="_Toc315099989"/>
      <w:bookmarkStart w:id="644" w:name="_Toc315160950"/>
      <w:bookmarkStart w:id="645" w:name="TBIH5bVentricularShunting"/>
      <w:bookmarkStart w:id="646" w:name="_Toc315960318"/>
      <w:bookmarkStart w:id="647" w:name="_Toc319922649"/>
      <w:bookmarkStart w:id="648" w:name="_Toc394643428"/>
      <w:r w:rsidRPr="004E28BB">
        <w:rPr>
          <w:rStyle w:val="Guide3-abcdChar"/>
        </w:rPr>
        <w:t>Ventricular Shunting</w:t>
      </w:r>
      <w:bookmarkEnd w:id="643"/>
      <w:bookmarkEnd w:id="644"/>
      <w:bookmarkEnd w:id="645"/>
      <w:bookmarkEnd w:id="646"/>
      <w:bookmarkEnd w:id="647"/>
      <w:bookmarkEnd w:id="648"/>
      <w:r w:rsidRPr="004E28BB">
        <w:t xml:space="preserve">: The treatment of hydrocephalus may require ventricular shunting. Even though ventricular shunting is frequently regarded as a routine procedure, clinicians </w:t>
      </w:r>
      <w:r w:rsidR="002523D1" w:rsidRPr="004E28BB">
        <w:t>should</w:t>
      </w:r>
      <w:r w:rsidRPr="004E28BB">
        <w:t xml:space="preserve"> recognize the possibilities of mechanical, biological or technical complications. The complications of ventricular shunting for hydrocephalus may include, but are not limited to, shunt failure, hemorrhage, delayed wound closure, infection</w:t>
      </w:r>
      <w:r w:rsidR="00E50FE2">
        <w:t>,</w:t>
      </w:r>
      <w:r w:rsidRPr="004E28BB">
        <w:t xml:space="preserve"> and seizures. Favorable outcome from CSF ventricular shunting in appropriately selected individuals will depend on the timing of intervention, the type of shunt valve used, seizure prophylaxis</w:t>
      </w:r>
      <w:r w:rsidR="00E50FE2">
        <w:t>,</w:t>
      </w:r>
      <w:r w:rsidRPr="004E28BB">
        <w:t xml:space="preserve"> and methods of long-term follow up management. A recent advancement in this type of intervention includes the use of programmable shunt valves. This may require periodic reprogramming of the shunt valve and is a generally accepted procedure.</w:t>
      </w:r>
    </w:p>
    <w:p w:rsidR="006054C0" w:rsidRPr="004E28BB" w:rsidRDefault="006054C0" w:rsidP="00D41D04">
      <w:pPr>
        <w:pStyle w:val="ListNumber3"/>
      </w:pPr>
      <w:bookmarkStart w:id="649" w:name="_Toc315099990"/>
      <w:bookmarkStart w:id="650" w:name="_Toc315160951"/>
      <w:bookmarkStart w:id="651" w:name="TBIH5cVentriculostomy"/>
      <w:bookmarkStart w:id="652" w:name="_Toc315960319"/>
      <w:bookmarkStart w:id="653" w:name="_Toc319922650"/>
      <w:bookmarkStart w:id="654" w:name="_Toc394643429"/>
      <w:r w:rsidRPr="004E28BB">
        <w:rPr>
          <w:rStyle w:val="Guide3-abcdChar"/>
        </w:rPr>
        <w:t>Ventriculostomy</w:t>
      </w:r>
      <w:bookmarkEnd w:id="649"/>
      <w:bookmarkEnd w:id="650"/>
      <w:bookmarkEnd w:id="651"/>
      <w:bookmarkEnd w:id="652"/>
      <w:bookmarkEnd w:id="653"/>
      <w:bookmarkEnd w:id="654"/>
      <w:r w:rsidRPr="004E28BB">
        <w:t>:</w:t>
      </w:r>
    </w:p>
    <w:p w:rsidR="006054C0" w:rsidRPr="004E28BB" w:rsidRDefault="006054C0" w:rsidP="00D41D04">
      <w:pPr>
        <w:pStyle w:val="ListNumber4"/>
      </w:pPr>
      <w:r w:rsidRPr="004E28BB">
        <w:t>Control of ICP</w:t>
      </w:r>
      <w:r w:rsidR="0069203C">
        <w:t>.</w:t>
      </w:r>
    </w:p>
    <w:p w:rsidR="006054C0" w:rsidRPr="004E28BB" w:rsidRDefault="006054C0" w:rsidP="00D41D04">
      <w:pPr>
        <w:pStyle w:val="ListNumber4"/>
      </w:pPr>
      <w:r w:rsidRPr="004E28BB">
        <w:t>Acute hydrocephalus</w:t>
      </w:r>
      <w:r w:rsidR="0069203C">
        <w:t>.</w:t>
      </w:r>
    </w:p>
    <w:p w:rsidR="006054C0" w:rsidRPr="004E28BB" w:rsidRDefault="006054C0" w:rsidP="00D41D04">
      <w:pPr>
        <w:pStyle w:val="ListNumber5"/>
      </w:pPr>
      <w:r w:rsidRPr="004E28BB">
        <w:t>Obstructive</w:t>
      </w:r>
      <w:r w:rsidR="0069203C">
        <w:t>.</w:t>
      </w:r>
    </w:p>
    <w:p w:rsidR="006054C0" w:rsidRPr="004E28BB" w:rsidRDefault="006054C0" w:rsidP="00D41D04">
      <w:pPr>
        <w:pStyle w:val="ListNumber5"/>
      </w:pPr>
      <w:r w:rsidRPr="004E28BB">
        <w:t xml:space="preserve">Communicating (usually with </w:t>
      </w:r>
      <w:r w:rsidR="007843ED">
        <w:t>sub-</w:t>
      </w:r>
      <w:r w:rsidRPr="004E28BB">
        <w:t>arachnoid hemorrhage)</w:t>
      </w:r>
      <w:r w:rsidR="0069203C">
        <w:t>.</w:t>
      </w:r>
    </w:p>
    <w:p w:rsidR="006054C0" w:rsidRPr="004E28BB" w:rsidRDefault="006054C0" w:rsidP="00D41D04">
      <w:pPr>
        <w:pStyle w:val="ListNumber2"/>
      </w:pPr>
      <w:bookmarkStart w:id="655" w:name="_Toc315099991"/>
      <w:bookmarkStart w:id="656" w:name="_Toc315160952"/>
      <w:bookmarkStart w:id="657" w:name="TBIH6Ophthalmologic"/>
      <w:bookmarkStart w:id="658" w:name="_Toc315960320"/>
      <w:bookmarkStart w:id="659" w:name="_Toc319922651"/>
      <w:bookmarkStart w:id="660" w:name="_Toc394643430"/>
      <w:r w:rsidRPr="004E28BB">
        <w:rPr>
          <w:rStyle w:val="Guide2-123Char"/>
        </w:rPr>
        <w:t>OPHTHALMOLOGIC</w:t>
      </w:r>
      <w:bookmarkEnd w:id="655"/>
      <w:bookmarkEnd w:id="656"/>
      <w:bookmarkEnd w:id="657"/>
      <w:bookmarkEnd w:id="658"/>
      <w:bookmarkEnd w:id="659"/>
      <w:bookmarkEnd w:id="660"/>
      <w:r w:rsidR="0069203C" w:rsidRPr="004E28BB">
        <w:t>:</w:t>
      </w:r>
      <w:r w:rsidRPr="004E28BB">
        <w:tab/>
      </w:r>
    </w:p>
    <w:p w:rsidR="006054C0" w:rsidRPr="004E28BB" w:rsidRDefault="006054C0" w:rsidP="00D41D04">
      <w:pPr>
        <w:pStyle w:val="ListNumber3"/>
      </w:pPr>
      <w:r w:rsidRPr="004E28BB">
        <w:t>Direct trauma to globe and/or orbital contents</w:t>
      </w:r>
      <w:r w:rsidR="0069203C">
        <w:t>.</w:t>
      </w:r>
    </w:p>
    <w:p w:rsidR="006054C0" w:rsidRPr="004E28BB" w:rsidRDefault="006054C0" w:rsidP="00D41D04">
      <w:pPr>
        <w:pStyle w:val="ListNumber3"/>
      </w:pPr>
      <w:r w:rsidRPr="004E28BB">
        <w:lastRenderedPageBreak/>
        <w:t>Repair orbital fractures, decompression of orbital contents</w:t>
      </w:r>
      <w:r w:rsidR="0069203C">
        <w:t>.</w:t>
      </w:r>
    </w:p>
    <w:p w:rsidR="006054C0" w:rsidRPr="004E28BB" w:rsidRDefault="006054C0" w:rsidP="00D41D04">
      <w:pPr>
        <w:pStyle w:val="ListNumber3"/>
      </w:pPr>
      <w:r w:rsidRPr="004E28BB">
        <w:t>Optic nerve decompression: immediate surgery may be indicated if the trauma results in entrapment or compression of the nerve, or if a hematoma is present in the optic nerve sheath</w:t>
      </w:r>
      <w:r w:rsidR="0069203C">
        <w:t>.</w:t>
      </w:r>
    </w:p>
    <w:p w:rsidR="006054C0" w:rsidRPr="004E28BB" w:rsidRDefault="006054C0" w:rsidP="00D41D04">
      <w:pPr>
        <w:pStyle w:val="ListNumber3"/>
      </w:pPr>
      <w:r w:rsidRPr="004E28BB">
        <w:t>Strabismus: surgery may be required to eliminate or decrease diplopia. Individuals may require several revision operations to achieve maximal results</w:t>
      </w:r>
      <w:r w:rsidR="0069203C">
        <w:t>.</w:t>
      </w:r>
      <w:r w:rsidRPr="004E28BB">
        <w:t xml:space="preserve"> </w:t>
      </w:r>
    </w:p>
    <w:p w:rsidR="006054C0" w:rsidRPr="004E28BB" w:rsidRDefault="006054C0" w:rsidP="00D41D04">
      <w:pPr>
        <w:pStyle w:val="ListNumber3"/>
      </w:pPr>
      <w:bookmarkStart w:id="661" w:name="_Toc315099992"/>
      <w:bookmarkStart w:id="662" w:name="_Toc315160953"/>
      <w:bookmarkStart w:id="663" w:name="TBIH7Otologic"/>
      <w:bookmarkStart w:id="664" w:name="_Toc315960321"/>
      <w:bookmarkStart w:id="665" w:name="_Toc319922652"/>
      <w:r w:rsidRPr="004E28BB">
        <w:t xml:space="preserve">Vitrectomy may be indicated </w:t>
      </w:r>
      <w:r w:rsidR="00B2605D" w:rsidRPr="004E28BB">
        <w:t>in cases of vitreous hemorrhage</w:t>
      </w:r>
      <w:r w:rsidR="0069203C">
        <w:t>.</w:t>
      </w:r>
    </w:p>
    <w:p w:rsidR="006054C0" w:rsidRPr="004E28BB" w:rsidRDefault="006054C0" w:rsidP="00D41D04">
      <w:pPr>
        <w:pStyle w:val="ListNumber3"/>
      </w:pPr>
      <w:r w:rsidRPr="004E28BB">
        <w:t>Surgery may be indicated in cases of eye-lid abnormalities, lacrimal disorders</w:t>
      </w:r>
      <w:r w:rsidR="00E50FE2">
        <w:t>,</w:t>
      </w:r>
      <w:r w:rsidRPr="004E28BB">
        <w:t xml:space="preserve"> and other traumas to the external ocular structures</w:t>
      </w:r>
      <w:r w:rsidR="0069203C">
        <w:t>.</w:t>
      </w:r>
    </w:p>
    <w:p w:rsidR="006054C0" w:rsidRPr="004E28BB" w:rsidRDefault="006054C0" w:rsidP="00D41D04">
      <w:pPr>
        <w:pStyle w:val="ListNumber2"/>
        <w:rPr>
          <w:rStyle w:val="Guide2-123Char"/>
          <w:b w:val="0"/>
          <w:caps w:val="0"/>
        </w:rPr>
      </w:pPr>
      <w:bookmarkStart w:id="666" w:name="_Toc394643431"/>
      <w:r w:rsidRPr="004E28BB">
        <w:rPr>
          <w:rStyle w:val="Guide2-123Char"/>
        </w:rPr>
        <w:t>OTOLOGIC</w:t>
      </w:r>
      <w:bookmarkStart w:id="667" w:name="_Toc315099993"/>
      <w:bookmarkStart w:id="668" w:name="_Toc315160954"/>
      <w:bookmarkStart w:id="669" w:name="TBIH7aDirectTraumaOrBarotrauma"/>
      <w:bookmarkStart w:id="670" w:name="_Toc315960322"/>
      <w:bookmarkEnd w:id="661"/>
      <w:bookmarkEnd w:id="662"/>
      <w:bookmarkEnd w:id="663"/>
      <w:bookmarkEnd w:id="664"/>
      <w:bookmarkEnd w:id="665"/>
      <w:bookmarkEnd w:id="666"/>
      <w:r w:rsidR="0069203C" w:rsidRPr="004E28BB">
        <w:t>:</w:t>
      </w:r>
    </w:p>
    <w:p w:rsidR="006054C0" w:rsidRPr="004E28BB" w:rsidRDefault="006054C0" w:rsidP="00D41D04">
      <w:pPr>
        <w:pStyle w:val="ListNumber3"/>
      </w:pPr>
      <w:bookmarkStart w:id="671" w:name="_Toc319922653"/>
      <w:bookmarkStart w:id="672" w:name="_Toc394643432"/>
      <w:r w:rsidRPr="004E28BB">
        <w:rPr>
          <w:rStyle w:val="Guide3-abcdChar"/>
        </w:rPr>
        <w:t>Direct Trauma Or Barotrauma</w:t>
      </w:r>
      <w:bookmarkEnd w:id="667"/>
      <w:bookmarkEnd w:id="668"/>
      <w:bookmarkEnd w:id="669"/>
      <w:bookmarkEnd w:id="670"/>
      <w:bookmarkEnd w:id="671"/>
      <w:bookmarkEnd w:id="672"/>
      <w:r w:rsidRPr="004E28BB">
        <w:t>:</w:t>
      </w:r>
    </w:p>
    <w:p w:rsidR="006054C0" w:rsidRPr="004E28BB" w:rsidRDefault="006054C0" w:rsidP="00D41D04">
      <w:pPr>
        <w:pStyle w:val="ListNumber4"/>
      </w:pPr>
      <w:r w:rsidRPr="004E28BB">
        <w:rPr>
          <w:rStyle w:val="Guide4-i"/>
        </w:rPr>
        <w:t xml:space="preserve">Ossicular </w:t>
      </w:r>
      <w:r w:rsidR="00E50FE2">
        <w:rPr>
          <w:rStyle w:val="Guide4-i"/>
        </w:rPr>
        <w:t>D</w:t>
      </w:r>
      <w:r w:rsidRPr="004E28BB">
        <w:rPr>
          <w:rStyle w:val="Guide4-i"/>
        </w:rPr>
        <w:t>iscontinuity</w:t>
      </w:r>
      <w:r w:rsidRPr="004E28BB">
        <w:t xml:space="preserve">: </w:t>
      </w:r>
      <w:r w:rsidR="00E50FE2">
        <w:t>T</w:t>
      </w:r>
      <w:r w:rsidRPr="004E28BB">
        <w:t>he mechanism of head trauma causing TBI may result in dislocation of the hearing bones</w:t>
      </w:r>
      <w:r w:rsidR="00E50FE2">
        <w:t>,</w:t>
      </w:r>
      <w:r w:rsidRPr="004E28BB">
        <w:t xml:space="preserve"> creating a conductive hearing loss. This would require an exploratory tympanostomy with ossicular replacement to correct</w:t>
      </w:r>
      <w:r w:rsidR="00E50FE2">
        <w:t>.</w:t>
      </w:r>
    </w:p>
    <w:p w:rsidR="006054C0" w:rsidRPr="004E28BB" w:rsidRDefault="006054C0" w:rsidP="00D41D04">
      <w:pPr>
        <w:pStyle w:val="ListNumber4"/>
      </w:pPr>
      <w:r w:rsidRPr="004E28BB">
        <w:rPr>
          <w:rStyle w:val="Guide4-i"/>
        </w:rPr>
        <w:t xml:space="preserve">Tympanic </w:t>
      </w:r>
      <w:r w:rsidR="00E50FE2">
        <w:rPr>
          <w:rStyle w:val="Guide4-i"/>
        </w:rPr>
        <w:t>M</w:t>
      </w:r>
      <w:r w:rsidRPr="004E28BB">
        <w:rPr>
          <w:rStyle w:val="Guide4-i"/>
        </w:rPr>
        <w:t xml:space="preserve">embrane </w:t>
      </w:r>
      <w:r w:rsidR="00E50FE2">
        <w:rPr>
          <w:rStyle w:val="Guide4-i"/>
        </w:rPr>
        <w:t>P</w:t>
      </w:r>
      <w:r w:rsidRPr="004E28BB">
        <w:rPr>
          <w:rStyle w:val="Guide4-i"/>
        </w:rPr>
        <w:t>erforation</w:t>
      </w:r>
      <w:r w:rsidRPr="004E28BB">
        <w:t xml:space="preserve">: </w:t>
      </w:r>
      <w:r w:rsidR="00E50FE2">
        <w:t>T</w:t>
      </w:r>
      <w:r w:rsidRPr="004E28BB">
        <w:t>his would cause a conductive hearing loss. Tympanoplasty is indicated for correction</w:t>
      </w:r>
      <w:r w:rsidR="00E50FE2">
        <w:t>.</w:t>
      </w:r>
    </w:p>
    <w:p w:rsidR="006054C0" w:rsidRPr="004E28BB" w:rsidRDefault="006054C0" w:rsidP="00D41D04">
      <w:pPr>
        <w:pStyle w:val="ListNumber3"/>
        <w:rPr>
          <w:rStyle w:val="Guide3-abcdChar"/>
          <w:b w:val="0"/>
        </w:rPr>
      </w:pPr>
      <w:bookmarkStart w:id="673" w:name="TBIL7bTympanostomy"/>
      <w:bookmarkStart w:id="674" w:name="_Toc315099995"/>
      <w:bookmarkStart w:id="675" w:name="_Toc315160956"/>
      <w:bookmarkStart w:id="676" w:name="TBIH7dMiddleEarExploration"/>
      <w:bookmarkStart w:id="677" w:name="_Toc315960324"/>
      <w:bookmarkStart w:id="678" w:name="_Toc319922655"/>
      <w:bookmarkStart w:id="679" w:name="_Toc394643433"/>
      <w:bookmarkEnd w:id="673"/>
      <w:r w:rsidRPr="004E28BB">
        <w:rPr>
          <w:rStyle w:val="Guide3-abcdChar"/>
        </w:rPr>
        <w:t>Tympanostomy</w:t>
      </w:r>
      <w:bookmarkEnd w:id="679"/>
      <w:r w:rsidRPr="004E28BB">
        <w:t xml:space="preserve">: </w:t>
      </w:r>
      <w:r w:rsidR="00E50FE2">
        <w:t>T</w:t>
      </w:r>
      <w:r w:rsidRPr="004E28BB">
        <w:t xml:space="preserve">ube placement alters pressure relationships in the middle and inner ear and can reduce dizziness in some patients with progressive vestibulopathy. It can be used to allow access to the middle ear for dizziness treatment devices and gentamicin perfusion. Individuals must be able to tolerate tympanostomy tubes </w:t>
      </w:r>
      <w:r w:rsidR="00E50FE2">
        <w:t xml:space="preserve">and </w:t>
      </w:r>
      <w:r w:rsidRPr="004E28BB">
        <w:t>practice water precautions and aural hygiene to maintain tube patency</w:t>
      </w:r>
      <w:r w:rsidRPr="004E28BB">
        <w:rPr>
          <w:rStyle w:val="Guide3-abcdChar"/>
          <w:b w:val="0"/>
          <w:u w:val="none"/>
        </w:rPr>
        <w:t>.</w:t>
      </w:r>
    </w:p>
    <w:p w:rsidR="006054C0" w:rsidRPr="004E28BB" w:rsidRDefault="006054C0" w:rsidP="00D41D04">
      <w:pPr>
        <w:pStyle w:val="ListNumber3"/>
      </w:pPr>
      <w:bookmarkStart w:id="680" w:name="_Toc394643434"/>
      <w:r w:rsidRPr="004E28BB">
        <w:rPr>
          <w:rStyle w:val="Guide3-abcdChar"/>
        </w:rPr>
        <w:t>Middle Ear Exploration</w:t>
      </w:r>
      <w:bookmarkEnd w:id="674"/>
      <w:bookmarkEnd w:id="675"/>
      <w:bookmarkEnd w:id="676"/>
      <w:bookmarkEnd w:id="677"/>
      <w:bookmarkEnd w:id="678"/>
      <w:bookmarkEnd w:id="680"/>
      <w:r w:rsidRPr="004E28BB">
        <w:t>:</w:t>
      </w:r>
    </w:p>
    <w:p w:rsidR="006054C0" w:rsidRPr="004E28BB" w:rsidRDefault="006054C0" w:rsidP="00D41D04">
      <w:pPr>
        <w:pStyle w:val="ListNumber4"/>
      </w:pPr>
      <w:r w:rsidRPr="004E28BB">
        <w:rPr>
          <w:rStyle w:val="Guide4-i"/>
        </w:rPr>
        <w:t xml:space="preserve">Perilymphatic </w:t>
      </w:r>
      <w:r w:rsidR="00E50FE2">
        <w:rPr>
          <w:rStyle w:val="Guide4-i"/>
        </w:rPr>
        <w:t>F</w:t>
      </w:r>
      <w:r w:rsidRPr="004E28BB">
        <w:rPr>
          <w:rStyle w:val="Guide4-i"/>
        </w:rPr>
        <w:t xml:space="preserve">istula </w:t>
      </w:r>
      <w:r w:rsidR="00E50FE2">
        <w:rPr>
          <w:rStyle w:val="Guide4-i"/>
        </w:rPr>
        <w:t>R</w:t>
      </w:r>
      <w:r w:rsidRPr="004E28BB">
        <w:rPr>
          <w:rStyle w:val="Guide4-i"/>
        </w:rPr>
        <w:t>epair</w:t>
      </w:r>
      <w:r w:rsidRPr="004E28BB">
        <w:t xml:space="preserve">: This presents as a sensorineural hearing loss and dizziness that usually worsens with exertion, straining or altitude changes. Exploratory tympanotomy with patching or round and oval window niches is indicated in these individuals. The operation itself is as much a diagnostic tool as a therapeutic one. The success rate for treating </w:t>
      </w:r>
      <w:r w:rsidR="00203B09" w:rsidRPr="004E28BB">
        <w:t>dizziness due to fistula is 80%</w:t>
      </w:r>
      <w:r w:rsidRPr="004E28BB">
        <w:rPr>
          <w:rStyle w:val="GuideCitesCharChar"/>
        </w:rPr>
        <w:t xml:space="preserve"> (</w:t>
      </w:r>
      <w:hyperlink w:anchor="Flint2010" w:history="1">
        <w:r w:rsidRPr="00CE5BB4">
          <w:rPr>
            <w:rStyle w:val="Hyperlink"/>
            <w:rFonts w:cs="Arial"/>
            <w:highlight w:val="yellow"/>
          </w:rPr>
          <w:t>Flint, 2010</w:t>
        </w:r>
      </w:hyperlink>
      <w:r w:rsidRPr="004E28BB">
        <w:rPr>
          <w:rStyle w:val="GuideCitesCharChar"/>
        </w:rPr>
        <w:t>)</w:t>
      </w:r>
      <w:r w:rsidR="00203B09" w:rsidRPr="004E28BB">
        <w:t>.</w:t>
      </w:r>
    </w:p>
    <w:p w:rsidR="006054C0" w:rsidRPr="004E28BB" w:rsidRDefault="006054C0" w:rsidP="00D41D04">
      <w:pPr>
        <w:pStyle w:val="ListNumber4"/>
      </w:pPr>
      <w:r w:rsidRPr="004E28BB">
        <w:rPr>
          <w:rStyle w:val="Guide4-i"/>
        </w:rPr>
        <w:t xml:space="preserve">Endolymphatic </w:t>
      </w:r>
      <w:r w:rsidR="00E50FE2">
        <w:rPr>
          <w:rStyle w:val="Guide4-i"/>
        </w:rPr>
        <w:t>S</w:t>
      </w:r>
      <w:r w:rsidRPr="004E28BB">
        <w:rPr>
          <w:rStyle w:val="Guide4-i"/>
        </w:rPr>
        <w:t xml:space="preserve">ac </w:t>
      </w:r>
      <w:r w:rsidR="00E50FE2">
        <w:rPr>
          <w:rStyle w:val="Guide4-i"/>
        </w:rPr>
        <w:t>S</w:t>
      </w:r>
      <w:r w:rsidRPr="004E28BB">
        <w:rPr>
          <w:rStyle w:val="Guide4-i"/>
        </w:rPr>
        <w:t>urgery</w:t>
      </w:r>
      <w:r w:rsidRPr="004E28BB">
        <w:t xml:space="preserve">: This is a </w:t>
      </w:r>
      <w:r w:rsidR="0053165C">
        <w:t>non-</w:t>
      </w:r>
      <w:r w:rsidRPr="004E28BB">
        <w:t>destructive procedure performed in the operating room under general anesthesia. The surgeon removes the mastoid bone and uncovers the endolymphatic sac. A drain may or may not be placed in the sac at the time of surgery. This operation has a 65% success rate at controlling dizzy spells in patients with Ménière’</w:t>
      </w:r>
      <w:r w:rsidR="00203B09" w:rsidRPr="004E28BB">
        <w:t>s disease/endolymphatic hydrops</w:t>
      </w:r>
      <w:r w:rsidRPr="004E28BB">
        <w:rPr>
          <w:rStyle w:val="GuideCitesCharChar"/>
        </w:rPr>
        <w:t xml:space="preserve"> </w:t>
      </w:r>
      <w:r w:rsidRPr="0072398C">
        <w:rPr>
          <w:rStyle w:val="GuideCitesCharChar"/>
          <w:highlight w:val="yellow"/>
        </w:rPr>
        <w:t>(</w:t>
      </w:r>
      <w:hyperlink w:anchor="Flint2010" w:history="1">
        <w:r w:rsidRPr="00CE5BB4">
          <w:rPr>
            <w:rStyle w:val="Hyperlink"/>
            <w:rFonts w:cs="Arial"/>
            <w:highlight w:val="yellow"/>
          </w:rPr>
          <w:t>Flint, 2010</w:t>
        </w:r>
      </w:hyperlink>
      <w:r w:rsidRPr="004E28BB">
        <w:rPr>
          <w:rStyle w:val="GuideCitesCharChar"/>
        </w:rPr>
        <w:t>)</w:t>
      </w:r>
      <w:r w:rsidR="00203B09" w:rsidRPr="004E28BB">
        <w:t>.</w:t>
      </w:r>
    </w:p>
    <w:p w:rsidR="006054C0" w:rsidRPr="004E28BB" w:rsidRDefault="006054C0" w:rsidP="00D41D04">
      <w:pPr>
        <w:pStyle w:val="ListNumber4"/>
      </w:pPr>
      <w:r w:rsidRPr="004E28BB">
        <w:rPr>
          <w:rStyle w:val="Guide4-i"/>
        </w:rPr>
        <w:t>Labyrinthectomy</w:t>
      </w:r>
      <w:r w:rsidRPr="004E28BB">
        <w:t xml:space="preserve">: This is a destructive procedure performed in the operating room under general anesthesia. The surgeon removes the semicircular canals using the operating drill. This procedure not only obliterates balance function on the operated side, but </w:t>
      </w:r>
      <w:r w:rsidR="00E50FE2">
        <w:t xml:space="preserve">it </w:t>
      </w:r>
      <w:r w:rsidRPr="004E28BB">
        <w:t xml:space="preserve">also renders the individual deaf in that ear. Because of its destructive nature, it is not indicated in bilateral disease. This procedure has been largely </w:t>
      </w:r>
      <w:r w:rsidRPr="004E28BB">
        <w:lastRenderedPageBreak/>
        <w:t>supplanted by gentamicin perfusion for first-line ablation. It can be utilized when other ablative procedures fail to control symptoms. Use should be reserved for cases with documented progressive hearing loss and/or progressive vestibular damage.</w:t>
      </w:r>
    </w:p>
    <w:p w:rsidR="006054C0" w:rsidRPr="004E28BB" w:rsidRDefault="006054C0" w:rsidP="00D41D04">
      <w:pPr>
        <w:pStyle w:val="ListNumber3"/>
      </w:pPr>
      <w:bookmarkStart w:id="681" w:name="_Toc315099996"/>
      <w:bookmarkStart w:id="682" w:name="_Toc315160957"/>
      <w:bookmarkStart w:id="683" w:name="TBIH7eVestibularNerveSection"/>
      <w:bookmarkStart w:id="684" w:name="_Toc315960325"/>
      <w:bookmarkStart w:id="685" w:name="_Toc319922656"/>
      <w:bookmarkStart w:id="686" w:name="_Toc394643435"/>
      <w:r w:rsidRPr="004E28BB">
        <w:rPr>
          <w:rStyle w:val="Guide3-abcdChar"/>
        </w:rPr>
        <w:t>Vestibular Nerve Section</w:t>
      </w:r>
      <w:bookmarkEnd w:id="681"/>
      <w:bookmarkEnd w:id="682"/>
      <w:bookmarkEnd w:id="683"/>
      <w:bookmarkEnd w:id="684"/>
      <w:bookmarkEnd w:id="685"/>
      <w:bookmarkEnd w:id="686"/>
      <w:r w:rsidRPr="004E28BB">
        <w:t>: This is a destructive procedure performed in the operating room under general anesthesia. It is usually performed by a team including a neurootologist and a neurosurgeon. There are several approaches</w:t>
      </w:r>
      <w:r w:rsidR="00E50FE2">
        <w:t>,</w:t>
      </w:r>
      <w:r w:rsidRPr="004E28BB">
        <w:t xml:space="preserve"> but the final step is that of sectioning the vestibular nerve as it exits the brainstem. Being destructive in nature, it is not indicated in bilateral disease. This procedure has been largely supplanted by gentamicin perfusion for first-line ablation. It can be utilized when other ablative procedures fail to control symptoms. Use should be reserved for cases with documented progressive vestibular damage.</w:t>
      </w:r>
    </w:p>
    <w:p w:rsidR="006054C0" w:rsidRPr="004E28BB" w:rsidRDefault="006054C0" w:rsidP="00D41D04">
      <w:pPr>
        <w:pStyle w:val="ListNumber2"/>
      </w:pPr>
      <w:bookmarkStart w:id="687" w:name="_Toc315099997"/>
      <w:bookmarkStart w:id="688" w:name="_Toc315160958"/>
      <w:bookmarkStart w:id="689" w:name="TBIH8DecompressionOfFacialNerve"/>
      <w:bookmarkStart w:id="690" w:name="_Toc315960326"/>
      <w:bookmarkStart w:id="691" w:name="_Toc319922657"/>
      <w:bookmarkStart w:id="692" w:name="_Toc394643436"/>
      <w:r w:rsidRPr="004E28BB">
        <w:rPr>
          <w:rStyle w:val="Guide2-123Char"/>
        </w:rPr>
        <w:t>DECOMPRESSION OF FACIAL NERVE</w:t>
      </w:r>
      <w:bookmarkEnd w:id="687"/>
      <w:bookmarkEnd w:id="688"/>
      <w:bookmarkEnd w:id="689"/>
      <w:bookmarkEnd w:id="690"/>
      <w:bookmarkEnd w:id="691"/>
      <w:bookmarkEnd w:id="692"/>
      <w:r w:rsidR="0069203C" w:rsidRPr="004E28BB">
        <w:t>:</w:t>
      </w:r>
      <w:r w:rsidRPr="004E28BB">
        <w:t xml:space="preserve"> If there is immediate onset of total facial paralysis</w:t>
      </w:r>
      <w:r w:rsidR="00E50FE2">
        <w:t>,</w:t>
      </w:r>
      <w:r w:rsidRPr="004E28BB">
        <w:t xml:space="preserve"> or if the electroneuronography (EnoG) shows greater than 90% degeneration of the facial nerve, </w:t>
      </w:r>
      <w:r w:rsidR="00E50FE2">
        <w:t xml:space="preserve">then </w:t>
      </w:r>
      <w:r w:rsidRPr="004E28BB">
        <w:t>exploration of the path of the facial nerve is indicated. This usually involves a middle fossa craniotomy and mastoidectomy in order to completely decompress the facial nerve.</w:t>
      </w:r>
    </w:p>
    <w:p w:rsidR="006054C0" w:rsidRPr="004E28BB" w:rsidRDefault="006054C0" w:rsidP="00D41D04">
      <w:pPr>
        <w:pStyle w:val="ListNumber2"/>
      </w:pPr>
      <w:bookmarkStart w:id="693" w:name="_Toc315099998"/>
      <w:bookmarkStart w:id="694" w:name="_Toc315160959"/>
      <w:bookmarkStart w:id="695" w:name="TBIH9OtherCranialNerveRepairOrDecompress"/>
      <w:bookmarkStart w:id="696" w:name="_Toc315960327"/>
      <w:bookmarkStart w:id="697" w:name="_Toc319922658"/>
      <w:bookmarkStart w:id="698" w:name="_Toc394643437"/>
      <w:r w:rsidRPr="004E28BB">
        <w:rPr>
          <w:rStyle w:val="Guide2-123Char"/>
        </w:rPr>
        <w:t>OTHER CRANIAL NERVE REPAIR OR DECOMPRESSION</w:t>
      </w:r>
      <w:bookmarkEnd w:id="693"/>
      <w:bookmarkEnd w:id="694"/>
      <w:bookmarkEnd w:id="695"/>
      <w:bookmarkEnd w:id="696"/>
      <w:bookmarkEnd w:id="697"/>
      <w:bookmarkEnd w:id="698"/>
      <w:r w:rsidR="00E50FE2" w:rsidRPr="004E28BB">
        <w:t>:</w:t>
      </w:r>
      <w:r w:rsidRPr="004E28BB">
        <w:t xml:space="preserve"> </w:t>
      </w:r>
      <w:r w:rsidR="00E50FE2">
        <w:t>M</w:t>
      </w:r>
      <w:r w:rsidRPr="004E28BB">
        <w:t>ay be required for functionally disabling conditions such as diplopia.</w:t>
      </w:r>
    </w:p>
    <w:p w:rsidR="006054C0" w:rsidRPr="004E28BB" w:rsidRDefault="006054C0" w:rsidP="00D41D04">
      <w:pPr>
        <w:pStyle w:val="ListNumber2"/>
      </w:pPr>
      <w:bookmarkStart w:id="699" w:name="_Toc315099999"/>
      <w:bookmarkStart w:id="700" w:name="_Toc315160960"/>
      <w:bookmarkStart w:id="701" w:name="TBIH10VascularInjury"/>
      <w:bookmarkStart w:id="702" w:name="_Toc315960328"/>
      <w:bookmarkStart w:id="703" w:name="_Toc319922659"/>
      <w:bookmarkStart w:id="704" w:name="_Toc394643438"/>
      <w:r w:rsidRPr="004E28BB">
        <w:rPr>
          <w:rStyle w:val="Guide2-123Char"/>
        </w:rPr>
        <w:t>VASCULAR INJURY</w:t>
      </w:r>
      <w:bookmarkEnd w:id="699"/>
      <w:bookmarkEnd w:id="700"/>
      <w:bookmarkEnd w:id="701"/>
      <w:bookmarkEnd w:id="702"/>
      <w:bookmarkEnd w:id="703"/>
      <w:bookmarkEnd w:id="704"/>
      <w:r w:rsidR="00E50FE2" w:rsidRPr="004E28BB">
        <w:t>:</w:t>
      </w:r>
      <w:r w:rsidRPr="004E28BB">
        <w:tab/>
      </w:r>
    </w:p>
    <w:p w:rsidR="006054C0" w:rsidRPr="004E28BB" w:rsidRDefault="006054C0" w:rsidP="00D41D04">
      <w:pPr>
        <w:pStyle w:val="ListNumber3"/>
      </w:pPr>
      <w:r w:rsidRPr="004E28BB">
        <w:t>Endovascular procedures (i.e., stent, embolism)</w:t>
      </w:r>
      <w:r w:rsidR="0069203C">
        <w:t>.</w:t>
      </w:r>
    </w:p>
    <w:p w:rsidR="006054C0" w:rsidRPr="004E28BB" w:rsidRDefault="006054C0" w:rsidP="00D41D04">
      <w:pPr>
        <w:pStyle w:val="ListNumber3"/>
      </w:pPr>
      <w:r w:rsidRPr="004E28BB">
        <w:t>Direct repair</w:t>
      </w:r>
      <w:r w:rsidR="0069203C">
        <w:t>.</w:t>
      </w:r>
    </w:p>
    <w:p w:rsidR="006054C0" w:rsidRPr="004E28BB" w:rsidRDefault="006054C0" w:rsidP="00D41D04">
      <w:pPr>
        <w:pStyle w:val="ListNumber3"/>
      </w:pPr>
      <w:r w:rsidRPr="004E28BB">
        <w:t>Occlusion, trapping, aneurysm repair</w:t>
      </w:r>
      <w:r w:rsidR="0069203C">
        <w:t>.</w:t>
      </w:r>
    </w:p>
    <w:p w:rsidR="006054C0" w:rsidRPr="004E28BB" w:rsidRDefault="006054C0" w:rsidP="00D41D04">
      <w:pPr>
        <w:pStyle w:val="ListNumber2"/>
      </w:pPr>
      <w:bookmarkStart w:id="705" w:name="_Toc315100000"/>
      <w:bookmarkStart w:id="706" w:name="_Toc315160961"/>
      <w:bookmarkStart w:id="707" w:name="TBIH11PeripheralNerveInjury"/>
      <w:bookmarkStart w:id="708" w:name="_Toc315960329"/>
      <w:bookmarkStart w:id="709" w:name="_Toc319922660"/>
      <w:bookmarkStart w:id="710" w:name="_Toc394643439"/>
      <w:r w:rsidRPr="004E28BB">
        <w:rPr>
          <w:rStyle w:val="Guide2-123Char"/>
        </w:rPr>
        <w:t>PERIPHERAL NERVE INJURY</w:t>
      </w:r>
      <w:bookmarkEnd w:id="705"/>
      <w:bookmarkEnd w:id="706"/>
      <w:bookmarkEnd w:id="707"/>
      <w:bookmarkEnd w:id="708"/>
      <w:bookmarkEnd w:id="709"/>
      <w:bookmarkEnd w:id="710"/>
      <w:r w:rsidR="00E50FE2" w:rsidRPr="004E28BB">
        <w:t>:</w:t>
      </w:r>
      <w:r w:rsidRPr="004E28BB">
        <w:tab/>
      </w:r>
    </w:p>
    <w:p w:rsidR="006054C0" w:rsidRPr="004E28BB" w:rsidRDefault="006054C0" w:rsidP="00D41D04">
      <w:pPr>
        <w:pStyle w:val="ListNumber3"/>
      </w:pPr>
      <w:r w:rsidRPr="004E28BB">
        <w:t>May include decompression and rep</w:t>
      </w:r>
      <w:r w:rsidR="00B2605D" w:rsidRPr="004E28BB">
        <w:t>air and/or fracture management</w:t>
      </w:r>
      <w:r w:rsidR="0069203C">
        <w:t>.</w:t>
      </w:r>
      <w:r w:rsidRPr="004E28BB">
        <w:t xml:space="preserve"> </w:t>
      </w:r>
    </w:p>
    <w:p w:rsidR="006054C0" w:rsidRPr="004E28BB" w:rsidRDefault="006054C0" w:rsidP="00D41D04">
      <w:pPr>
        <w:pStyle w:val="ListNumber2"/>
      </w:pPr>
      <w:bookmarkStart w:id="711" w:name="_Toc315100001"/>
      <w:bookmarkStart w:id="712" w:name="_Toc315160962"/>
      <w:bookmarkStart w:id="713" w:name="TBIH12Orthopedic"/>
      <w:bookmarkStart w:id="714" w:name="_Toc315960330"/>
      <w:bookmarkStart w:id="715" w:name="_Toc319922661"/>
      <w:bookmarkStart w:id="716" w:name="_Toc394643440"/>
      <w:r w:rsidRPr="004E28BB">
        <w:rPr>
          <w:rStyle w:val="Guide2-123Char"/>
        </w:rPr>
        <w:t>ORTHOPEDIC</w:t>
      </w:r>
      <w:bookmarkEnd w:id="711"/>
      <w:bookmarkEnd w:id="712"/>
      <w:bookmarkEnd w:id="713"/>
      <w:bookmarkEnd w:id="714"/>
      <w:bookmarkEnd w:id="715"/>
      <w:bookmarkEnd w:id="716"/>
      <w:r w:rsidR="00E50FE2" w:rsidRPr="004E28BB">
        <w:t>:</w:t>
      </w:r>
      <w:r w:rsidRPr="004E28BB">
        <w:tab/>
      </w:r>
    </w:p>
    <w:p w:rsidR="006054C0" w:rsidRPr="004E28BB" w:rsidRDefault="006054C0" w:rsidP="00D41D04">
      <w:pPr>
        <w:pStyle w:val="ListNumber3"/>
      </w:pPr>
      <w:r w:rsidRPr="004E28BB">
        <w:t>Fracture management</w:t>
      </w:r>
      <w:r w:rsidR="0069203C">
        <w:t>.</w:t>
      </w:r>
    </w:p>
    <w:p w:rsidR="006054C0" w:rsidRPr="004E28BB" w:rsidRDefault="006054C0" w:rsidP="00D41D04">
      <w:pPr>
        <w:pStyle w:val="ListNumber3"/>
      </w:pPr>
      <w:r w:rsidRPr="004E28BB">
        <w:t>Adjunctive tenotomies and myotomies</w:t>
      </w:r>
      <w:r w:rsidR="0069203C">
        <w:t>.</w:t>
      </w:r>
    </w:p>
    <w:p w:rsidR="006054C0" w:rsidRPr="004E28BB" w:rsidRDefault="006054C0" w:rsidP="00D41D04">
      <w:pPr>
        <w:pStyle w:val="ListNumber4"/>
      </w:pPr>
      <w:r w:rsidRPr="004E28BB">
        <w:t>Common upper extremity procedures may require pre-surgical evaluation inclusive of occupational therapy, ROM, function, diagnostic nerve blocks</w:t>
      </w:r>
      <w:r w:rsidR="00F702AC">
        <w:t>,</w:t>
      </w:r>
      <w:r w:rsidRPr="004E28BB">
        <w:t xml:space="preserve"> and dynamic EMG. Definitive procedures include, but are not limited to:</w:t>
      </w:r>
    </w:p>
    <w:p w:rsidR="006054C0" w:rsidRPr="004E28BB" w:rsidRDefault="006054C0" w:rsidP="00D41D04">
      <w:pPr>
        <w:pStyle w:val="ListNumber5"/>
      </w:pPr>
      <w:r w:rsidRPr="004E28BB">
        <w:t>Shoulder muscle release</w:t>
      </w:r>
      <w:r w:rsidR="0069203C">
        <w:t>.</w:t>
      </w:r>
    </w:p>
    <w:p w:rsidR="006054C0" w:rsidRPr="004E28BB" w:rsidRDefault="006054C0" w:rsidP="00D41D04">
      <w:pPr>
        <w:pStyle w:val="ListNumber5"/>
      </w:pPr>
      <w:r w:rsidRPr="004E28BB">
        <w:t>Functional elbow release: brachial radialis myotomy, biceps and brachialis lengthening</w:t>
      </w:r>
      <w:r w:rsidR="0069203C">
        <w:t>.</w:t>
      </w:r>
      <w:r w:rsidRPr="004E28BB">
        <w:t xml:space="preserve"> </w:t>
      </w:r>
    </w:p>
    <w:p w:rsidR="006054C0" w:rsidRPr="004E28BB" w:rsidRDefault="006054C0" w:rsidP="00D41D04">
      <w:pPr>
        <w:pStyle w:val="ListNumber5"/>
      </w:pPr>
      <w:r w:rsidRPr="004E28BB">
        <w:t>Fractional lengthening of wrist and/or finger flexors</w:t>
      </w:r>
      <w:r w:rsidR="0069203C">
        <w:t>.</w:t>
      </w:r>
    </w:p>
    <w:p w:rsidR="006054C0" w:rsidRPr="004E28BB" w:rsidRDefault="006054C0" w:rsidP="00D41D04">
      <w:pPr>
        <w:pStyle w:val="ListNumber5"/>
      </w:pPr>
      <w:r w:rsidRPr="004E28BB">
        <w:lastRenderedPageBreak/>
        <w:t>Flexor digitorum superficialis (FDS) to flexor digitorum profundus (FDP) transfer</w:t>
      </w:r>
      <w:r w:rsidR="0069203C">
        <w:t>.</w:t>
      </w:r>
    </w:p>
    <w:p w:rsidR="006054C0" w:rsidRPr="004E28BB" w:rsidRDefault="006054C0" w:rsidP="00D41D04">
      <w:pPr>
        <w:pStyle w:val="ListNumber5"/>
      </w:pPr>
      <w:r w:rsidRPr="004E28BB">
        <w:t>Intrinsic muscle contracture release</w:t>
      </w:r>
      <w:r w:rsidR="0069203C">
        <w:t>.</w:t>
      </w:r>
    </w:p>
    <w:p w:rsidR="006054C0" w:rsidRPr="004E28BB" w:rsidRDefault="006054C0" w:rsidP="00D41D04">
      <w:pPr>
        <w:pStyle w:val="ListNumber5"/>
      </w:pPr>
      <w:r w:rsidRPr="004E28BB">
        <w:t>Surgical release of thenar muscles for thumb in palm deformity</w:t>
      </w:r>
      <w:r w:rsidR="0069203C">
        <w:t>.</w:t>
      </w:r>
    </w:p>
    <w:p w:rsidR="006054C0" w:rsidRPr="004E28BB" w:rsidRDefault="006054C0" w:rsidP="00D41D04">
      <w:pPr>
        <w:pStyle w:val="ListNumber5"/>
      </w:pPr>
      <w:r w:rsidRPr="004E28BB">
        <w:t>Individualized and customized procedures for spastic upper extremity deformities with adjunctive selective musculotendinous transfers, neurotomy and neurectomies</w:t>
      </w:r>
      <w:r w:rsidR="0069203C">
        <w:t>.</w:t>
      </w:r>
    </w:p>
    <w:p w:rsidR="006054C0" w:rsidRPr="004E28BB" w:rsidRDefault="006054C0" w:rsidP="00D41D04">
      <w:pPr>
        <w:pStyle w:val="ListNumber4"/>
      </w:pPr>
      <w:r w:rsidRPr="004E28BB">
        <w:t>Common lower extremity procedures include, but are not limited to:</w:t>
      </w:r>
    </w:p>
    <w:p w:rsidR="006054C0" w:rsidRPr="004E28BB" w:rsidRDefault="006054C0" w:rsidP="00D41D04">
      <w:pPr>
        <w:pStyle w:val="ListNumber5"/>
      </w:pPr>
      <w:r w:rsidRPr="004E28BB">
        <w:t>Fractional muscle lengthening of knee flexors/hamstrings</w:t>
      </w:r>
      <w:r w:rsidR="0069203C">
        <w:t>.</w:t>
      </w:r>
    </w:p>
    <w:p w:rsidR="006054C0" w:rsidRPr="004E28BB" w:rsidRDefault="006054C0" w:rsidP="00D41D04">
      <w:pPr>
        <w:pStyle w:val="ListNumber5"/>
      </w:pPr>
      <w:r w:rsidRPr="004E28BB">
        <w:t>Hip flexor releases/myotomies</w:t>
      </w:r>
      <w:r w:rsidR="0069203C">
        <w:t>.</w:t>
      </w:r>
    </w:p>
    <w:p w:rsidR="006054C0" w:rsidRPr="004E28BB" w:rsidRDefault="006054C0" w:rsidP="00D41D04">
      <w:pPr>
        <w:pStyle w:val="ListNumber5"/>
      </w:pPr>
      <w:r w:rsidRPr="004E28BB">
        <w:t>Percutaneous vs. open release of the hip adductors</w:t>
      </w:r>
      <w:r w:rsidR="0069203C">
        <w:t>.</w:t>
      </w:r>
    </w:p>
    <w:p w:rsidR="006054C0" w:rsidRPr="004E28BB" w:rsidRDefault="006054C0" w:rsidP="00D41D04">
      <w:pPr>
        <w:pStyle w:val="ListNumber5"/>
      </w:pPr>
      <w:r w:rsidRPr="004E28BB">
        <w:t>Percutaneous tendon Achilles lengthening</w:t>
      </w:r>
      <w:r w:rsidR="0069203C">
        <w:t>.</w:t>
      </w:r>
    </w:p>
    <w:p w:rsidR="006054C0" w:rsidRPr="004E28BB" w:rsidRDefault="006054C0" w:rsidP="00D41D04">
      <w:pPr>
        <w:pStyle w:val="ListNumber5"/>
      </w:pPr>
      <w:r w:rsidRPr="004E28BB">
        <w:t xml:space="preserve">Ankle/foot motor balancing surgery adjunctive to tendon-Achilles lengthening (TAL procedure) includes: </w:t>
      </w:r>
      <w:r w:rsidR="0069203C">
        <w:t>(</w:t>
      </w:r>
      <w:r w:rsidRPr="004E28BB">
        <w:t xml:space="preserve">1) toe flexor release, </w:t>
      </w:r>
      <w:r w:rsidR="0069203C">
        <w:t>(</w:t>
      </w:r>
      <w:r w:rsidRPr="004E28BB">
        <w:t xml:space="preserve">2) split anterior tibial tendon transfer (SPLATT procedure), </w:t>
      </w:r>
      <w:r w:rsidR="0069203C">
        <w:t>(</w:t>
      </w:r>
      <w:r w:rsidRPr="004E28BB">
        <w:t>3) inter-phalangeal joint fusions</w:t>
      </w:r>
      <w:r w:rsidR="00F702AC">
        <w:t>,</w:t>
      </w:r>
      <w:r w:rsidRPr="004E28BB">
        <w:t xml:space="preserve"> and </w:t>
      </w:r>
      <w:r w:rsidR="000379D6">
        <w:t>(</w:t>
      </w:r>
      <w:r w:rsidRPr="004E28BB">
        <w:t>4) ankle fusions</w:t>
      </w:r>
      <w:r w:rsidR="0069203C">
        <w:t>.</w:t>
      </w:r>
    </w:p>
    <w:p w:rsidR="006054C0" w:rsidRPr="004E28BB" w:rsidRDefault="006054C0" w:rsidP="00D41D04">
      <w:pPr>
        <w:pStyle w:val="ListNumber5"/>
      </w:pPr>
      <w:r w:rsidRPr="004E28BB">
        <w:t>Individualized and customized procedures for spastic lower extremity deformities with adjunctive selective musculotendinous transfers, neurotomy and neurectomies</w:t>
      </w:r>
      <w:r w:rsidR="0069203C">
        <w:t>.</w:t>
      </w:r>
    </w:p>
    <w:p w:rsidR="006054C0" w:rsidRPr="004E28BB" w:rsidRDefault="006054C0" w:rsidP="00D41D04">
      <w:pPr>
        <w:pStyle w:val="ListNumber4"/>
      </w:pPr>
      <w:r w:rsidRPr="004E28BB">
        <w:t>Resection heterotopic ossification</w:t>
      </w:r>
      <w:r w:rsidR="0069203C">
        <w:t>.</w:t>
      </w:r>
    </w:p>
    <w:p w:rsidR="006054C0" w:rsidRPr="004E28BB" w:rsidRDefault="006054C0" w:rsidP="00D41D04">
      <w:pPr>
        <w:pStyle w:val="ListNumber2"/>
      </w:pPr>
      <w:bookmarkStart w:id="717" w:name="_Toc315100002"/>
      <w:bookmarkStart w:id="718" w:name="_Toc315160963"/>
      <w:bookmarkStart w:id="719" w:name="TBIH13Spasticity"/>
      <w:bookmarkStart w:id="720" w:name="_Toc315960331"/>
      <w:bookmarkStart w:id="721" w:name="_Toc319922662"/>
      <w:bookmarkStart w:id="722" w:name="_Toc394643441"/>
      <w:r w:rsidRPr="004E28BB">
        <w:rPr>
          <w:rStyle w:val="Guide2-123Char"/>
        </w:rPr>
        <w:t>SPASTICITY</w:t>
      </w:r>
      <w:bookmarkEnd w:id="717"/>
      <w:bookmarkEnd w:id="718"/>
      <w:bookmarkEnd w:id="719"/>
      <w:bookmarkEnd w:id="720"/>
      <w:bookmarkEnd w:id="721"/>
      <w:bookmarkEnd w:id="722"/>
      <w:r w:rsidR="00F702AC" w:rsidRPr="004E28BB">
        <w:t>:</w:t>
      </w:r>
      <w:r w:rsidRPr="004E28BB">
        <w:tab/>
      </w:r>
    </w:p>
    <w:p w:rsidR="006054C0" w:rsidRPr="004E28BB" w:rsidRDefault="006054C0" w:rsidP="00D41D04">
      <w:pPr>
        <w:pStyle w:val="ListNumber3"/>
      </w:pPr>
      <w:r w:rsidRPr="004E28BB">
        <w:t>Spinal cord procedures, including percutaneous and open s</w:t>
      </w:r>
      <w:r w:rsidR="00B2605D" w:rsidRPr="004E28BB">
        <w:t>elective dorsal rhizotomy (SDR)</w:t>
      </w:r>
      <w:r w:rsidR="0069203C">
        <w:t>.</w:t>
      </w:r>
    </w:p>
    <w:p w:rsidR="006054C0" w:rsidRPr="004E28BB" w:rsidRDefault="006054C0" w:rsidP="00D41D04">
      <w:pPr>
        <w:pStyle w:val="ListNumber3"/>
      </w:pPr>
      <w:r w:rsidRPr="004E28BB">
        <w:t>Intrathecal Baclofen (ITB) pump</w:t>
      </w:r>
      <w:r w:rsidR="00F702AC" w:rsidRPr="004E28BB">
        <w:t>:</w:t>
      </w:r>
      <w:r w:rsidRPr="004E28BB">
        <w:t xml:space="preserve"> </w:t>
      </w:r>
      <w:r w:rsidR="00F702AC">
        <w:t>T</w:t>
      </w:r>
      <w:r w:rsidRPr="004E28BB">
        <w:t>he pump is surgically implanted in the abdomen (</w:t>
      </w:r>
      <w:r w:rsidR="00756447">
        <w:t>r</w:t>
      </w:r>
      <w:r w:rsidRPr="004E28BB">
        <w:t xml:space="preserve">efer to </w:t>
      </w:r>
      <w:r w:rsidR="00F702AC">
        <w:t>S</w:t>
      </w:r>
      <w:r w:rsidRPr="004E28BB">
        <w:t xml:space="preserve">ection </w:t>
      </w:r>
      <w:hyperlink r:id="rId18" w:history="1">
        <w:r w:rsidRPr="00F702AC">
          <w:rPr>
            <w:rStyle w:val="Hyperlink"/>
            <w:rFonts w:cs="Arial"/>
          </w:rPr>
          <w:t>I.6.g. Intrathecal Baclofen Drug</w:t>
        </w:r>
      </w:hyperlink>
      <w:r w:rsidRPr="004E28BB">
        <w:t>)</w:t>
      </w:r>
      <w:r w:rsidR="0069203C">
        <w:t>.</w:t>
      </w:r>
    </w:p>
    <w:p w:rsidR="006054C0" w:rsidRPr="004E28BB" w:rsidRDefault="006054C0" w:rsidP="00D41D04">
      <w:pPr>
        <w:pStyle w:val="ListNumber3"/>
      </w:pPr>
      <w:r w:rsidRPr="004E28BB">
        <w:t>Oth</w:t>
      </w:r>
      <w:r w:rsidR="00B2605D" w:rsidRPr="004E28BB">
        <w:t>er “tone management” procedures</w:t>
      </w:r>
      <w:r w:rsidR="0069203C">
        <w:t>.</w:t>
      </w:r>
    </w:p>
    <w:p w:rsidR="006054C0" w:rsidRPr="004E28BB" w:rsidRDefault="006054C0" w:rsidP="00D41D04">
      <w:pPr>
        <w:pStyle w:val="Guide1-ABC"/>
      </w:pPr>
      <w:r w:rsidRPr="004E28BB">
        <w:br w:type="page"/>
      </w:r>
      <w:bookmarkStart w:id="723" w:name="TBIMMaintenanceManagement"/>
      <w:bookmarkStart w:id="724" w:name="_Toc394643442"/>
      <w:bookmarkEnd w:id="579"/>
      <w:bookmarkEnd w:id="723"/>
      <w:r w:rsidRPr="004E28BB">
        <w:lastRenderedPageBreak/>
        <w:t>MAINTENANCE MANAGEMENT</w:t>
      </w:r>
      <w:bookmarkEnd w:id="724"/>
    </w:p>
    <w:p w:rsidR="006054C0" w:rsidRPr="004E28BB" w:rsidRDefault="006054C0" w:rsidP="009C3DC2">
      <w:pPr>
        <w:pStyle w:val="ListNumber2"/>
        <w:numPr>
          <w:ilvl w:val="1"/>
          <w:numId w:val="28"/>
        </w:numPr>
      </w:pPr>
      <w:bookmarkStart w:id="725" w:name="_Toc319922664"/>
      <w:bookmarkStart w:id="726" w:name="_Toc394643443"/>
      <w:r w:rsidRPr="004E28BB">
        <w:rPr>
          <w:rStyle w:val="Guide2-123Char"/>
        </w:rPr>
        <w:t>GENERAL PRINCIPLES</w:t>
      </w:r>
      <w:bookmarkEnd w:id="725"/>
      <w:bookmarkEnd w:id="726"/>
      <w:r w:rsidR="00F702AC" w:rsidRPr="004E28BB">
        <w:t>:</w:t>
      </w:r>
      <w:r w:rsidRPr="004E28BB">
        <w:t xml:space="preserve"> Most individuals following MTBI make a good neurological and functional recovery with minimal or no intervention, although the possibility of subtle residual impairments or functional limitations exists. Some individuals with MTBI experience impairments, functional limitations, and disabilities. Individuals with MTBI who have co-morbid conditions and/or have suffered a longer period of confusion or loss of consciousness are more likely to have a poorer outcome and require longer or maintenance care.</w:t>
      </w:r>
      <w:r w:rsidRPr="004E28BB">
        <w:br/>
      </w:r>
      <w:r w:rsidRPr="004E28BB">
        <w:br/>
        <w:t xml:space="preserve">Individuals with moderate/severe </w:t>
      </w:r>
      <w:r w:rsidR="0056633D">
        <w:t>TBI</w:t>
      </w:r>
      <w:r w:rsidRPr="004E28BB">
        <w:t xml:space="preserve"> may experience lifetime impairment, functional limitations</w:t>
      </w:r>
      <w:r w:rsidR="00F702AC">
        <w:t>,</w:t>
      </w:r>
      <w:r w:rsidRPr="004E28BB">
        <w:t xml:space="preserve"> and disabilities and are at risk the remainder of their lives for long term medical, psychiatric, physical</w:t>
      </w:r>
      <w:r w:rsidR="00F702AC">
        <w:t>,</w:t>
      </w:r>
      <w:r w:rsidRPr="004E28BB">
        <w:t xml:space="preserve"> and cognitive complications. Subsequent brain injuries, the onset of seizures, endocrine or other medical conditions, maladaptive social skills, aggressive behaviors, substance abuse</w:t>
      </w:r>
      <w:r w:rsidR="00F702AC">
        <w:t>,</w:t>
      </w:r>
      <w:r w:rsidRPr="004E28BB">
        <w:t xml:space="preserve"> and psychiatric disorders are common examples of some negative long-term consequences of </w:t>
      </w:r>
      <w:r w:rsidR="0056633D">
        <w:t>TBI</w:t>
      </w:r>
      <w:r w:rsidRPr="004E28BB">
        <w:t>.</w:t>
      </w:r>
      <w:r w:rsidR="00C72926" w:rsidRPr="004E28BB">
        <w:t xml:space="preserve"> Injured workers are entitled to lifetime medical benefits which are reasonable, necessary, and related to maintain</w:t>
      </w:r>
      <w:r w:rsidR="00F702AC">
        <w:t>ing</w:t>
      </w:r>
      <w:r w:rsidR="00C72926" w:rsidRPr="004E28BB">
        <w:t xml:space="preserve"> them at </w:t>
      </w:r>
      <w:r w:rsidR="00B05FF1">
        <w:t>MMI</w:t>
      </w:r>
      <w:r w:rsidR="00C72926" w:rsidRPr="004E28BB">
        <w:t>.</w:t>
      </w:r>
      <w:r w:rsidRPr="004E28BB">
        <w:t xml:space="preserve"> Therefore, individuals with moderate/severe </w:t>
      </w:r>
      <w:r w:rsidR="00F702AC">
        <w:t xml:space="preserve">TBI </w:t>
      </w:r>
      <w:r w:rsidRPr="004E28BB">
        <w:t xml:space="preserve">generally require long-term support to prevent secondary disability and to maintain an optimal level of medical and psychological health and functional independence achieved through rehabilitation. </w:t>
      </w:r>
      <w:r w:rsidR="001D6A0A" w:rsidRPr="004E28BB">
        <w:t>Health professionals with experience in life care p</w:t>
      </w:r>
      <w:r w:rsidR="00D00A44" w:rsidRPr="004E28BB">
        <w:t>lans</w:t>
      </w:r>
      <w:r w:rsidR="001D6A0A" w:rsidRPr="004E28BB">
        <w:t xml:space="preserve"> are frequently involved in making assessments for long</w:t>
      </w:r>
      <w:r w:rsidR="00F702AC">
        <w:t>-</w:t>
      </w:r>
      <w:r w:rsidR="001D6A0A" w:rsidRPr="004E28BB">
        <w:t xml:space="preserve">term care. </w:t>
      </w:r>
      <w:r w:rsidRPr="004E28BB">
        <w:t>Providers and carriers should adopt a long-term case management model for these individuals. Common lifetime supports that are reasonable and necessary include</w:t>
      </w:r>
      <w:r w:rsidR="00F702AC">
        <w:t>,</w:t>
      </w:r>
      <w:r w:rsidRPr="004E28BB">
        <w:t xml:space="preserve"> but are not limited to, physician oversight, nursing services, various periodic rehabilitation therapies, life skills training, supported living programs, attendant care, supported employment, productive activity recreation, transportation, medication, psychological services</w:t>
      </w:r>
      <w:r w:rsidR="00F702AC">
        <w:t>,</w:t>
      </w:r>
      <w:r w:rsidRPr="004E28BB">
        <w:t xml:space="preserve"> and individual/family</w:t>
      </w:r>
      <w:r w:rsidR="005C7D65">
        <w:t>/support system</w:t>
      </w:r>
      <w:r w:rsidRPr="004E28BB">
        <w:t xml:space="preserve"> education. Supported employment may assist in return to work outside a sheltered work setting. The specific type and amount of support necessary will vary in each individual case and may change over time. Practitioners are encouraged to analyze risk factors and to establish viable long-term maintenance plans. Long-term maintenance programs should be managed by an experienced certified case manager who may intervene quickly when necessary. Case management should not be discontinued when a person completes acute rehabilitation</w:t>
      </w:r>
      <w:r w:rsidR="00F702AC">
        <w:t>,</w:t>
      </w:r>
      <w:r w:rsidRPr="004E28BB">
        <w:t xml:space="preserve"> but </w:t>
      </w:r>
      <w:r w:rsidR="00F702AC">
        <w:t xml:space="preserve">it </w:t>
      </w:r>
      <w:r w:rsidRPr="004E28BB">
        <w:t>should continue at a frequency necessary for successful long-term management.</w:t>
      </w:r>
      <w:r w:rsidRPr="004E28BB">
        <w:br/>
      </w:r>
      <w:r w:rsidRPr="004E28BB">
        <w:br/>
        <w:t>Medical and rehabilitation providers are encouraged to educate individuals and their family</w:t>
      </w:r>
      <w:r w:rsidR="00387A03">
        <w:t xml:space="preserve"> and</w:t>
      </w:r>
      <w:r w:rsidRPr="004E28BB">
        <w:t>/</w:t>
      </w:r>
      <w:r w:rsidR="00387A03">
        <w:t xml:space="preserve">or </w:t>
      </w:r>
      <w:r w:rsidRPr="004E28BB">
        <w:t xml:space="preserve">support systems regarding anticipated ongoing medical and rehabilitation needs. Because the long-term medical needs of individuals with moderate/severe TBI are uncertain, each individual, his/her </w:t>
      </w:r>
      <w:r w:rsidR="00387A03">
        <w:t>family and/or support system</w:t>
      </w:r>
      <w:r w:rsidRPr="004E28BB">
        <w:t xml:space="preserve"> and providers should plan for unforeseen medical, psychiatric, social, physical</w:t>
      </w:r>
      <w:r w:rsidR="00F702AC">
        <w:t>,</w:t>
      </w:r>
      <w:r w:rsidRPr="004E28BB">
        <w:t xml:space="preserve"> and cognitive complications as individuals with </w:t>
      </w:r>
      <w:r w:rsidR="0056633D">
        <w:t>TBI</w:t>
      </w:r>
      <w:r w:rsidRPr="004E28BB">
        <w:t xml:space="preserve"> age. Failure to address long-term management as part of the overall treatment program may lead to higher costs and greater dependence on the health care system. Management of moderate/severe TBI continues after the individual has met the definition of </w:t>
      </w:r>
      <w:r w:rsidR="00B05FF1">
        <w:t>MMI</w:t>
      </w:r>
      <w:r w:rsidRPr="004E28BB">
        <w:t>. MMI is reached when an individual’s condition has plateaued and the authorized treating physician believes no further medical intervention is likely to result in improved function. For moderate to severe patients</w:t>
      </w:r>
      <w:r w:rsidR="00F702AC">
        <w:t>,</w:t>
      </w:r>
      <w:r w:rsidRPr="004E28BB">
        <w:t xml:space="preserve"> this is not likely to occur for at least two years. When the individual has reached MMI, a physician must describe in detail the plan for maintenance treatment, </w:t>
      </w:r>
      <w:r w:rsidR="00F702AC">
        <w:t xml:space="preserve">including the </w:t>
      </w:r>
      <w:r w:rsidRPr="004E28BB">
        <w:t>level and type of care and support services. (</w:t>
      </w:r>
      <w:r w:rsidR="00756447">
        <w:t>r</w:t>
      </w:r>
      <w:r w:rsidRPr="004E28BB">
        <w:t xml:space="preserve">efer to </w:t>
      </w:r>
      <w:r w:rsidR="00811C8B">
        <w:t>Section</w:t>
      </w:r>
      <w:r w:rsidRPr="004E28BB">
        <w:t xml:space="preserve"> </w:t>
      </w:r>
      <w:hyperlink w:anchor="TBIC6CourseOfRecovery" w:history="1">
        <w:r w:rsidRPr="004E28BB">
          <w:rPr>
            <w:rStyle w:val="Hyperlink"/>
          </w:rPr>
          <w:t>C.6. Course of Recovery</w:t>
        </w:r>
      </w:hyperlink>
      <w:r w:rsidRPr="004E28BB">
        <w:t>)</w:t>
      </w:r>
      <w:r w:rsidR="0069203C">
        <w:t>.</w:t>
      </w:r>
      <w:r w:rsidRPr="004E28BB">
        <w:br/>
      </w:r>
      <w:r w:rsidRPr="004E28BB">
        <w:br/>
        <w:t>Maintenance care of individuals with moderate/severe TBI requires a close working relationship among the insurance carrier, the clinical providers, the family</w:t>
      </w:r>
      <w:r w:rsidR="00387A03">
        <w:t xml:space="preserve"> and</w:t>
      </w:r>
      <w:r w:rsidRPr="004E28BB">
        <w:t>/</w:t>
      </w:r>
      <w:r w:rsidR="00387A03">
        <w:t xml:space="preserve">or </w:t>
      </w:r>
      <w:r w:rsidRPr="004E28BB">
        <w:t xml:space="preserve">support system, and the individual with TBI. Clinical providers have an obligation to design a cost-effective, medically appropriate program that is predictable and allows the carrier to set </w:t>
      </w:r>
      <w:r w:rsidRPr="004E28BB">
        <w:lastRenderedPageBreak/>
        <w:t>aside appropriate reserves. Insurers and adjusters have an obligation to assure that medically appropriate, cost effective programs are authorized in a timely manner. A designated primary physician for maintenance team management is recommended.</w:t>
      </w:r>
      <w:r w:rsidRPr="004E28BB">
        <w:br/>
      </w:r>
      <w:r w:rsidRPr="004E28BB">
        <w:br/>
        <w:t>When developing a maintenance plan of care, the individual, his/her physician</w:t>
      </w:r>
      <w:r w:rsidR="00F702AC">
        <w:t>,</w:t>
      </w:r>
      <w:r w:rsidRPr="004E28BB">
        <w:t xml:space="preserve"> and the insurer should attempt to meet the following goals:</w:t>
      </w:r>
    </w:p>
    <w:p w:rsidR="006054C0" w:rsidRPr="004E28BB" w:rsidRDefault="006054C0" w:rsidP="00D41D04">
      <w:pPr>
        <w:ind w:left="2160" w:hanging="360"/>
      </w:pPr>
      <w:r w:rsidRPr="004E28BB">
        <w:t>●</w:t>
      </w:r>
      <w:r w:rsidRPr="004E28BB">
        <w:tab/>
        <w:t>Maximum independence will be achieved through the use of home and community-based programs and services</w:t>
      </w:r>
      <w:r w:rsidR="00F702AC">
        <w:t>.</w:t>
      </w:r>
    </w:p>
    <w:p w:rsidR="006054C0" w:rsidRPr="004E28BB" w:rsidRDefault="006054C0" w:rsidP="00D41D04">
      <w:pPr>
        <w:ind w:left="2160" w:hanging="360"/>
      </w:pPr>
      <w:r w:rsidRPr="004E28BB">
        <w:t>●</w:t>
      </w:r>
      <w:r w:rsidRPr="004E28BB">
        <w:tab/>
        <w:t xml:space="preserve">Individuals with </w:t>
      </w:r>
      <w:r w:rsidR="0056633D">
        <w:t>TBI</w:t>
      </w:r>
      <w:r w:rsidRPr="004E28BB">
        <w:t xml:space="preserve"> shall maximally participate in decision-making, self-management and self-applied treatment</w:t>
      </w:r>
      <w:r w:rsidR="00F702AC">
        <w:t>.</w:t>
      </w:r>
    </w:p>
    <w:p w:rsidR="006453B6" w:rsidRPr="004E28BB" w:rsidRDefault="006054C0" w:rsidP="00D41D04">
      <w:pPr>
        <w:ind w:left="1440"/>
      </w:pPr>
      <w:r w:rsidRPr="004E28BB">
        <w:t>Treatment involving more than one provider shall be coordinated through an authorized treating physician and case manager.</w:t>
      </w:r>
    </w:p>
    <w:p w:rsidR="006054C0" w:rsidRPr="004E28BB" w:rsidRDefault="006453B6" w:rsidP="00D41D04">
      <w:pPr>
        <w:ind w:left="1440"/>
      </w:pPr>
      <w:r w:rsidRPr="004E28BB">
        <w:t xml:space="preserve">The authorized treating physician should reassess treatment at least every </w:t>
      </w:r>
      <w:r w:rsidR="00603682">
        <w:t>six</w:t>
      </w:r>
      <w:r w:rsidRPr="004E28BB">
        <w:t xml:space="preserve"> months.</w:t>
      </w:r>
      <w:r w:rsidR="006054C0" w:rsidRPr="004E28BB">
        <w:br/>
      </w:r>
      <w:r w:rsidR="006054C0" w:rsidRPr="004E28BB">
        <w:br/>
        <w:t xml:space="preserve">Treatment by all practitioners should focus on establishing the highest possible level of self-sufficiency. </w:t>
      </w:r>
      <w:r w:rsidRPr="004E28BB">
        <w:t>Most passive modalities are oriented toward pain management. They should be limited and emphasize self-management and self-applied treatment with a demonstrated goal of increasing activity and function.</w:t>
      </w:r>
      <w:r w:rsidR="006054C0" w:rsidRPr="004E28BB">
        <w:br/>
      </w:r>
      <w:r w:rsidR="006054C0" w:rsidRPr="004E28BB">
        <w:br/>
        <w:t>Patients and families</w:t>
      </w:r>
      <w:r w:rsidR="00F702AC">
        <w:t xml:space="preserve"> and/or support systems</w:t>
      </w:r>
      <w:r w:rsidR="006054C0" w:rsidRPr="004E28BB">
        <w:t xml:space="preserve"> should understand that failure to comply with the elements of the self-management program or therapeutic plan of care may affect consideration of other interventions</w:t>
      </w:r>
      <w:r w:rsidR="00F702AC">
        <w:t>.</w:t>
      </w:r>
      <w:r w:rsidR="006054C0" w:rsidRPr="004E28BB">
        <w:br/>
      </w:r>
      <w:r w:rsidR="006054C0" w:rsidRPr="004E28BB">
        <w:br/>
        <w:t xml:space="preserve">Periodic reassessment of the individual’s condition will occur as appropriate. Overall maintenance plan should be reassessed at least annually by the authorized treating physician. </w:t>
      </w:r>
      <w:r w:rsidR="006054C0" w:rsidRPr="004E28BB">
        <w:br/>
      </w:r>
      <w:r w:rsidR="006054C0" w:rsidRPr="004E28BB">
        <w:br/>
        <w:t>Post</w:t>
      </w:r>
      <w:r w:rsidR="007843ED">
        <w:t>-</w:t>
      </w:r>
      <w:r w:rsidR="006054C0" w:rsidRPr="004E28BB">
        <w:t xml:space="preserve">MMI treatment is alphabetically ordered. Programs should be individualized to specific needs. </w:t>
      </w:r>
    </w:p>
    <w:p w:rsidR="006054C0" w:rsidRPr="004E28BB" w:rsidRDefault="006054C0" w:rsidP="00D41D04">
      <w:pPr>
        <w:pStyle w:val="ListNumber2"/>
      </w:pPr>
      <w:bookmarkStart w:id="727" w:name="_Toc319922665"/>
      <w:bookmarkStart w:id="728" w:name="_Toc394643444"/>
      <w:r w:rsidRPr="004E28BB">
        <w:rPr>
          <w:rStyle w:val="Guide2-123Char"/>
        </w:rPr>
        <w:t>COGNITIVE/BEHAVIORAL/PSYCHOLOGICAL MANAGEMENT</w:t>
      </w:r>
      <w:bookmarkEnd w:id="727"/>
      <w:bookmarkEnd w:id="728"/>
      <w:r w:rsidR="00F702AC" w:rsidRPr="004E28BB">
        <w:t>:</w:t>
      </w:r>
      <w:r w:rsidRPr="004E28BB">
        <w:t xml:space="preserve"> The maintenance program for individuals with moderate/severe </w:t>
      </w:r>
      <w:r w:rsidR="0056633D">
        <w:t>TBI</w:t>
      </w:r>
      <w:r w:rsidRPr="004E28BB">
        <w:t>s should be oriented toward maintaining the highest level of independent function that he/she has been able to achieve. Developmental issues, changes in the individual’s support system, and development of or exacerbation of a mood or other psychiatric disorder may require psychological treatment to return the individual to the highest level of functioning possible. Individuals with or without TBI frontal involvement may need periodic reassessments, and psychiatric and</w:t>
      </w:r>
      <w:r w:rsidR="00F702AC">
        <w:t>/</w:t>
      </w:r>
      <w:r w:rsidRPr="004E28BB">
        <w:t xml:space="preserve">or psychological interventions. Some individuals with persistent behavioral problems (i.e. with impulsivity or other behavioral dyscontrol) may require regular psychological maintenance therapy to help the individual to function </w:t>
      </w:r>
      <w:r w:rsidR="00F702AC">
        <w:t xml:space="preserve">maximally </w:t>
      </w:r>
      <w:r w:rsidRPr="004E28BB">
        <w:t xml:space="preserve">in the community. </w:t>
      </w:r>
      <w:r w:rsidRPr="004E28BB">
        <w:br/>
      </w:r>
      <w:r w:rsidRPr="004E28BB">
        <w:br/>
        <w:t>Where possible, the person with moderate/severe injury should be involved in social skills training, support groups</w:t>
      </w:r>
      <w:r w:rsidR="00F702AC">
        <w:t>,</w:t>
      </w:r>
      <w:r w:rsidRPr="004E28BB">
        <w:t xml:space="preserve"> and/or other community-based activities to promote socialization. Some individuals with severe injuries will require periodic consultation to correct problems that have developed to allow them to continue to function in the community. Health care providers who provide services to maintain the functioning of individuals with TBI in the community are obligated to identify the specific diagnosis and symptoms on</w:t>
      </w:r>
      <w:r w:rsidR="00357E52" w:rsidRPr="004E28BB">
        <w:t xml:space="preserve"> </w:t>
      </w:r>
      <w:r w:rsidRPr="004E28BB">
        <w:t>which treatment is focused</w:t>
      </w:r>
      <w:r w:rsidR="009B3654" w:rsidRPr="004E28BB">
        <w:t xml:space="preserve"> </w:t>
      </w:r>
      <w:r w:rsidRPr="004E28BB">
        <w:t>and to document the ongoing results of such treatment. The number of sessions will depend on the individual and the situation. Aging or significant life change is likely to have an effect on cognitive, psychological and behavioral function and may require further treatment. Periodic assessment by</w:t>
      </w:r>
      <w:r w:rsidR="00F702AC">
        <w:t xml:space="preserve"> the treating physician and/or an</w:t>
      </w:r>
      <w:r w:rsidRPr="004E28BB">
        <w:t xml:space="preserve"> </w:t>
      </w:r>
      <w:r w:rsidR="00F702AC">
        <w:t>o</w:t>
      </w:r>
      <w:r w:rsidRPr="004E28BB">
        <w:t xml:space="preserve">ccupational, physical, </w:t>
      </w:r>
      <w:r w:rsidR="00F702AC">
        <w:t>or s</w:t>
      </w:r>
      <w:r w:rsidRPr="004E28BB">
        <w:t>peech</w:t>
      </w:r>
      <w:r w:rsidR="00F702AC">
        <w:t>-language</w:t>
      </w:r>
      <w:r w:rsidRPr="004E28BB">
        <w:t xml:space="preserve"> therap</w:t>
      </w:r>
      <w:r w:rsidR="00F702AC">
        <w:t>ist</w:t>
      </w:r>
      <w:r w:rsidRPr="004E28BB">
        <w:t xml:space="preserve"> may be </w:t>
      </w:r>
      <w:r w:rsidRPr="004E28BB">
        <w:lastRenderedPageBreak/>
        <w:t>necessary to maintain and/or upgrade the patient’s program and provide additional strategies if needed.</w:t>
      </w:r>
      <w:r w:rsidRPr="004E28BB">
        <w:br/>
      </w:r>
      <w:r w:rsidRPr="004E28BB">
        <w:br/>
        <w:t xml:space="preserve">In the area of psychological function, researchers are learning more about long-term mood disorders, such as depression and anxiety, as well as executive dyscontrol, emotional dis-regulation, and all other disorders for which medication may be beneficial. Regaining insight or self-awareness into the changes caused by TBI is often accompanied by an increase in symptoms of depression. Depression is common following TBI. Increased suicidal ideation has also been reported to occur for many years following TBI. Psychosis is </w:t>
      </w:r>
      <w:r w:rsidR="00F702AC">
        <w:t xml:space="preserve">an </w:t>
      </w:r>
      <w:r w:rsidRPr="004E28BB">
        <w:t xml:space="preserve">uncommon but serious sequela of TBI that also requires psychotropic medication and close monitoring. Substance abuse, particularly alcohol abuse, can occur or recur after TBI, can worsen psychiatric and psychological </w:t>
      </w:r>
      <w:r w:rsidR="00B12D8D">
        <w:t>co-mo</w:t>
      </w:r>
      <w:r w:rsidRPr="004E28BB">
        <w:t xml:space="preserve">rbidities, and should be screened for and treated if present. </w:t>
      </w:r>
    </w:p>
    <w:p w:rsidR="006054C0" w:rsidRPr="004E28BB" w:rsidRDefault="006054C0" w:rsidP="00D41D04">
      <w:pPr>
        <w:pStyle w:val="ListNumber2"/>
      </w:pPr>
      <w:bookmarkStart w:id="729" w:name="_Toc319922666"/>
      <w:bookmarkStart w:id="730" w:name="_Toc394643445"/>
      <w:r w:rsidRPr="004E28BB">
        <w:rPr>
          <w:rStyle w:val="Guide2-123Char"/>
        </w:rPr>
        <w:t>EXERCISE PROGRAMS REQUIRING SPECIAL FACILITIES</w:t>
      </w:r>
      <w:bookmarkEnd w:id="729"/>
      <w:bookmarkEnd w:id="730"/>
      <w:r w:rsidR="0069203C" w:rsidRPr="004E28BB">
        <w:t>:</w:t>
      </w:r>
      <w:r w:rsidRPr="004E28BB">
        <w:t xml:space="preserve"> Some individuals with TBI may have higher compliance with an independent exercise program at a health club or a community activity-based wellness program versus participation in a home program, although individuals with TBI may require supervision or guidance. All exercise programs completed through a health club facility should be approved by the treating therapist and/or physician and focus on the same parameters of an age-adjusted and diagnosis-specific program for aerobic conditioning, flexibility, balan</w:t>
      </w:r>
      <w:r w:rsidR="009B3654" w:rsidRPr="004E28BB">
        <w:t>ce, stabilization</w:t>
      </w:r>
      <w:r w:rsidR="00F702AC">
        <w:t>,</w:t>
      </w:r>
      <w:r w:rsidR="009B3654" w:rsidRPr="004E28BB">
        <w:t xml:space="preserve"> and strength</w:t>
      </w:r>
      <w:r w:rsidRPr="004E28BB">
        <w:t xml:space="preserve">. Prior to purchasing a membership, a therapist and/or exercise specialist who has treated the individual should visit the facility with the individual to assure proper use of the equipment. Periodic program evaluation and upgrading may be necessary by the therapist. The use of a personal trainer may be necessary. </w:t>
      </w:r>
    </w:p>
    <w:p w:rsidR="006054C0" w:rsidRPr="004E28BB" w:rsidRDefault="006054C0" w:rsidP="00D41D04">
      <w:pPr>
        <w:pStyle w:val="ListNumber2"/>
        <w:numPr>
          <w:ilvl w:val="0"/>
          <w:numId w:val="0"/>
        </w:numPr>
        <w:ind w:left="2160" w:hanging="360"/>
      </w:pPr>
      <w:r w:rsidRPr="004E28BB">
        <w:sym w:font="Wingdings" w:char="F076"/>
      </w:r>
      <w:r w:rsidRPr="004E28BB">
        <w:tab/>
        <w:t>Frequency: Approximately 2 times per week. Regular attendance is necessary for conti</w:t>
      </w:r>
      <w:r w:rsidR="00C72926" w:rsidRPr="004E28BB">
        <w:t xml:space="preserve">nuation, with </w:t>
      </w:r>
      <w:r w:rsidR="00F702AC">
        <w:t xml:space="preserve">an </w:t>
      </w:r>
      <w:r w:rsidR="00C72926" w:rsidRPr="004E28BB">
        <w:t xml:space="preserve">exception </w:t>
      </w:r>
      <w:r w:rsidR="00F702AC">
        <w:t>for a</w:t>
      </w:r>
      <w:r w:rsidR="00C72926" w:rsidRPr="004E28BB">
        <w:t xml:space="preserve"> medical or sufficient intervening cause.</w:t>
      </w:r>
    </w:p>
    <w:p w:rsidR="006054C0" w:rsidRPr="004E28BB" w:rsidRDefault="006054C0" w:rsidP="00D41D04">
      <w:pPr>
        <w:ind w:left="2160" w:hanging="360"/>
      </w:pPr>
      <w:r w:rsidRPr="004E28BB">
        <w:sym w:font="Wingdings" w:char="F076"/>
      </w:r>
      <w:r w:rsidRPr="004E28BB">
        <w:tab/>
        <w:t xml:space="preserve">Maximum </w:t>
      </w:r>
      <w:r w:rsidR="00F702AC">
        <w:t>M</w:t>
      </w:r>
      <w:r w:rsidRPr="004E28BB">
        <w:t xml:space="preserve">aintenance </w:t>
      </w:r>
      <w:r w:rsidR="00F702AC">
        <w:t>D</w:t>
      </w:r>
      <w:r w:rsidRPr="004E28BB">
        <w:t xml:space="preserve">uration: Continuation beyond 3 months after MMI should be based on functional benefit and compliance. At MMI, </w:t>
      </w:r>
      <w:r w:rsidR="006664B6">
        <w:t>h</w:t>
      </w:r>
      <w:r w:rsidRPr="004E28BB">
        <w:t>ealth club membership should not extend beyond 3 months if attendance drops below 2 times per week on a regular basis without a medical cause.</w:t>
      </w:r>
    </w:p>
    <w:p w:rsidR="006054C0" w:rsidRPr="004E28BB" w:rsidRDefault="006054C0" w:rsidP="00D41D04">
      <w:pPr>
        <w:pStyle w:val="ListNumber2"/>
      </w:pPr>
      <w:bookmarkStart w:id="731" w:name="_Toc319922667"/>
      <w:bookmarkStart w:id="732" w:name="_Toc394643446"/>
      <w:r w:rsidRPr="004E28BB">
        <w:rPr>
          <w:rStyle w:val="Guide2-123Char"/>
        </w:rPr>
        <w:t>HOME EXERCISE PROGRAMS AND EXERCISE EQUIPMENT</w:t>
      </w:r>
      <w:bookmarkEnd w:id="731"/>
      <w:bookmarkEnd w:id="732"/>
      <w:r w:rsidR="006664B6" w:rsidRPr="004E28BB">
        <w:t>:</w:t>
      </w:r>
      <w:r w:rsidRPr="004E28BB">
        <w:t xml:space="preserve"> Most patients have the ability to participate in a home exercise program after completion of a supervised exercise rehabilitation program. Programs should incorporate an exercise prescription including the continuation of an age-adjusted and diagnosis-specific program for aerobic conditioning, flexibility, stabilization, balance</w:t>
      </w:r>
      <w:r w:rsidR="006664B6">
        <w:t>,</w:t>
      </w:r>
      <w:r w:rsidRPr="004E28BB">
        <w:t xml:space="preserve"> and strength. Some moderate/severe patients may benefit from the purchase or rental of equipment to maintain a home exercise program. Determination for the need of home equipment should be based on medical necessity to maintain MMI, compliance with an independent exercise program</w:t>
      </w:r>
      <w:r w:rsidR="006664B6">
        <w:t>,</w:t>
      </w:r>
      <w:r w:rsidRPr="004E28BB">
        <w:t xml:space="preserve"> and reasonable cost. Before the purchase or long-term rental of equipment, the patient should be able to demonstrate the proper use and effectiveness of the equipment. Effectiveness of equipment should be evaluated on its ability to improve or maintain functional areas related to </w:t>
      </w:r>
      <w:r w:rsidR="0049733A">
        <w:t>ADLs</w:t>
      </w:r>
      <w:r w:rsidRPr="004E28BB">
        <w:t xml:space="preserve"> or work activity. Home exercise programs are most effective when done </w:t>
      </w:r>
      <w:r w:rsidR="00316AC2">
        <w:t xml:space="preserve">three </w:t>
      </w:r>
      <w:r w:rsidRPr="004E28BB">
        <w:t xml:space="preserve">to </w:t>
      </w:r>
      <w:r w:rsidR="00316AC2">
        <w:t xml:space="preserve">five </w:t>
      </w:r>
      <w:r w:rsidRPr="004E28BB">
        <w:t>times a week. Prior to purchasing the equipment</w:t>
      </w:r>
      <w:r w:rsidR="006664B6">
        <w:t>,</w:t>
      </w:r>
      <w:r w:rsidRPr="004E28BB">
        <w:t xml:space="preserve"> a therapist and/or exercise specialist who has treated the patient should visit a facility with the patient to assure proper use of the equipment. Follow up evaluations in the home should occur to assure compliance and to upgrade the home program. Occasionally, compliance evaluations may be made through a </w:t>
      </w:r>
      <w:r w:rsidR="00603682">
        <w:t>four</w:t>
      </w:r>
      <w:r w:rsidR="006664B6">
        <w:t>-</w:t>
      </w:r>
      <w:r w:rsidRPr="004E28BB">
        <w:t>week membership at a facility offering similar equipment. For chronic pain</w:t>
      </w:r>
      <w:r w:rsidR="006664B6">
        <w:t>,</w:t>
      </w:r>
      <w:r w:rsidRPr="004E28BB">
        <w:t xml:space="preserve"> refer to </w:t>
      </w:r>
      <w:r w:rsidR="006664B6">
        <w:t xml:space="preserve">the </w:t>
      </w:r>
      <w:r w:rsidRPr="004E28BB">
        <w:t xml:space="preserve">Chronic Pain </w:t>
      </w:r>
      <w:r w:rsidR="006664B6">
        <w:t>G</w:t>
      </w:r>
      <w:r w:rsidRPr="004E28BB">
        <w:t xml:space="preserve">uidelines. </w:t>
      </w:r>
    </w:p>
    <w:p w:rsidR="006054C0" w:rsidRPr="004E28BB" w:rsidRDefault="006054C0" w:rsidP="00D41D04">
      <w:pPr>
        <w:pStyle w:val="ListNumber2"/>
      </w:pPr>
      <w:bookmarkStart w:id="733" w:name="_Toc319922668"/>
      <w:bookmarkStart w:id="734" w:name="_Toc394643447"/>
      <w:r w:rsidRPr="004E28BB">
        <w:rPr>
          <w:rStyle w:val="Guide2-123Char"/>
        </w:rPr>
        <w:t>LONG-TERM RESIDENTIAL CARE</w:t>
      </w:r>
      <w:bookmarkEnd w:id="733"/>
      <w:bookmarkEnd w:id="734"/>
      <w:r w:rsidR="006664B6" w:rsidRPr="004E28BB">
        <w:t>:</w:t>
      </w:r>
      <w:r w:rsidRPr="004E28BB">
        <w:t xml:space="preserve"> Some individuals with moderate/severe TBI may require long-term residential care due to the aging process, loss of a caregiver, becoming unsafe in their environment</w:t>
      </w:r>
      <w:r w:rsidR="006664B6">
        <w:t>,</w:t>
      </w:r>
      <w:r w:rsidRPr="004E28BB">
        <w:t xml:space="preserve"> or other similar changes. Such facilities or programs may </w:t>
      </w:r>
      <w:r w:rsidRPr="004E28BB">
        <w:lastRenderedPageBreak/>
        <w:t>provide the individual with TBI the necessary supervisory support so that he/she may safely maintain his/her maximum level of function in as least restrictive an environment as possible. In most cases, these individuals may be referred to Nursing Care Facilities (</w:t>
      </w:r>
      <w:r w:rsidR="00756447">
        <w:t>r</w:t>
      </w:r>
      <w:r w:rsidRPr="004E28BB">
        <w:t xml:space="preserve">efer to </w:t>
      </w:r>
      <w:r w:rsidR="00811C8B">
        <w:t>Section</w:t>
      </w:r>
      <w:r w:rsidRPr="004E28BB">
        <w:t xml:space="preserve"> </w:t>
      </w:r>
      <w:hyperlink w:anchor="TBIG11dNursingCareFacilities" w:history="1">
        <w:r w:rsidR="00D01B6F" w:rsidRPr="004E28BB">
          <w:rPr>
            <w:rStyle w:val="Hyperlink"/>
          </w:rPr>
          <w:t>I.</w:t>
        </w:r>
        <w:r w:rsidRPr="004E28BB">
          <w:rPr>
            <w:rStyle w:val="Hyperlink"/>
          </w:rPr>
          <w:t>1.d. Nursing Care Facilities</w:t>
        </w:r>
      </w:hyperlink>
      <w:r w:rsidRPr="004E28BB">
        <w:t xml:space="preserve">, or </w:t>
      </w:r>
      <w:r w:rsidR="00811C8B">
        <w:t>Section</w:t>
      </w:r>
      <w:r w:rsidRPr="004E28BB">
        <w:t xml:space="preserve"> </w:t>
      </w:r>
      <w:hyperlink w:anchor="TBIG11iSLPorLongTermCare" w:history="1">
        <w:r w:rsidRPr="004E28BB">
          <w:rPr>
            <w:rStyle w:val="Hyperlink"/>
          </w:rPr>
          <w:t>i. Supported Living Programs (SLP) or Long-Term Care Residential Services</w:t>
        </w:r>
      </w:hyperlink>
      <w:r w:rsidRPr="004E28BB">
        <w:t>)</w:t>
      </w:r>
      <w:r w:rsidR="00756447">
        <w:t>.</w:t>
      </w:r>
    </w:p>
    <w:p w:rsidR="006054C0" w:rsidRPr="004E28BB" w:rsidRDefault="006054C0" w:rsidP="00D41D04">
      <w:pPr>
        <w:pStyle w:val="ListNumber2"/>
      </w:pPr>
      <w:bookmarkStart w:id="735" w:name="_Toc319922669"/>
      <w:bookmarkStart w:id="736" w:name="_Toc394643448"/>
      <w:r w:rsidRPr="004E28BB">
        <w:rPr>
          <w:rStyle w:val="Guide2-123Char"/>
        </w:rPr>
        <w:t>MAINTENANCE HOME CARE</w:t>
      </w:r>
      <w:bookmarkEnd w:id="735"/>
      <w:bookmarkEnd w:id="736"/>
      <w:r w:rsidR="006664B6" w:rsidRPr="004E28BB">
        <w:t>:</w:t>
      </w:r>
      <w:r w:rsidRPr="004E28BB">
        <w:t xml:space="preserve"> Individuals with moderate/severe TBI may require ongoing home care to assist with a variety of services necessary to maintain their </w:t>
      </w:r>
      <w:r w:rsidR="00B05FF1">
        <w:t>MMI</w:t>
      </w:r>
      <w:r w:rsidR="006664B6">
        <w:t>.</w:t>
      </w:r>
      <w:r w:rsidRPr="004E28BB">
        <w:t xml:space="preserve"> The type and frequency of the services required will be dependent on the nature and severity of residual deficits. Services may include skilled nursing, certified nursing assistants, life skills trainer, homemaker, and/or companion care or a combination of these services. Transportation services may also be required. Care may be necessary for limited periods of time</w:t>
      </w:r>
      <w:r w:rsidR="006664B6">
        <w:t>,</w:t>
      </w:r>
      <w:r w:rsidRPr="004E28BB">
        <w:t xml:space="preserve"> or in some cases may be required for the course of the individual’s lifetime.</w:t>
      </w:r>
      <w:r w:rsidRPr="004E28BB">
        <w:br/>
      </w:r>
      <w:r w:rsidRPr="004E28BB">
        <w:br/>
        <w:t>It is essential for providers to be very specific as to the level and type of care necessary for each individual to maintain optimum health and safety. Long-term home health care is one of the most costly services of a maintenance program</w:t>
      </w:r>
      <w:r w:rsidR="006664B6">
        <w:t>,</w:t>
      </w:r>
      <w:r w:rsidRPr="004E28BB">
        <w:t xml:space="preserve"> and availability of professional resources may be limited. Physicians should prescribe only that care which is reasonably necessary to maintain the individual’s functional status or to cure and relieve the effects of the injury.</w:t>
      </w:r>
      <w:r w:rsidRPr="004E28BB">
        <w:br/>
      </w:r>
      <w:r w:rsidRPr="004E28BB">
        <w:br/>
        <w:t>Over time, the individual’s status or family</w:t>
      </w:r>
      <w:r w:rsidR="00387A03">
        <w:t xml:space="preserve"> and/or </w:t>
      </w:r>
      <w:r w:rsidRPr="004E28BB">
        <w:t>support system</w:t>
      </w:r>
      <w:r w:rsidR="006664B6">
        <w:t>’s</w:t>
      </w:r>
      <w:r w:rsidRPr="004E28BB">
        <w:t xml:space="preserve"> status may change</w:t>
      </w:r>
      <w:r w:rsidR="006664B6">
        <w:t>,</w:t>
      </w:r>
      <w:r w:rsidRPr="004E28BB">
        <w:t xml:space="preserve"> resulting in the need to either increase or decrease the frequency, type</w:t>
      </w:r>
      <w:r w:rsidR="006664B6">
        <w:t>,</w:t>
      </w:r>
      <w:r w:rsidRPr="004E28BB">
        <w:t xml:space="preserve"> or level of care. Therefore, with each evaluation, or at least annually, providers shall assess any possible need for a change in home care.</w:t>
      </w:r>
    </w:p>
    <w:p w:rsidR="006054C0" w:rsidRPr="004E28BB" w:rsidRDefault="006054C0" w:rsidP="00D41D04">
      <w:pPr>
        <w:pStyle w:val="ListNumber2"/>
      </w:pPr>
      <w:bookmarkStart w:id="737" w:name="_Toc319922670"/>
      <w:bookmarkStart w:id="738" w:name="_Toc394643449"/>
      <w:r w:rsidRPr="004E28BB">
        <w:rPr>
          <w:rStyle w:val="Guide2-123Char"/>
        </w:rPr>
        <w:t>MEDICATION MANAGEMENT</w:t>
      </w:r>
      <w:bookmarkEnd w:id="737"/>
      <w:bookmarkEnd w:id="738"/>
      <w:r w:rsidR="006664B6" w:rsidRPr="004E28BB">
        <w:t>:</w:t>
      </w:r>
      <w:r w:rsidRPr="004E28BB">
        <w:t xml:space="preserve"> Medications may be necessary for life long management of individuals with </w:t>
      </w:r>
      <w:r w:rsidR="006664B6">
        <w:t>TBI</w:t>
      </w:r>
      <w:r w:rsidRPr="004E28BB">
        <w:t>. Medications may be used for medical, physical, perceptual, cognitive</w:t>
      </w:r>
      <w:r w:rsidR="006664B6">
        <w:t>,</w:t>
      </w:r>
      <w:r w:rsidRPr="004E28BB">
        <w:t xml:space="preserve"> </w:t>
      </w:r>
      <w:r w:rsidR="003523DB">
        <w:t xml:space="preserve">neuroendocrine, </w:t>
      </w:r>
      <w:r w:rsidRPr="004E28BB">
        <w:t xml:space="preserve">and psychological reasons, and </w:t>
      </w:r>
      <w:r w:rsidR="006664B6">
        <w:t xml:space="preserve">they </w:t>
      </w:r>
      <w:r w:rsidRPr="004E28BB">
        <w:t>should be prescribed by physicians experienced in TBI medication management. Reasons for possible medications and the types and names of medication are numerous, are individualized for each person</w:t>
      </w:r>
      <w:r w:rsidR="006664B6">
        <w:t>,</w:t>
      </w:r>
      <w:r w:rsidRPr="004E28BB">
        <w:t xml:space="preserve"> and are beyond the scope of these guidelines.</w:t>
      </w:r>
      <w:r w:rsidRPr="004E28BB">
        <w:br/>
      </w:r>
      <w:r w:rsidRPr="004E28BB">
        <w:br/>
        <w:t>As with all prescriptive regimens, physicians periodically reassess the efficacy and side effects of each medication. This is particularly true for individuals who are on long-term medication use. Physicians must follow patients who are on any chronic medication or prescription regimen for compliance, efficacy</w:t>
      </w:r>
      <w:r w:rsidR="006664B6">
        <w:t>,</w:t>
      </w:r>
      <w:r w:rsidRPr="004E28BB">
        <w:t xml:space="preserve"> and side effects. Individuals with TBI are particularly susceptible to certain medication side effects</w:t>
      </w:r>
      <w:r w:rsidR="006664B6">
        <w:t>,</w:t>
      </w:r>
      <w:r w:rsidRPr="004E28BB">
        <w:t xml:space="preserve"> including compromised cognitive function, decreased seizure threshold</w:t>
      </w:r>
      <w:r w:rsidR="006664B6">
        <w:t>,</w:t>
      </w:r>
      <w:r w:rsidRPr="004E28BB">
        <w:t xml:space="preserve"> and other neurological effects. Follow-up visits should document the individual’s ability to perform routine functions. Laboratory or other testing is usually required on a regular basis to monitor medication effects on organ function. For some, medications </w:t>
      </w:r>
      <w:r w:rsidR="006664B6">
        <w:t xml:space="preserve">and </w:t>
      </w:r>
      <w:r w:rsidRPr="004E28BB">
        <w:t>drug levels should be closely monitored. In situations where there are multiple providers for multiple clinical issues, coordination of the total medication regimen is essential. It is strongly recommended that changes in medication be discussed with the physician who is primarily managing the case. Individuals with TBI may forget to take medications and/or have difficulty with complicated medication regimens. They may need assistance with medication management, such as reminders, medication boxes, assistance with filling medication boxes, or medication administration supervision. Some medications may need to be prescribed in small amounts or locked due to safety in patients who are impulsive, forgetful, inconsistent, or otherwise unsafe in ind</w:t>
      </w:r>
      <w:r w:rsidR="00D01B6F" w:rsidRPr="004E28BB">
        <w:t>ependent medication management.</w:t>
      </w:r>
    </w:p>
    <w:p w:rsidR="006054C0" w:rsidRPr="004E28BB" w:rsidRDefault="006054C0" w:rsidP="00D41D04">
      <w:pPr>
        <w:pStyle w:val="ListNumber2"/>
        <w:numPr>
          <w:ilvl w:val="0"/>
          <w:numId w:val="0"/>
        </w:numPr>
        <w:ind w:left="2160" w:hanging="360"/>
      </w:pPr>
      <w:r w:rsidRPr="004E28BB">
        <w:sym w:font="Wingdings" w:char="F076"/>
      </w:r>
      <w:r w:rsidRPr="004E28BB">
        <w:tab/>
        <w:t xml:space="preserve">Maintenance </w:t>
      </w:r>
      <w:r w:rsidR="006664B6">
        <w:t>D</w:t>
      </w:r>
      <w:r w:rsidRPr="004E28BB">
        <w:t xml:space="preserve">uration: Medication and medical management reviews may need to be monthly or more frequently if necessary for changes in medication. Frequency depends on the medications prescribed, with laboratory and other </w:t>
      </w:r>
      <w:r w:rsidRPr="004E28BB">
        <w:lastRenderedPageBreak/>
        <w:t>monitoring done as appropriate. As new medications become available and side effects of other medications are established, there may need to be changes in medical management</w:t>
      </w:r>
    </w:p>
    <w:p w:rsidR="006054C0" w:rsidRPr="004E28BB" w:rsidRDefault="006054C0" w:rsidP="00D41D04">
      <w:pPr>
        <w:pStyle w:val="ListNumber2"/>
      </w:pPr>
      <w:bookmarkStart w:id="739" w:name="_Toc394643450"/>
      <w:r w:rsidRPr="004E28BB">
        <w:rPr>
          <w:rStyle w:val="Guide2-123Char"/>
        </w:rPr>
        <w:t>NEUROMEDICAL MANAGEMENT</w:t>
      </w:r>
      <w:bookmarkEnd w:id="739"/>
      <w:r w:rsidR="006664B6" w:rsidRPr="004E28BB">
        <w:t>:</w:t>
      </w:r>
      <w:r w:rsidR="00D01B6F" w:rsidRPr="004E28BB">
        <w:t xml:space="preserve"> </w:t>
      </w:r>
      <w:r w:rsidRPr="004E28BB">
        <w:t>Moderate/severe TBI patients and some MTBI patients will have ongoing medical issues requiring treatment on a regular basis. The frequency of follow up will vary according to the severity of the medical problem. Examples of related medical diagnoses include, but are not limited to: neuro-endocrine dysfunction, urinary incontinence, heterotrophic ossification, seizures</w:t>
      </w:r>
      <w:r w:rsidR="006664B6">
        <w:t>,</w:t>
      </w:r>
      <w:r w:rsidRPr="004E28BB">
        <w:t xml:space="preserve"> and other conditions described in the treatment sections of this guideline.</w:t>
      </w:r>
    </w:p>
    <w:p w:rsidR="006054C0" w:rsidRPr="004E28BB" w:rsidRDefault="006054C0" w:rsidP="00D41D04">
      <w:pPr>
        <w:pStyle w:val="ListNumber2"/>
        <w:numPr>
          <w:ilvl w:val="0"/>
          <w:numId w:val="0"/>
        </w:numPr>
        <w:ind w:left="2160" w:hanging="360"/>
      </w:pPr>
      <w:r w:rsidRPr="004E28BB">
        <w:sym w:font="Wingdings" w:char="F076"/>
      </w:r>
      <w:r w:rsidRPr="004E28BB">
        <w:tab/>
        <w:t xml:space="preserve">Maintenance </w:t>
      </w:r>
      <w:r w:rsidR="006664B6">
        <w:t>D</w:t>
      </w:r>
      <w:r w:rsidRPr="004E28BB">
        <w:t xml:space="preserve">uration: Medical management visit frequency will depend on the severity of the medical condition but may occur monthly or more frequently. Visits should occur at least at </w:t>
      </w:r>
      <w:r w:rsidR="00603682">
        <w:t>six-</w:t>
      </w:r>
      <w:r w:rsidRPr="004E28BB">
        <w:t>month intervals for extremely stable conditions</w:t>
      </w:r>
      <w:r w:rsidR="006664B6">
        <w:t>.</w:t>
      </w:r>
    </w:p>
    <w:p w:rsidR="006054C0" w:rsidRPr="004E28BB" w:rsidRDefault="006054C0" w:rsidP="00D41D04">
      <w:pPr>
        <w:pStyle w:val="ListNumber2"/>
      </w:pPr>
      <w:bookmarkStart w:id="740" w:name="_Toc319922671"/>
      <w:bookmarkStart w:id="741" w:name="_Toc394643451"/>
      <w:r w:rsidRPr="004E28BB">
        <w:rPr>
          <w:rStyle w:val="Guide2-123Char"/>
        </w:rPr>
        <w:t>PATIENT EDUCATION MANAGEMENT</w:t>
      </w:r>
      <w:bookmarkEnd w:id="740"/>
      <w:bookmarkEnd w:id="741"/>
      <w:r w:rsidR="0069203C" w:rsidRPr="004E28BB">
        <w:t>:</w:t>
      </w:r>
      <w:r w:rsidRPr="004E28BB">
        <w:t xml:space="preserve"> Educational classes, sessions, or programs may be necessary to reinforce self-management techniques and social skills training and help the individual adjust to life changes. This may be performed as formal or informal programs, either group or individual.</w:t>
      </w:r>
    </w:p>
    <w:p w:rsidR="006054C0" w:rsidRPr="004E28BB" w:rsidRDefault="006054C0" w:rsidP="00D41D04">
      <w:pPr>
        <w:ind w:left="2160" w:hanging="360"/>
      </w:pPr>
      <w:r w:rsidRPr="004E28BB">
        <w:sym w:font="Wingdings" w:char="F076"/>
      </w:r>
      <w:r w:rsidRPr="004E28BB">
        <w:tab/>
        <w:t xml:space="preserve">Maintenance </w:t>
      </w:r>
      <w:r w:rsidR="006664B6">
        <w:t>D</w:t>
      </w:r>
      <w:r w:rsidRPr="004E28BB">
        <w:t>uration: 2 to 6 educational sessions during one 12-month period. Changes in life circumstances or the individual’s condition may require greater frequency of educational sessions</w:t>
      </w:r>
      <w:r w:rsidR="006664B6">
        <w:t>.</w:t>
      </w:r>
    </w:p>
    <w:p w:rsidR="006054C0" w:rsidRPr="004E28BB" w:rsidRDefault="006054C0" w:rsidP="00D41D04">
      <w:pPr>
        <w:pStyle w:val="ListNumber2"/>
        <w:rPr>
          <w:rStyle w:val="Guide2-123Char"/>
          <w:b w:val="0"/>
          <w:caps w:val="0"/>
        </w:rPr>
      </w:pPr>
      <w:bookmarkStart w:id="742" w:name="_Toc319922672"/>
      <w:bookmarkStart w:id="743" w:name="_Toc394643452"/>
      <w:r w:rsidRPr="004E28BB">
        <w:rPr>
          <w:rStyle w:val="Guide2-123Char"/>
        </w:rPr>
        <w:t>PHYSICAL, OCCUPATIONAL</w:t>
      </w:r>
      <w:r w:rsidR="006664B6">
        <w:rPr>
          <w:rStyle w:val="Guide2-123Char"/>
        </w:rPr>
        <w:t>,</w:t>
      </w:r>
      <w:r w:rsidRPr="004E28BB">
        <w:rPr>
          <w:rStyle w:val="Guide2-123Char"/>
        </w:rPr>
        <w:t xml:space="preserve"> and Speech</w:t>
      </w:r>
      <w:r w:rsidR="006664B6">
        <w:rPr>
          <w:rStyle w:val="Guide2-123Char"/>
        </w:rPr>
        <w:t>-</w:t>
      </w:r>
      <w:r w:rsidRPr="004E28BB">
        <w:rPr>
          <w:rStyle w:val="Guide2-123Char"/>
        </w:rPr>
        <w:t>Language THERAPY</w:t>
      </w:r>
      <w:bookmarkEnd w:id="742"/>
      <w:bookmarkEnd w:id="743"/>
      <w:r w:rsidR="006664B6" w:rsidRPr="004E28BB">
        <w:t>:</w:t>
      </w:r>
      <w:r w:rsidRPr="004E28BB">
        <w:t xml:space="preserve"> Aggravation of the physical components of the injury may require short-term intensive treatment to return the individual to the post-MMI baseline. Therapy with the individual actively involved and/or passive therapy may be indicated on a continued basis if the therapy maintains objective physical function, decreases pain</w:t>
      </w:r>
      <w:r w:rsidR="006664B6">
        <w:t>,</w:t>
      </w:r>
      <w:r w:rsidRPr="004E28BB">
        <w:t xml:space="preserve"> or decreases medication use. There is good evidence that physical, occupational, or multi-disciplinary outpatient therapy reduces deterioration of ADLs and independence for stroke p</w:t>
      </w:r>
      <w:r w:rsidR="00203B09" w:rsidRPr="004E28BB">
        <w:t>atients living in the community</w:t>
      </w:r>
      <w:r w:rsidRPr="004E28BB">
        <w:rPr>
          <w:rStyle w:val="GuideCitesCharChar"/>
        </w:rPr>
        <w:t xml:space="preserve"> </w:t>
      </w:r>
      <w:r w:rsidRPr="001D1CF8">
        <w:rPr>
          <w:rStyle w:val="GuideCitesCharChar"/>
          <w:highlight w:val="yellow"/>
        </w:rPr>
        <w:t xml:space="preserve">([ </w:t>
      </w:r>
      <w:hyperlink w:anchor="OutpatientServTri2003" w:history="1">
        <w:r w:rsidRPr="00CE5BB4">
          <w:rPr>
            <w:rStyle w:val="Hyperlink"/>
            <w:rFonts w:cs="Arial"/>
            <w:highlight w:val="yellow"/>
          </w:rPr>
          <w:t>Cochrane] Outpatient Service Trialists, 2003</w:t>
        </w:r>
      </w:hyperlink>
      <w:r w:rsidRPr="004E28BB">
        <w:rPr>
          <w:rStyle w:val="GuideCitesCharChar"/>
        </w:rPr>
        <w:t>)</w:t>
      </w:r>
      <w:r w:rsidR="00203B09" w:rsidRPr="004E28BB">
        <w:t>.</w:t>
      </w:r>
      <w:r w:rsidRPr="004E28BB">
        <w:t xml:space="preserve"> Additionally, issues of aging </w:t>
      </w:r>
      <w:r w:rsidR="006664B6">
        <w:t>that</w:t>
      </w:r>
      <w:r w:rsidR="006664B6" w:rsidRPr="004E28BB">
        <w:t xml:space="preserve"> </w:t>
      </w:r>
      <w:r w:rsidRPr="004E28BB">
        <w:t xml:space="preserve">result in decreased function in mobility, balance, and overall physical function may require active or passive intervention. In those situations, frequency and duration parameters as defined (in </w:t>
      </w:r>
      <w:r w:rsidR="00811C8B">
        <w:t>Section</w:t>
      </w:r>
      <w:r w:rsidR="008D7772" w:rsidRPr="004E28BB">
        <w:t xml:space="preserve">s </w:t>
      </w:r>
      <w:hyperlink w:anchor="TBIGTherapeuticProceduresNonOp" w:history="1">
        <w:r w:rsidR="008D7772" w:rsidRPr="004E28BB">
          <w:rPr>
            <w:rStyle w:val="Hyperlink"/>
          </w:rPr>
          <w:t>G. Non</w:t>
        </w:r>
        <w:r w:rsidR="0053165C">
          <w:rPr>
            <w:rStyle w:val="Hyperlink"/>
          </w:rPr>
          <w:t>o</w:t>
        </w:r>
        <w:r w:rsidR="008D7772" w:rsidRPr="004E28BB">
          <w:rPr>
            <w:rStyle w:val="Hyperlink"/>
          </w:rPr>
          <w:t>perative Therapeutic Procedures – Initial Treatment Considerations,</w:t>
        </w:r>
      </w:hyperlink>
      <w:r w:rsidR="008D7772" w:rsidRPr="004E28BB">
        <w:t xml:space="preserve"> </w:t>
      </w:r>
      <w:hyperlink w:anchor="TBIHNonOp" w:history="1">
        <w:r w:rsidR="008D7772" w:rsidRPr="004E28BB">
          <w:rPr>
            <w:rStyle w:val="Hyperlink"/>
            <w:rFonts w:cs="Arial"/>
          </w:rPr>
          <w:t>H. Non-operative Therapeutic Procedures – Neuromedical Conditions in Moderate/Severe Brain Injury</w:t>
        </w:r>
      </w:hyperlink>
      <w:r w:rsidR="008D7772" w:rsidRPr="004E28BB">
        <w:t xml:space="preserve">, </w:t>
      </w:r>
      <w:hyperlink w:anchor="TBIINonOp" w:history="1">
        <w:r w:rsidR="008D7772" w:rsidRPr="004E28BB">
          <w:rPr>
            <w:rStyle w:val="Hyperlink"/>
            <w:rFonts w:cs="Arial"/>
          </w:rPr>
          <w:t>I. Non-operative Therapeutic Procedures – Rehabilitation</w:t>
        </w:r>
      </w:hyperlink>
      <w:r w:rsidR="008D7772" w:rsidRPr="004E28BB">
        <w:t xml:space="preserve">, </w:t>
      </w:r>
      <w:hyperlink w:anchor="TBIJNonOp" w:history="1">
        <w:r w:rsidR="008D7772" w:rsidRPr="004E28BB">
          <w:rPr>
            <w:rStyle w:val="Hyperlink"/>
            <w:rFonts w:cs="Arial"/>
          </w:rPr>
          <w:t>J. Nonoperative Therapeutic Procedures – Vision, Speech, Swallowing, Balance &amp; Hearing</w:t>
        </w:r>
      </w:hyperlink>
      <w:r w:rsidR="008D7772" w:rsidRPr="004E28BB">
        <w:t xml:space="preserve">, and </w:t>
      </w:r>
      <w:hyperlink w:anchor="TBIKNonOp" w:history="1">
        <w:r w:rsidR="008D7772" w:rsidRPr="004E28BB">
          <w:rPr>
            <w:rStyle w:val="Hyperlink"/>
            <w:rFonts w:cs="Arial"/>
          </w:rPr>
          <w:t xml:space="preserve">K. Nonoperative Therapeutic Procedures – </w:t>
        </w:r>
        <w:r w:rsidR="006664B6">
          <w:rPr>
            <w:rStyle w:val="Hyperlink"/>
            <w:rFonts w:cs="Arial"/>
          </w:rPr>
          <w:t>Return to W</w:t>
        </w:r>
        <w:r w:rsidR="00387A03">
          <w:rPr>
            <w:rStyle w:val="Hyperlink"/>
            <w:rFonts w:cs="Arial"/>
          </w:rPr>
          <w:t>ork</w:t>
        </w:r>
        <w:r w:rsidR="008D7772" w:rsidRPr="004E28BB">
          <w:rPr>
            <w:rStyle w:val="Hyperlink"/>
            <w:rFonts w:cs="Arial"/>
          </w:rPr>
          <w:t>, Driving</w:t>
        </w:r>
        <w:r w:rsidR="006664B6">
          <w:rPr>
            <w:rStyle w:val="Hyperlink"/>
            <w:rFonts w:cs="Arial"/>
          </w:rPr>
          <w:t>,</w:t>
        </w:r>
        <w:r w:rsidR="008D7772" w:rsidRPr="004E28BB">
          <w:rPr>
            <w:rStyle w:val="Hyperlink"/>
            <w:rFonts w:cs="Arial"/>
          </w:rPr>
          <w:t xml:space="preserve"> &amp; Other</w:t>
        </w:r>
      </w:hyperlink>
      <w:r w:rsidRPr="004E28BB">
        <w:t xml:space="preserve">) apply. </w:t>
      </w:r>
      <w:r w:rsidRPr="004E28BB">
        <w:rPr>
          <w:rStyle w:val="Guide2-123Char"/>
          <w:rFonts w:ascii="Arial" w:hAnsi="Arial"/>
          <w:b w:val="0"/>
          <w:caps w:val="0"/>
          <w:u w:val="none"/>
        </w:rPr>
        <w:t>Over time, speech, language and/or cognitive functioning may deteriorate due to changes in the individual’s living situation, role and responsibilities at home or work, support systems, and/or life’s stressors. Short-term speech-language therapy emphasizing patient education, compensatory strategies, and functional goals measured objectively may be indicated. Aging issues of the individual or the caregiver may also result in a decline of speech, language and/or cognitive functioning requiring speech-language treatment.</w:t>
      </w:r>
      <w:bookmarkStart w:id="744" w:name="_Toc319922673"/>
    </w:p>
    <w:p w:rsidR="006054C0" w:rsidRPr="004E28BB" w:rsidRDefault="006054C0" w:rsidP="00D41D04">
      <w:pPr>
        <w:pStyle w:val="ListNumber2"/>
      </w:pPr>
      <w:bookmarkStart w:id="745" w:name="_Toc394643453"/>
      <w:r w:rsidRPr="004E28BB">
        <w:rPr>
          <w:rStyle w:val="Guide2-123Char"/>
        </w:rPr>
        <w:t>PURCHASE, RENTAL</w:t>
      </w:r>
      <w:r w:rsidR="006664B6">
        <w:rPr>
          <w:rStyle w:val="Guide2-123Char"/>
        </w:rPr>
        <w:t>,</w:t>
      </w:r>
      <w:r w:rsidRPr="004E28BB">
        <w:rPr>
          <w:rStyle w:val="Guide2-123Char"/>
        </w:rPr>
        <w:t xml:space="preserve"> AND MAINTENANCE OF DURABLE MEDICAL EQUIPMENT</w:t>
      </w:r>
      <w:bookmarkEnd w:id="744"/>
      <w:bookmarkEnd w:id="745"/>
      <w:r w:rsidR="006664B6" w:rsidRPr="004E28BB">
        <w:t>:</w:t>
      </w:r>
      <w:r w:rsidRPr="004E28BB">
        <w:t xml:space="preserve"> It is recognized that some patients with TBI may require ongoing use of equipment for the purpose of maintaining MMI in the areas of strength, ROM, balance, tone control, functional mobility, ADLs</w:t>
      </w:r>
      <w:r w:rsidR="006664B6">
        <w:t>,</w:t>
      </w:r>
      <w:r w:rsidRPr="004E28BB">
        <w:t xml:space="preserve"> and/or analgesic effect. This may include, but is not limited to</w:t>
      </w:r>
      <w:r w:rsidR="006664B6">
        <w:t>:</w:t>
      </w:r>
      <w:r w:rsidRPr="004E28BB">
        <w:t xml:space="preserve"> exercise equipment; bathroom ADL equipment; assistive devices</w:t>
      </w:r>
      <w:r w:rsidR="006664B6">
        <w:t>,</w:t>
      </w:r>
      <w:r w:rsidRPr="004E28BB">
        <w:t xml:space="preserve"> such as shower/bath seats, assistive mobility devices, splints and/or braces, and assistive technology for memory and medication support; functional electrical muscle stimulators; TENS units and Continuous Positive Airway Pressure (C-PAP). Purchase or rental of this equipment should be done only if the assessment by the physician and/or therapist has determined </w:t>
      </w:r>
      <w:r w:rsidRPr="004E28BB">
        <w:lastRenderedPageBreak/>
        <w:t xml:space="preserve">the effectiveness, compliance, and improved or maintained function by its application. Periodic maintenance and replacement of the equipment may also be indicated </w:t>
      </w:r>
      <w:r w:rsidR="006664B6">
        <w:t xml:space="preserve">and </w:t>
      </w:r>
      <w:r w:rsidRPr="004E28BB">
        <w:t>should be considered in the maintenance plan. It is generally felt that large expense purchases such as spas, whirlpools, and special mattresses</w:t>
      </w:r>
      <w:r w:rsidR="006664B6">
        <w:t>,</w:t>
      </w:r>
      <w:r w:rsidRPr="004E28BB">
        <w:t xml:space="preserve"> are not necessary to maintain function for MTBI patients.</w:t>
      </w:r>
    </w:p>
    <w:p w:rsidR="00A3204A" w:rsidRDefault="006054C0" w:rsidP="00D41D04">
      <w:pPr>
        <w:pStyle w:val="ListNumber2"/>
        <w:numPr>
          <w:ilvl w:val="0"/>
          <w:numId w:val="0"/>
        </w:numPr>
        <w:ind w:left="2160" w:hanging="360"/>
      </w:pPr>
      <w:r w:rsidRPr="004E28BB">
        <w:sym w:font="Wingdings" w:char="F076"/>
      </w:r>
      <w:r w:rsidRPr="004E28BB">
        <w:tab/>
        <w:t xml:space="preserve">Maintenance </w:t>
      </w:r>
      <w:r w:rsidR="006664B6">
        <w:t>D</w:t>
      </w:r>
      <w:r w:rsidRPr="004E28BB">
        <w:t>uration: Not to exceed 6 months for rental equipment. Purchase and maintenance should occur if effective</w:t>
      </w:r>
      <w:r w:rsidR="006664B6">
        <w:t>.</w:t>
      </w:r>
    </w:p>
    <w:p w:rsidR="00A3204A" w:rsidRDefault="00A3204A">
      <w:pPr>
        <w:spacing w:before="0"/>
      </w:pPr>
      <w:r>
        <w:br w:type="page"/>
      </w:r>
    </w:p>
    <w:p w:rsidR="00A3204A" w:rsidRPr="00A3204A" w:rsidRDefault="00A3204A" w:rsidP="00A3204A">
      <w:pPr>
        <w:autoSpaceDE w:val="0"/>
        <w:autoSpaceDN w:val="0"/>
        <w:adjustRightInd w:val="0"/>
        <w:spacing w:before="0"/>
        <w:ind w:left="2347" w:right="1987"/>
        <w:jc w:val="center"/>
        <w:rPr>
          <w:rFonts w:ascii="Times New Roman" w:hAnsi="Times New Roman" w:cs="Times New Roman"/>
          <w:b/>
          <w:bCs/>
          <w:sz w:val="24"/>
          <w:szCs w:val="24"/>
        </w:rPr>
      </w:pPr>
      <w:r w:rsidRPr="00A3204A">
        <w:rPr>
          <w:rFonts w:ascii="Times New Roman" w:hAnsi="Times New Roman" w:cs="Times New Roman"/>
          <w:b/>
          <w:bCs/>
          <w:sz w:val="24"/>
          <w:szCs w:val="24"/>
        </w:rPr>
        <w:lastRenderedPageBreak/>
        <w:t>TRAUMATIC BRAIN INJURY</w:t>
      </w:r>
    </w:p>
    <w:p w:rsidR="00A3204A" w:rsidRDefault="00A3204A" w:rsidP="00A3204A">
      <w:pPr>
        <w:autoSpaceDE w:val="0"/>
        <w:autoSpaceDN w:val="0"/>
        <w:adjustRightInd w:val="0"/>
        <w:spacing w:before="0"/>
        <w:ind w:left="2347" w:right="1987"/>
        <w:jc w:val="center"/>
        <w:rPr>
          <w:rFonts w:ascii="Times New Roman" w:hAnsi="Times New Roman" w:cs="Times New Roman"/>
          <w:b/>
          <w:bCs/>
          <w:sz w:val="24"/>
          <w:szCs w:val="24"/>
        </w:rPr>
      </w:pPr>
      <w:r w:rsidRPr="00A3204A">
        <w:rPr>
          <w:rFonts w:ascii="Times New Roman" w:hAnsi="Times New Roman" w:cs="Times New Roman"/>
          <w:b/>
          <w:bCs/>
          <w:sz w:val="24"/>
          <w:szCs w:val="24"/>
        </w:rPr>
        <w:t>BIBLIOGRAPHY</w:t>
      </w:r>
    </w:p>
    <w:p w:rsidR="00A3204A" w:rsidRPr="00A3204A" w:rsidRDefault="00A3204A" w:rsidP="00A3204A">
      <w:pPr>
        <w:rPr>
          <w:iCs/>
          <w:color w:val="222222"/>
          <w:shd w:val="clear" w:color="auto" w:fill="FFFF00"/>
        </w:rPr>
      </w:pPr>
      <w:r>
        <w:rPr>
          <w:rFonts w:ascii="Times New Roman" w:hAnsi="Times New Roman" w:cs="Times New Roman"/>
          <w:sz w:val="24"/>
          <w:szCs w:val="24"/>
        </w:rPr>
        <w:br/>
      </w:r>
      <w:r>
        <w:rPr>
          <w:rFonts w:ascii="Times New Roman" w:hAnsi="Times New Roman" w:cs="Times New Roman"/>
          <w:sz w:val="24"/>
          <w:szCs w:val="24"/>
        </w:rPr>
        <w:br/>
      </w:r>
      <w:r w:rsidRPr="00A3204A">
        <w:rPr>
          <w:color w:val="222222"/>
          <w:shd w:val="clear" w:color="auto" w:fill="FFFFFF"/>
        </w:rPr>
        <w:t>The bibliography for the Traumatic Brain Injury Medical Treatment Guidelines reflects the articles, abstracts, and literature reviewed during the Traumatic Brain Injury update process. Over 500 articles and literature were examined for consideration during the course of this update</w:t>
      </w:r>
      <w:r w:rsidRPr="00A3204A">
        <w:rPr>
          <w:color w:val="222222"/>
        </w:rPr>
        <w:t xml:space="preserve">.   </w:t>
      </w:r>
      <w:r w:rsidRPr="00A3204A">
        <w:rPr>
          <w:color w:val="222222"/>
          <w:shd w:val="clear" w:color="auto" w:fill="FFFFFF"/>
        </w:rPr>
        <w:t xml:space="preserve">Literature that was used to support evidence statements is listed in the bibliography.   A limited number of articles qualified for evidence statements.  The designated strength of the evidence (eg. some, good, strong) may not coincide with acceptability of treatment.  Each level of evidence was assigned in accordance with the related </w:t>
      </w:r>
      <w:r w:rsidR="006B6DA9">
        <w:rPr>
          <w:color w:val="222222"/>
          <w:shd w:val="clear" w:color="auto" w:fill="FFFFFF"/>
        </w:rPr>
        <w:t xml:space="preserve"> Assessment Criteria. </w:t>
      </w:r>
      <w:r w:rsidR="006B6DA9">
        <w:rPr>
          <w:color w:val="222222"/>
          <w:shd w:val="clear" w:color="auto" w:fill="FFFFFF"/>
        </w:rPr>
        <w:br/>
      </w:r>
      <w:r w:rsidR="006B6DA9">
        <w:rPr>
          <w:color w:val="222222"/>
          <w:shd w:val="clear" w:color="auto" w:fill="FFFFFF"/>
        </w:rPr>
        <w:br/>
      </w:r>
      <w:r w:rsidRPr="00A3204A">
        <w:rPr>
          <w:color w:val="222222"/>
          <w:shd w:val="clear" w:color="auto" w:fill="FFFFFF"/>
        </w:rPr>
        <w:t>Where applicable, literature was given a designation of one of the following: high quality, adequate, inadequate, or not applicable.  It should be noted that some articles might have more than one assigned level, such as, ‘adequate’ on one concept and ‘high-quality’ on another concept.  </w:t>
      </w:r>
      <w:r w:rsidRPr="00A3204A">
        <w:rPr>
          <w:iCs/>
          <w:color w:val="222222"/>
        </w:rPr>
        <w:t xml:space="preserve">The details regarding level of evidence assignment are discussed in the related critiques.  Articles that were used to assign </w:t>
      </w:r>
      <w:r w:rsidRPr="00A3204A">
        <w:rPr>
          <w:i/>
          <w:iCs/>
          <w:color w:val="222222"/>
        </w:rPr>
        <w:t>some</w:t>
      </w:r>
      <w:r w:rsidRPr="00A3204A">
        <w:rPr>
          <w:iCs/>
          <w:color w:val="222222"/>
        </w:rPr>
        <w:t xml:space="preserve">, </w:t>
      </w:r>
      <w:r w:rsidRPr="00A3204A">
        <w:rPr>
          <w:i/>
          <w:iCs/>
          <w:color w:val="222222"/>
        </w:rPr>
        <w:t>good</w:t>
      </w:r>
      <w:r w:rsidRPr="00A3204A">
        <w:rPr>
          <w:iCs/>
          <w:color w:val="222222"/>
        </w:rPr>
        <w:t xml:space="preserve">, or </w:t>
      </w:r>
      <w:r w:rsidRPr="00A3204A">
        <w:rPr>
          <w:i/>
          <w:iCs/>
          <w:color w:val="222222"/>
        </w:rPr>
        <w:t>strong</w:t>
      </w:r>
      <w:r w:rsidRPr="00A3204A">
        <w:rPr>
          <w:iCs/>
          <w:color w:val="222222"/>
        </w:rPr>
        <w:t xml:space="preserve"> evidence are identified in the bibliography with an asterisk.</w:t>
      </w:r>
      <w:r w:rsidRPr="00A3204A">
        <w:rPr>
          <w:iCs/>
          <w:color w:val="222222"/>
          <w:shd w:val="clear" w:color="auto" w:fill="FFFF00"/>
        </w:rPr>
        <w:t xml:space="preserve"> </w:t>
      </w:r>
    </w:p>
    <w:p w:rsidR="00A3204A" w:rsidRPr="00A3204A" w:rsidRDefault="00A3204A" w:rsidP="00A3204A">
      <w:r w:rsidRPr="00A3204A">
        <w:rPr>
          <w:color w:val="222222"/>
          <w:shd w:val="clear" w:color="auto" w:fill="FFFFFF"/>
        </w:rPr>
        <w:t>When the evidence is conflicting or inconclusive, acceptability of treatment is determined by a combination of available medical literature and group consensus.  Some of the elements that are considered in making consensus determinations are:  level of functional benefit, acceptable risk/morbidity/mortality, and acceptable cost.</w:t>
      </w:r>
      <w:r w:rsidRPr="00A3204A">
        <w:rPr>
          <w:color w:val="222222"/>
        </w:rPr>
        <w:br/>
      </w:r>
      <w:r w:rsidRPr="00A3204A">
        <w:rPr>
          <w:color w:val="222222"/>
        </w:rPr>
        <w:br/>
      </w:r>
      <w:r w:rsidRPr="00A3204A">
        <w:rPr>
          <w:color w:val="222222"/>
          <w:shd w:val="clear" w:color="auto" w:fill="FFFFFF"/>
        </w:rPr>
        <w:t>A review of the Traumatic Brain Injury Medical Treatment Guidelines bibliography needs to coincide with a review of the General Guidelines Principles.  In particular, please review Guidelines Principle #12: Guidelines Recommendations and the Strength of Medical Evidence and Consensus Recommendations. All recommendations in the guidelines are considered to represent reasonable care in appropriately selected cases, regardless of the level of evidence or consensus attached to it.  Those procedures considered inappropriate, unreasonable, or unnecessary are designated in the guideline as 'not recommended.'</w:t>
      </w:r>
    </w:p>
    <w:p w:rsidR="00A3204A" w:rsidRPr="00A3204A" w:rsidRDefault="00A3204A" w:rsidP="00A3204A">
      <w:pPr>
        <w:spacing w:before="0" w:after="120"/>
        <w:rPr>
          <w:rFonts w:ascii="Times New Roman" w:hAnsi="Times New Roman" w:cs="Times New Roman"/>
          <w:sz w:val="24"/>
          <w:szCs w:val="24"/>
        </w:rPr>
      </w:pPr>
    </w:p>
    <w:p w:rsidR="00A3204A" w:rsidRPr="00A3204A" w:rsidRDefault="00A3204A" w:rsidP="00A3204A">
      <w:pPr>
        <w:autoSpaceDE w:val="0"/>
        <w:autoSpaceDN w:val="0"/>
        <w:adjustRightInd w:val="0"/>
        <w:spacing w:before="0" w:line="276" w:lineRule="atLeast"/>
        <w:ind w:left="2340" w:right="1980"/>
        <w:rPr>
          <w:rFonts w:ascii="Times New Roman" w:hAnsi="Times New Roman" w:cs="Times New Roman"/>
          <w:sz w:val="24"/>
          <w:szCs w:val="24"/>
        </w:rPr>
      </w:pP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Aarabi, B., Chesler, D., Maulucci, C., Blacklock, T., &amp; Alexander, M. (2009). Dynamics of subdural hygroma following decompressive craniectomy: a comparative study. </w:t>
      </w:r>
      <w:r w:rsidRPr="00A3204A">
        <w:rPr>
          <w:rFonts w:ascii="Times New Roman" w:hAnsi="Times New Roman" w:cs="Times New Roman"/>
          <w:i/>
          <w:sz w:val="24"/>
          <w:szCs w:val="24"/>
        </w:rPr>
        <w:t>Journal of Neurosurgery, 26 (6)</w:t>
      </w:r>
      <w:r w:rsidRPr="00A3204A">
        <w:rPr>
          <w:rFonts w:ascii="Times New Roman" w:hAnsi="Times New Roman" w:cs="Times New Roman"/>
          <w:sz w:val="24"/>
          <w:szCs w:val="24"/>
        </w:rPr>
        <w:t xml:space="preserve">, 1-12. DOI:10.3171/2009.3FOCUS0947.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Adler, R. H., &amp; Herring, S. A. (2011). Changing the culture of concussion. Education meets legislation. </w:t>
      </w:r>
      <w:r w:rsidRPr="00A3204A">
        <w:rPr>
          <w:rFonts w:ascii="Times New Roman" w:hAnsi="Times New Roman" w:cs="Times New Roman"/>
          <w:i/>
          <w:sz w:val="24"/>
          <w:szCs w:val="24"/>
        </w:rPr>
        <w:t xml:space="preserve">American </w:t>
      </w:r>
      <w:smartTag w:uri="urn:schemas-microsoft-com:office:smarttags" w:element="place">
        <w:smartTag w:uri="urn:schemas-microsoft-com:office:smarttags" w:element="PlaceType">
          <w:r w:rsidRPr="00A3204A">
            <w:rPr>
              <w:rFonts w:ascii="Times New Roman" w:hAnsi="Times New Roman" w:cs="Times New Roman"/>
              <w:i/>
              <w:sz w:val="24"/>
              <w:szCs w:val="24"/>
            </w:rPr>
            <w:t>Academy</w:t>
          </w:r>
        </w:smartTag>
        <w:r w:rsidRPr="00A3204A">
          <w:rPr>
            <w:rFonts w:ascii="Times New Roman" w:hAnsi="Times New Roman" w:cs="Times New Roman"/>
            <w:i/>
            <w:sz w:val="24"/>
            <w:szCs w:val="24"/>
          </w:rPr>
          <w:t xml:space="preserve"> of </w:t>
        </w:r>
        <w:smartTag w:uri="urn:schemas-microsoft-com:office:smarttags" w:element="PlaceName">
          <w:r w:rsidRPr="00A3204A">
            <w:rPr>
              <w:rFonts w:ascii="Times New Roman" w:hAnsi="Times New Roman" w:cs="Times New Roman"/>
              <w:i/>
              <w:sz w:val="24"/>
              <w:szCs w:val="24"/>
            </w:rPr>
            <w:t>Physical Medicine</w:t>
          </w:r>
        </w:smartTag>
      </w:smartTag>
      <w:r w:rsidRPr="00A3204A">
        <w:rPr>
          <w:rFonts w:ascii="Times New Roman" w:hAnsi="Times New Roman" w:cs="Times New Roman"/>
          <w:i/>
          <w:sz w:val="24"/>
          <w:szCs w:val="24"/>
        </w:rPr>
        <w:t xml:space="preserve"> and Rehabilitation, 3,</w:t>
      </w:r>
      <w:r w:rsidRPr="00A3204A">
        <w:rPr>
          <w:rFonts w:ascii="Times New Roman" w:hAnsi="Times New Roman" w:cs="Times New Roman"/>
          <w:sz w:val="24"/>
          <w:szCs w:val="24"/>
        </w:rPr>
        <w:t xml:space="preserve"> S469-S470. DOI: 10.1016/j.pmrj.2011.08.006.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smartTag w:uri="urn:schemas-microsoft-com:office:smarttags" w:element="place">
        <w:r w:rsidRPr="00A3204A">
          <w:rPr>
            <w:rFonts w:ascii="Times New Roman" w:hAnsi="Times New Roman" w:cs="Times New Roman"/>
            <w:sz w:val="24"/>
            <w:szCs w:val="24"/>
          </w:rPr>
          <w:t>Aetna</w:t>
        </w:r>
      </w:smartTag>
      <w:r w:rsidRPr="00A3204A">
        <w:rPr>
          <w:rFonts w:ascii="Times New Roman" w:hAnsi="Times New Roman" w:cs="Times New Roman"/>
          <w:sz w:val="24"/>
          <w:szCs w:val="24"/>
        </w:rPr>
        <w:t>. Clinical policy bulletins: Vision therapy. No. 0489. Retreived from: http://www.aetna.com/cpb/medical/data/400_499/0489.html</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Alderson, P., &amp; Roberts I. (2005). </w:t>
      </w:r>
      <w:r w:rsidRPr="00A3204A">
        <w:rPr>
          <w:rFonts w:ascii="Times New Roman" w:hAnsi="Times New Roman" w:cs="Times New Roman"/>
          <w:bCs/>
          <w:sz w:val="24"/>
          <w:szCs w:val="24"/>
        </w:rPr>
        <w:t>Corticosteroids for acute traumatic brain injury (Review).</w:t>
      </w:r>
      <w:r w:rsidRPr="00A3204A">
        <w:t xml:space="preserve"> </w:t>
      </w:r>
      <w:r w:rsidRPr="00A3204A">
        <w:rPr>
          <w:rFonts w:ascii="Times New Roman" w:hAnsi="Times New Roman" w:cs="Times New Roman"/>
          <w:bCs/>
          <w:i/>
          <w:sz w:val="24"/>
          <w:szCs w:val="24"/>
        </w:rPr>
        <w:t>Cochrane Database of Systematic Reviews, 1,</w:t>
      </w:r>
      <w:r w:rsidRPr="00A3204A">
        <w:rPr>
          <w:rFonts w:ascii="Times New Roman" w:hAnsi="Times New Roman" w:cs="Times New Roman"/>
          <w:bCs/>
          <w:sz w:val="24"/>
          <w:szCs w:val="24"/>
        </w:rPr>
        <w:t xml:space="preserve">1-27. </w:t>
      </w:r>
      <w:hyperlink r:id="rId19" w:history="1">
        <w:r w:rsidRPr="00A3204A">
          <w:rPr>
            <w:rFonts w:ascii="Times New Roman" w:hAnsi="Times New Roman" w:cs="Times New Roman"/>
            <w:bCs/>
            <w:color w:val="0000FF"/>
            <w:sz w:val="24"/>
            <w:szCs w:val="24"/>
            <w:u w:val="single"/>
          </w:rPr>
          <w:t>http://www.thecochranelibrary.com</w:t>
        </w:r>
      </w:hyperlink>
      <w:r w:rsidRPr="00A3204A">
        <w:rPr>
          <w:rFonts w:ascii="Times New Roman" w:hAnsi="Times New Roman" w:cs="Times New Roman"/>
          <w:bCs/>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Allum, J. H. J., &amp; Shepard, N. T. (1999). An overview of the clinical use of dynamic posturography in the differential diagnosis of balance disorders. </w:t>
      </w:r>
      <w:r w:rsidRPr="00A3204A">
        <w:rPr>
          <w:rFonts w:ascii="Times New Roman" w:hAnsi="Times New Roman" w:cs="Times New Roman"/>
          <w:i/>
          <w:sz w:val="24"/>
          <w:szCs w:val="24"/>
        </w:rPr>
        <w:t xml:space="preserve">Journal of Vestibular Research, 9, </w:t>
      </w:r>
      <w:r w:rsidRPr="00A3204A">
        <w:rPr>
          <w:rFonts w:ascii="Times New Roman" w:hAnsi="Times New Roman" w:cs="Times New Roman"/>
          <w:sz w:val="24"/>
          <w:szCs w:val="24"/>
        </w:rPr>
        <w:t xml:space="preserve">223-252. ISBN 0957-4271, IOS Press.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smartTag w:uri="urn:schemas-microsoft-com:office:smarttags" w:element="place">
        <w:smartTag w:uri="urn:schemas-microsoft-com:office:smarttags" w:element="PlaceName">
          <w:r w:rsidRPr="00A3204A">
            <w:rPr>
              <w:rFonts w:ascii="Times New Roman" w:hAnsi="Times New Roman" w:cs="Times New Roman"/>
              <w:sz w:val="24"/>
              <w:szCs w:val="24"/>
            </w:rPr>
            <w:lastRenderedPageBreak/>
            <w:t>American</w:t>
          </w:r>
        </w:smartTag>
        <w:r w:rsidRPr="00A3204A">
          <w:rPr>
            <w:rFonts w:ascii="Times New Roman" w:hAnsi="Times New Roman" w:cs="Times New Roman"/>
            <w:sz w:val="24"/>
            <w:szCs w:val="24"/>
          </w:rPr>
          <w:t xml:space="preserve"> </w:t>
        </w:r>
        <w:smartTag w:uri="urn:schemas-microsoft-com:office:smarttags" w:element="PlaceType">
          <w:r w:rsidRPr="00A3204A">
            <w:rPr>
              <w:rFonts w:ascii="Times New Roman" w:hAnsi="Times New Roman" w:cs="Times New Roman"/>
              <w:sz w:val="24"/>
              <w:szCs w:val="24"/>
            </w:rPr>
            <w:t>Academy</w:t>
          </w:r>
        </w:smartTag>
      </w:smartTag>
      <w:r w:rsidRPr="00A3204A">
        <w:rPr>
          <w:rFonts w:ascii="Times New Roman" w:hAnsi="Times New Roman" w:cs="Times New Roman"/>
          <w:sz w:val="24"/>
          <w:szCs w:val="24"/>
        </w:rPr>
        <w:t xml:space="preserve"> of Neurology. (1997). Practice parameter: The management of concussion in sports (summary statement). </w:t>
      </w:r>
      <w:r w:rsidRPr="00A3204A">
        <w:rPr>
          <w:rFonts w:ascii="Times New Roman" w:hAnsi="Times New Roman" w:cs="Times New Roman"/>
          <w:i/>
          <w:sz w:val="24"/>
          <w:szCs w:val="24"/>
        </w:rPr>
        <w:t>Neurology, 48,</w:t>
      </w:r>
      <w:r w:rsidRPr="00A3204A">
        <w:rPr>
          <w:rFonts w:ascii="Times New Roman" w:hAnsi="Times New Roman" w:cs="Times New Roman"/>
          <w:sz w:val="24"/>
          <w:szCs w:val="24"/>
        </w:rPr>
        <w:t xml:space="preserve"> 581-585. ISSN:0028-3878.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746" w:name="AAA2011"/>
      <w:bookmarkEnd w:id="746"/>
      <w:r w:rsidRPr="00A3204A">
        <w:rPr>
          <w:rFonts w:ascii="Times New Roman" w:hAnsi="Times New Roman" w:cs="Times New Roman"/>
          <w:sz w:val="24"/>
          <w:szCs w:val="24"/>
        </w:rPr>
        <w:t>American Automobile Association. (2011). Interactive Driving Evaluation. Retrieved October 2012, from http://seniordriving.aaa.com/evaluate-your-driving-ability/interactive-driving-evaluation.</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747" w:name="ACEP2008"/>
      <w:bookmarkEnd w:id="747"/>
      <w:r w:rsidRPr="00A3204A">
        <w:rPr>
          <w:rFonts w:ascii="Times New Roman" w:hAnsi="Times New Roman" w:cs="Times New Roman"/>
          <w:sz w:val="24"/>
          <w:szCs w:val="24"/>
        </w:rPr>
        <w:t xml:space="preserve">American College of Emergency Physicians (ACEP), Centers for Disease Control and Prevention (CDC), Jagoda, A. S., Bazarian, J. J., Burns, J. J. Jr., Cantrill, S. V., Gean, A. D., Howard, P. K.,…&amp; Whitson, R. R. (2008). Clinical policy: Neuroimaging and decision making in adult mild traumatic brain injury in the acute setting. </w:t>
      </w:r>
      <w:r w:rsidRPr="00A3204A">
        <w:rPr>
          <w:rFonts w:ascii="Times New Roman" w:hAnsi="Times New Roman" w:cs="Times New Roman"/>
          <w:i/>
          <w:sz w:val="24"/>
          <w:szCs w:val="24"/>
        </w:rPr>
        <w:t xml:space="preserve">Annals of Emergency Medicine, 52, </w:t>
      </w:r>
      <w:r w:rsidRPr="00A3204A">
        <w:rPr>
          <w:rFonts w:ascii="Times New Roman" w:hAnsi="Times New Roman" w:cs="Times New Roman"/>
          <w:sz w:val="24"/>
          <w:szCs w:val="24"/>
        </w:rPr>
        <w:t xml:space="preserve">714-748. DOI:10.1016/j. annemergmed.2008.08.021.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748" w:name="AmConRehabMed"/>
      <w:bookmarkStart w:id="749" w:name="AmConRehabMed1993"/>
      <w:bookmarkEnd w:id="748"/>
      <w:bookmarkEnd w:id="749"/>
      <w:r w:rsidRPr="00A3204A">
        <w:rPr>
          <w:rFonts w:ascii="Times New Roman" w:hAnsi="Times New Roman" w:cs="Times New Roman"/>
          <w:sz w:val="24"/>
          <w:szCs w:val="24"/>
        </w:rPr>
        <w:t xml:space="preserve">American Congress of Rehabilitation Medicine; Mild Traumatic Brain Injury Committee. (1993). Definition of mild traumatic brain injury. </w:t>
      </w:r>
      <w:r w:rsidRPr="00A3204A">
        <w:rPr>
          <w:rFonts w:ascii="Times New Roman" w:hAnsi="Times New Roman" w:cs="Times New Roman"/>
          <w:i/>
          <w:sz w:val="24"/>
          <w:szCs w:val="24"/>
        </w:rPr>
        <w:t>Journal of Head Trauma Rehabilitation, 8 (3),</w:t>
      </w:r>
      <w:r w:rsidRPr="00A3204A">
        <w:rPr>
          <w:rFonts w:ascii="Times New Roman" w:hAnsi="Times New Roman" w:cs="Times New Roman"/>
          <w:sz w:val="24"/>
          <w:szCs w:val="24"/>
        </w:rPr>
        <w:t xml:space="preserve"> 86–87.</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American Medical Association. (2010, March 15). AMA releases new older driver safety guide motor vehicle injuries a leading cause of injury-related deaths in seniors. 1995-2012. Retrieved December 2011, from </w:t>
      </w:r>
      <w:hyperlink r:id="rId20" w:history="1">
        <w:r w:rsidRPr="00A3204A">
          <w:rPr>
            <w:rFonts w:ascii="Times New Roman" w:hAnsi="Times New Roman" w:cs="Times New Roman"/>
            <w:sz w:val="24"/>
            <w:szCs w:val="24"/>
          </w:rPr>
          <w:t>http://www.ama-assn.org/ama/pub/news/news/older-driver-safety.page</w:t>
        </w:r>
      </w:hyperlink>
      <w:r w:rsidRPr="00A3204A">
        <w:rPr>
          <w:rFonts w:ascii="Times New Roman" w:hAnsi="Times New Roman" w:cs="Times New Roman"/>
          <w:sz w:val="24"/>
          <w:szCs w:val="24"/>
        </w:rPr>
        <w:t>?</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Anand, R., Chapman, S. B., Rackley, A. R., Keebler, M., Zientz, J., &amp; Hart Jr., J. (2010). Gist reasoning training in cognitively normal seniors. </w:t>
      </w:r>
      <w:r w:rsidRPr="00A3204A">
        <w:rPr>
          <w:rFonts w:ascii="Times New Roman" w:hAnsi="Times New Roman" w:cs="Times New Roman"/>
          <w:i/>
          <w:sz w:val="24"/>
          <w:szCs w:val="24"/>
        </w:rPr>
        <w:t>International Journal of Geriatric Psychiatry, 26,</w:t>
      </w:r>
      <w:r w:rsidRPr="00A3204A">
        <w:rPr>
          <w:rFonts w:ascii="Times New Roman" w:hAnsi="Times New Roman" w:cs="Times New Roman"/>
          <w:sz w:val="24"/>
          <w:szCs w:val="24"/>
        </w:rPr>
        <w:t xml:space="preserve"> 961-968. DOI: 10.1002/gps.2633.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Anderson, K. E., Hurley, R. A., &amp; Taber, K. H. (2011). Functional imaging. </w:t>
      </w:r>
      <w:r w:rsidRPr="00A3204A">
        <w:rPr>
          <w:rFonts w:ascii="Times New Roman" w:hAnsi="Times New Roman" w:cs="Times New Roman"/>
          <w:i/>
          <w:sz w:val="24"/>
          <w:szCs w:val="24"/>
        </w:rPr>
        <w:t xml:space="preserve">American Psychiatric Association, 6, </w:t>
      </w:r>
      <w:r w:rsidRPr="00A3204A">
        <w:rPr>
          <w:rFonts w:ascii="Times New Roman" w:hAnsi="Times New Roman" w:cs="Times New Roman"/>
          <w:sz w:val="24"/>
          <w:szCs w:val="24"/>
        </w:rPr>
        <w:t xml:space="preserve">1-23 DOI: 10.1176/appl. books.9781585624201.673855. </w:t>
      </w:r>
      <w:hyperlink r:id="rId21" w:history="1">
        <w:r w:rsidRPr="00A3204A">
          <w:rPr>
            <w:rFonts w:ascii="Times New Roman" w:hAnsi="Times New Roman" w:cs="Times New Roman"/>
            <w:sz w:val="24"/>
            <w:szCs w:val="24"/>
          </w:rPr>
          <w:t>http://www.psychiatryonline.com</w:t>
        </w:r>
      </w:hyperlink>
      <w:r w:rsidRPr="00A3204A">
        <w:rPr>
          <w:rFonts w:ascii="Times New Roman" w:hAnsi="Times New Roman" w:cs="Times New Roman"/>
          <w:sz w:val="24"/>
          <w:szCs w:val="24"/>
        </w:rPr>
        <w:t xml:space="preserve">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Andrews, P., Sinclair, H. L., Battison, C. G., Polderman, K. H., Citerio, G., Mascia, L., … the Eurotherm3235Trial collaborators. (2011). European society of intensive care medicine study of therapeutic hypothermia (32-35°C) for intracranial pressure reduction after traumatic brain injury (the Eurotherm3235Trial). </w:t>
      </w:r>
      <w:r w:rsidRPr="00A3204A">
        <w:rPr>
          <w:rFonts w:ascii="Times New Roman" w:hAnsi="Times New Roman" w:cs="Times New Roman"/>
          <w:i/>
          <w:sz w:val="24"/>
          <w:szCs w:val="24"/>
        </w:rPr>
        <w:t xml:space="preserve">European Society of Intensive Care Medicine, 12(8), </w:t>
      </w:r>
      <w:r w:rsidRPr="00A3204A">
        <w:rPr>
          <w:rFonts w:ascii="Times New Roman" w:hAnsi="Times New Roman" w:cs="Times New Roman"/>
          <w:sz w:val="24"/>
          <w:szCs w:val="24"/>
        </w:rPr>
        <w:t xml:space="preserve">1-12. </w:t>
      </w:r>
      <w:hyperlink r:id="rId22" w:history="1">
        <w:r w:rsidRPr="00A3204A">
          <w:rPr>
            <w:rFonts w:ascii="Times New Roman" w:hAnsi="Times New Roman" w:cs="Times New Roman"/>
            <w:color w:val="0000FF"/>
            <w:sz w:val="24"/>
            <w:szCs w:val="24"/>
            <w:u w:val="single"/>
          </w:rPr>
          <w:t>http://www.trialsjournal.com/content/12/1/8</w:t>
        </w:r>
      </w:hyperlink>
      <w:r w:rsidRPr="00A3204A">
        <w:rPr>
          <w:rFonts w:ascii="Times New Roman" w:hAnsi="Times New Roman" w:cs="Times New Roman"/>
          <w:sz w:val="24"/>
          <w:szCs w:val="24"/>
          <w:u w:val="single"/>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Andrews, S. M, &amp; A Cheng. (2008). Modest cooling therapies (35˚C to 37.5˚C) for traumatic brain injury (Review). </w:t>
      </w:r>
      <w:r w:rsidRPr="00A3204A">
        <w:rPr>
          <w:rFonts w:ascii="Times New Roman" w:hAnsi="Times New Roman" w:cs="Times New Roman"/>
          <w:bCs/>
          <w:i/>
          <w:sz w:val="24"/>
          <w:szCs w:val="24"/>
        </w:rPr>
        <w:t>Cochrane Database of Systematic Reviews</w:t>
      </w:r>
      <w:r w:rsidRPr="00A3204A">
        <w:rPr>
          <w:rFonts w:ascii="Times New Roman" w:hAnsi="Times New Roman" w:cs="Times New Roman"/>
          <w:i/>
          <w:sz w:val="24"/>
          <w:szCs w:val="24"/>
        </w:rPr>
        <w:t>, 3,</w:t>
      </w:r>
      <w:r w:rsidRPr="00A3204A">
        <w:rPr>
          <w:rFonts w:ascii="Times New Roman" w:hAnsi="Times New Roman" w:cs="Times New Roman"/>
          <w:sz w:val="24"/>
          <w:szCs w:val="24"/>
        </w:rPr>
        <w:t>1-14</w:t>
      </w:r>
      <w:r w:rsidRPr="00A3204A">
        <w:rPr>
          <w:rFonts w:ascii="Times New Roman" w:hAnsi="Times New Roman" w:cs="Times New Roman"/>
          <w:i/>
          <w:sz w:val="24"/>
          <w:szCs w:val="24"/>
        </w:rPr>
        <w:t xml:space="preserve"> </w:t>
      </w:r>
      <w:hyperlink r:id="rId23" w:history="1">
        <w:r w:rsidRPr="00A3204A">
          <w:rPr>
            <w:rFonts w:ascii="Times New Roman" w:hAnsi="Times New Roman" w:cs="Times New Roman"/>
            <w:color w:val="0000FF"/>
            <w:sz w:val="24"/>
            <w:szCs w:val="24"/>
            <w:u w:val="single"/>
          </w:rPr>
          <w:t>http://www.thecochranelibrary.com</w:t>
        </w:r>
      </w:hyperlink>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Angevaren, M., Aufdemkampe, G., Verhaar, H. J. J., Aleman, A., &amp; Vanhees, L. (2008). Physical activity and enhanced fitness to improve cognitive function in older people without known cognitive impairment (review). </w:t>
      </w:r>
      <w:r w:rsidRPr="00A3204A">
        <w:rPr>
          <w:rFonts w:ascii="Times New Roman" w:hAnsi="Times New Roman" w:cs="Times New Roman"/>
          <w:i/>
          <w:sz w:val="24"/>
          <w:szCs w:val="24"/>
        </w:rPr>
        <w:t>Cochrane Database of Systematic Reviews, 2,</w:t>
      </w:r>
      <w:r w:rsidRPr="00A3204A">
        <w:rPr>
          <w:rFonts w:ascii="Times New Roman" w:hAnsi="Times New Roman" w:cs="Times New Roman"/>
          <w:sz w:val="24"/>
          <w:szCs w:val="24"/>
        </w:rPr>
        <w:t xml:space="preserve"> 1-7. DOI: 10.1002/14651858.CD005381.pub2.</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bCs/>
          <w:sz w:val="24"/>
          <w:szCs w:val="24"/>
        </w:rPr>
        <w:t xml:space="preserve">Arango, M. F., &amp; Bainbridge, D. (2008). Magnesium for acute traumatic brain injury (Review). </w:t>
      </w:r>
      <w:r w:rsidRPr="00A3204A">
        <w:rPr>
          <w:rFonts w:ascii="Times New Roman" w:hAnsi="Times New Roman" w:cs="Times New Roman"/>
          <w:bCs/>
          <w:i/>
          <w:sz w:val="24"/>
          <w:szCs w:val="24"/>
        </w:rPr>
        <w:t xml:space="preserve">Cochrane Database of Systematic Reviews, 4, </w:t>
      </w:r>
      <w:r w:rsidRPr="00A3204A">
        <w:rPr>
          <w:rFonts w:ascii="Times New Roman" w:hAnsi="Times New Roman" w:cs="Times New Roman"/>
          <w:bCs/>
          <w:sz w:val="24"/>
          <w:szCs w:val="24"/>
        </w:rPr>
        <w:t xml:space="preserve">1-18. DOI: 10.1002/14651858.CD005400.pub3. </w:t>
      </w:r>
      <w:hyperlink r:id="rId24" w:history="1">
        <w:r w:rsidRPr="00A3204A">
          <w:rPr>
            <w:rFonts w:ascii="Times New Roman" w:hAnsi="Times New Roman" w:cs="Times New Roman"/>
            <w:bCs/>
            <w:color w:val="0000FF"/>
            <w:sz w:val="24"/>
            <w:szCs w:val="24"/>
            <w:u w:val="single"/>
          </w:rPr>
          <w:t>http://www.thecochranelibrary.com</w:t>
        </w:r>
      </w:hyperlink>
      <w:r w:rsidRPr="00A3204A">
        <w:rPr>
          <w:rFonts w:ascii="Times New Roman" w:hAnsi="Times New Roman" w:cs="Times New Roman"/>
          <w:bCs/>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750" w:name="Archer2011"/>
      <w:bookmarkEnd w:id="750"/>
      <w:r w:rsidRPr="00A3204A">
        <w:rPr>
          <w:rFonts w:ascii="Times New Roman" w:hAnsi="Times New Roman" w:cs="Times New Roman"/>
          <w:bCs/>
          <w:sz w:val="24"/>
          <w:szCs w:val="24"/>
        </w:rPr>
        <w:t xml:space="preserve">Archer, T. (2011). Influence of physical exercise on traumatic brain injury deficits: Scaffolding effect. </w:t>
      </w:r>
      <w:r w:rsidRPr="00A3204A">
        <w:rPr>
          <w:rFonts w:ascii="Times New Roman" w:hAnsi="Times New Roman" w:cs="Times New Roman"/>
          <w:bCs/>
          <w:i/>
          <w:sz w:val="24"/>
          <w:szCs w:val="24"/>
        </w:rPr>
        <w:t>Neurotox Res</w:t>
      </w:r>
      <w:r w:rsidRPr="00A3204A">
        <w:rPr>
          <w:rFonts w:ascii="Times New Roman" w:hAnsi="Times New Roman" w:cs="Times New Roman"/>
          <w:bCs/>
          <w:sz w:val="24"/>
          <w:szCs w:val="24"/>
        </w:rPr>
        <w:t xml:space="preserve">. DOI: 10.1007/s12640-011-9297-0.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lastRenderedPageBreak/>
        <w:t xml:space="preserve">Archer, T., Svensson, K., &amp; Alricsson, M. (2012). Physical exercise ameliorates deficits induced by traumatic brain injury. </w:t>
      </w:r>
      <w:r w:rsidRPr="00A3204A">
        <w:rPr>
          <w:rFonts w:ascii="Times New Roman" w:hAnsi="Times New Roman" w:cs="Times New Roman"/>
          <w:i/>
          <w:sz w:val="24"/>
          <w:szCs w:val="24"/>
        </w:rPr>
        <w:t>Acta Neurologica Scandinavica,</w:t>
      </w:r>
      <w:r w:rsidRPr="00A3204A">
        <w:rPr>
          <w:rFonts w:ascii="Times New Roman" w:hAnsi="Times New Roman" w:cs="Times New Roman"/>
          <w:sz w:val="24"/>
          <w:szCs w:val="24"/>
        </w:rPr>
        <w:t xml:space="preserve"> 1-10. DOI: 10.1111/j.1600-0404.2011.01638. x.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751" w:name="Arciniegas2011"/>
      <w:bookmarkEnd w:id="751"/>
      <w:r w:rsidRPr="00A3204A">
        <w:rPr>
          <w:rFonts w:ascii="Times New Roman" w:hAnsi="Times New Roman" w:cs="Times New Roman"/>
          <w:sz w:val="24"/>
          <w:szCs w:val="24"/>
        </w:rPr>
        <w:t xml:space="preserve">Arciniegas, D. B. (2011). Clinical electrophysiologic assessments and mild traumatic brain injury: State-of-the-science and implications for clinical practice. </w:t>
      </w:r>
      <w:r w:rsidRPr="00A3204A">
        <w:rPr>
          <w:rFonts w:ascii="Times New Roman" w:hAnsi="Times New Roman" w:cs="Times New Roman"/>
          <w:i/>
          <w:sz w:val="24"/>
          <w:szCs w:val="24"/>
        </w:rPr>
        <w:t>International Journal of Psychophysiology, 82,</w:t>
      </w:r>
      <w:r w:rsidRPr="00A3204A">
        <w:rPr>
          <w:rFonts w:ascii="Times New Roman" w:hAnsi="Times New Roman" w:cs="Times New Roman"/>
          <w:sz w:val="24"/>
          <w:szCs w:val="24"/>
        </w:rPr>
        <w:t xml:space="preserve"> 41-52. DOI: 10.1016/j. ijpsycho.2011.03.004.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Arciniegas, D. B., Anderson, C. A., Topkoff, J., &amp; McAllister, T. W. (2005). Mild traumatic brain injury: a neuropsychiatric approach to diagnosis, evaluation, and treatment. </w:t>
      </w:r>
      <w:r w:rsidRPr="00A3204A">
        <w:rPr>
          <w:rFonts w:ascii="Times New Roman" w:hAnsi="Times New Roman" w:cs="Times New Roman"/>
          <w:i/>
          <w:sz w:val="24"/>
          <w:szCs w:val="24"/>
        </w:rPr>
        <w:t xml:space="preserve">Neuropsychiatric Disease and Treatment, 1(4), </w:t>
      </w:r>
      <w:r w:rsidRPr="00A3204A">
        <w:rPr>
          <w:rFonts w:ascii="Times New Roman" w:hAnsi="Times New Roman" w:cs="Times New Roman"/>
          <w:sz w:val="24"/>
          <w:szCs w:val="24"/>
        </w:rPr>
        <w:t>311–327.</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Arciniegas, D. B., Frey, K. L., Newman, J., &amp; Wortzel, H. S. (2010). Evaluation and management of posttraumatic cognitive impairments. </w:t>
      </w:r>
      <w:r w:rsidRPr="00A3204A">
        <w:rPr>
          <w:rFonts w:ascii="Times New Roman" w:hAnsi="Times New Roman" w:cs="Times New Roman"/>
          <w:i/>
          <w:sz w:val="24"/>
          <w:szCs w:val="24"/>
        </w:rPr>
        <w:t xml:space="preserve">Psychiatr Ann., 40(11), </w:t>
      </w:r>
      <w:r w:rsidRPr="00A3204A">
        <w:rPr>
          <w:rFonts w:ascii="Times New Roman" w:hAnsi="Times New Roman" w:cs="Times New Roman"/>
          <w:sz w:val="24"/>
          <w:szCs w:val="24"/>
        </w:rPr>
        <w:t>540-552. DOI: 10.3928/00485713-20101022-05.</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Arciniegas, D. B., &amp; Silver, J. M. (2007). Pharmacotherapy of cognitive impairment. In N. D. Zasler, </w:t>
      </w:r>
      <w:smartTag w:uri="urn:schemas-microsoft-com:office:smarttags" w:element="place">
        <w:smartTag w:uri="urn:schemas:contacts" w:element="middlename">
          <w:r w:rsidRPr="00A3204A">
            <w:rPr>
              <w:rFonts w:ascii="Times New Roman" w:hAnsi="Times New Roman" w:cs="Times New Roman"/>
              <w:sz w:val="24"/>
              <w:szCs w:val="24"/>
            </w:rPr>
            <w:t>D.</w:t>
          </w:r>
        </w:smartTag>
        <w:r w:rsidRPr="00A3204A">
          <w:rPr>
            <w:rFonts w:ascii="Times New Roman" w:hAnsi="Times New Roman" w:cs="Times New Roman"/>
            <w:sz w:val="24"/>
            <w:szCs w:val="24"/>
          </w:rPr>
          <w:t xml:space="preserve"> </w:t>
        </w:r>
        <w:smartTag w:uri="urn:schemas:contacts" w:element="middlename">
          <w:r w:rsidRPr="00A3204A">
            <w:rPr>
              <w:rFonts w:ascii="Times New Roman" w:hAnsi="Times New Roman" w:cs="Times New Roman"/>
              <w:sz w:val="24"/>
              <w:szCs w:val="24"/>
            </w:rPr>
            <w:t>I.</w:t>
          </w:r>
        </w:smartTag>
      </w:smartTag>
      <w:r w:rsidRPr="00A3204A">
        <w:rPr>
          <w:rFonts w:ascii="Times New Roman" w:hAnsi="Times New Roman" w:cs="Times New Roman"/>
          <w:sz w:val="24"/>
          <w:szCs w:val="24"/>
        </w:rPr>
        <w:t xml:space="preserve"> Katz, &amp; R. D. Zafonte (Eds.), </w:t>
      </w:r>
      <w:r w:rsidRPr="00A3204A">
        <w:rPr>
          <w:rFonts w:ascii="Times New Roman" w:hAnsi="Times New Roman" w:cs="Times New Roman"/>
          <w:i/>
          <w:sz w:val="24"/>
          <w:szCs w:val="24"/>
        </w:rPr>
        <w:t>Brain Injury Medicine Principles and Practice</w:t>
      </w:r>
      <w:r w:rsidRPr="00A3204A">
        <w:rPr>
          <w:rFonts w:ascii="Times New Roman" w:hAnsi="Times New Roman" w:cs="Times New Roman"/>
          <w:sz w:val="24"/>
          <w:szCs w:val="24"/>
        </w:rPr>
        <w:t xml:space="preserve"> (995-1022). </w:t>
      </w:r>
      <w:smartTag w:uri="urn:schemas-microsoft-com:office:smarttags" w:element="place">
        <w:smartTag w:uri="urn:schemas-microsoft-com:office:smarttags" w:element="City">
          <w:r w:rsidRPr="00A3204A">
            <w:rPr>
              <w:rFonts w:ascii="Times New Roman" w:hAnsi="Times New Roman" w:cs="Times New Roman"/>
              <w:sz w:val="24"/>
              <w:szCs w:val="24"/>
            </w:rPr>
            <w:t>New York</w:t>
          </w:r>
        </w:smartTag>
        <w:r w:rsidRPr="00A3204A">
          <w:rPr>
            <w:rFonts w:ascii="Times New Roman" w:hAnsi="Times New Roman" w:cs="Times New Roman"/>
            <w:sz w:val="24"/>
            <w:szCs w:val="24"/>
          </w:rPr>
          <w:t xml:space="preserve">, </w:t>
        </w:r>
        <w:smartTag w:uri="urn:schemas-microsoft-com:office:smarttags" w:element="State">
          <w:r w:rsidRPr="00A3204A">
            <w:rPr>
              <w:rFonts w:ascii="Times New Roman" w:hAnsi="Times New Roman" w:cs="Times New Roman"/>
              <w:sz w:val="24"/>
              <w:szCs w:val="24"/>
            </w:rPr>
            <w:t>NY</w:t>
          </w:r>
        </w:smartTag>
      </w:smartTag>
      <w:r w:rsidRPr="00A3204A">
        <w:rPr>
          <w:rFonts w:ascii="Times New Roman" w:hAnsi="Times New Roman" w:cs="Times New Roman"/>
          <w:sz w:val="24"/>
          <w:szCs w:val="24"/>
        </w:rPr>
        <w:t>: Demos.</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Arlinghaus, K. A., Pastorek, N. J., &amp; Graham, D. P. (2011). Neuropsychiatric assessment. </w:t>
      </w:r>
      <w:r w:rsidRPr="00A3204A">
        <w:rPr>
          <w:rFonts w:ascii="Times New Roman" w:hAnsi="Times New Roman" w:cs="Times New Roman"/>
          <w:i/>
          <w:sz w:val="24"/>
          <w:szCs w:val="24"/>
        </w:rPr>
        <w:t xml:space="preserve">American Psychiatric Association, 4, </w:t>
      </w:r>
      <w:r w:rsidRPr="00A3204A">
        <w:rPr>
          <w:rFonts w:ascii="Times New Roman" w:hAnsi="Times New Roman" w:cs="Times New Roman"/>
          <w:sz w:val="24"/>
          <w:szCs w:val="24"/>
        </w:rPr>
        <w:t xml:space="preserve">1-17. DOI: 10.1176/appi. books.9781585624201.672629.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Arrich, J., Holzer M., Herkner H., &amp; Müllner, M. (2010). Hypothermia for neuroprotection in adults after cardiopulmonary resuscitation (Review) </w:t>
      </w:r>
      <w:r w:rsidRPr="00A3204A">
        <w:rPr>
          <w:rFonts w:ascii="Times New Roman" w:hAnsi="Times New Roman" w:cs="Times New Roman"/>
          <w:bCs/>
          <w:i/>
          <w:sz w:val="24"/>
          <w:szCs w:val="24"/>
        </w:rPr>
        <w:t>Cochrane Database of Systematic Reviews</w:t>
      </w:r>
      <w:r w:rsidRPr="00A3204A">
        <w:rPr>
          <w:rFonts w:ascii="Times New Roman" w:hAnsi="Times New Roman" w:cs="Times New Roman"/>
          <w:i/>
          <w:sz w:val="24"/>
          <w:szCs w:val="24"/>
        </w:rPr>
        <w:t xml:space="preserve">, 8, </w:t>
      </w:r>
      <w:r w:rsidRPr="00A3204A">
        <w:rPr>
          <w:rFonts w:ascii="Times New Roman" w:hAnsi="Times New Roman" w:cs="Times New Roman"/>
          <w:sz w:val="24"/>
          <w:szCs w:val="24"/>
        </w:rPr>
        <w:t xml:space="preserve">2-33. </w:t>
      </w:r>
      <w:hyperlink r:id="rId25" w:history="1">
        <w:r w:rsidRPr="00A3204A">
          <w:rPr>
            <w:rFonts w:ascii="Times New Roman" w:hAnsi="Times New Roman" w:cs="Times New Roman"/>
            <w:color w:val="0000FF"/>
            <w:sz w:val="24"/>
            <w:szCs w:val="24"/>
            <w:u w:val="single"/>
          </w:rPr>
          <w:t xml:space="preserve"> http://thecochranelibrary.com</w:t>
        </w:r>
      </w:hyperlink>
      <w:r w:rsidRPr="00A3204A">
        <w:rPr>
          <w:rFonts w:ascii="Times New Roman" w:hAnsi="Times New Roman" w:cs="Times New Roman"/>
          <w:sz w:val="24"/>
          <w:szCs w:val="24"/>
          <w:u w:val="single"/>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752" w:name="Arundine2012"/>
      <w:bookmarkEnd w:id="752"/>
      <w:r w:rsidRPr="00A3204A">
        <w:rPr>
          <w:rFonts w:ascii="Times New Roman" w:hAnsi="Times New Roman" w:cs="Times New Roman"/>
          <w:sz w:val="24"/>
          <w:szCs w:val="24"/>
        </w:rPr>
        <w:t xml:space="preserve">Arundine, A., Bradbury, C. L., Dupuis, K., </w:t>
      </w:r>
      <w:smartTag w:uri="urn:schemas-microsoft-com:office:smarttags" w:element="City">
        <w:smartTag w:uri="urn:schemas-microsoft-com:office:smarttags" w:element="place">
          <w:r w:rsidRPr="00A3204A">
            <w:rPr>
              <w:rFonts w:ascii="Times New Roman" w:hAnsi="Times New Roman" w:cs="Times New Roman"/>
              <w:sz w:val="24"/>
              <w:szCs w:val="24"/>
            </w:rPr>
            <w:t>Dawson</w:t>
          </w:r>
        </w:smartTag>
      </w:smartTag>
      <w:r w:rsidRPr="00A3204A">
        <w:rPr>
          <w:rFonts w:ascii="Times New Roman" w:hAnsi="Times New Roman" w:cs="Times New Roman"/>
          <w:sz w:val="24"/>
          <w:szCs w:val="24"/>
        </w:rPr>
        <w:t>, D. R., Ruttan, L. A., &amp; Green, R. E</w:t>
      </w:r>
      <w:r w:rsidRPr="00A3204A">
        <w:rPr>
          <w:rFonts w:ascii="Times New Roman" w:hAnsi="Times New Roman" w:cs="Times New Roman"/>
          <w:i/>
          <w:sz w:val="24"/>
          <w:szCs w:val="24"/>
        </w:rPr>
        <w:t xml:space="preserve">. </w:t>
      </w:r>
      <w:r w:rsidRPr="00A3204A">
        <w:rPr>
          <w:rFonts w:ascii="Times New Roman" w:hAnsi="Times New Roman" w:cs="Times New Roman"/>
          <w:sz w:val="24"/>
          <w:szCs w:val="24"/>
        </w:rPr>
        <w:t>(2012).</w:t>
      </w:r>
      <w:r w:rsidRPr="00A3204A">
        <w:t xml:space="preserve"> </w:t>
      </w:r>
      <w:r w:rsidRPr="00A3204A">
        <w:rPr>
          <w:rFonts w:ascii="Times New Roman" w:hAnsi="Times New Roman" w:cs="Times New Roman"/>
          <w:sz w:val="24"/>
          <w:szCs w:val="24"/>
        </w:rPr>
        <w:t>Cognitive behavior therapy after acquired brain injury: maintenance of therapeutic benefits at 6 months posttreatment.</w:t>
      </w:r>
      <w:r w:rsidRPr="00A3204A">
        <w:rPr>
          <w:rFonts w:ascii="Times New Roman" w:hAnsi="Times New Roman" w:cs="Times New Roman"/>
          <w:i/>
          <w:sz w:val="24"/>
          <w:szCs w:val="24"/>
        </w:rPr>
        <w:t xml:space="preserve"> Journal of Head Trauma &amp; Rehabilitation, 27(2), </w:t>
      </w:r>
      <w:r w:rsidRPr="00A3204A">
        <w:rPr>
          <w:rFonts w:ascii="Times New Roman" w:hAnsi="Times New Roman" w:cs="Times New Roman"/>
          <w:sz w:val="24"/>
          <w:szCs w:val="24"/>
        </w:rPr>
        <w:t>104-12. DOI: 10.1097/HTR.0b013e3182125591.</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Ashman, T. A., Cantor, J. B., Gordon, W. A., Spielman, L., Flanagan, S., Ginsberg, A., … Greenwald, B. (2009). A randomized controlled trial of sertraline for the treatment of depression in persons with traumatic brain injury.</w:t>
      </w:r>
      <w:r w:rsidRPr="00A3204A">
        <w:rPr>
          <w:rFonts w:ascii="Times New Roman" w:hAnsi="Times New Roman" w:cs="Times New Roman"/>
          <w:i/>
          <w:sz w:val="24"/>
          <w:szCs w:val="24"/>
        </w:rPr>
        <w:t xml:space="preserve"> </w:t>
      </w:r>
      <w:r w:rsidRPr="00A3204A">
        <w:rPr>
          <w:rFonts w:ascii="Times New Roman" w:hAnsi="Times New Roman" w:cs="Times New Roman"/>
          <w:bCs/>
          <w:i/>
          <w:sz w:val="24"/>
          <w:szCs w:val="24"/>
        </w:rPr>
        <w:t xml:space="preserve">Archives of Physical Medicine and Rehabilitation, 90, </w:t>
      </w:r>
      <w:r w:rsidRPr="00A3204A">
        <w:rPr>
          <w:rFonts w:ascii="Times New Roman" w:hAnsi="Times New Roman" w:cs="Times New Roman"/>
          <w:bCs/>
          <w:sz w:val="24"/>
          <w:szCs w:val="24"/>
        </w:rPr>
        <w:t>733-740. DOI:10.1016/j.apmr.2008.11.005.</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753" w:name="AssocRehabNurses2012"/>
      <w:bookmarkEnd w:id="753"/>
      <w:r w:rsidRPr="00A3204A">
        <w:rPr>
          <w:rFonts w:ascii="Times New Roman" w:hAnsi="Times New Roman" w:cs="Times New Roman"/>
          <w:bCs/>
          <w:sz w:val="24"/>
          <w:szCs w:val="24"/>
        </w:rPr>
        <w:t>Association of Rehabilitation Nurses. (2012). Definitions and Scope of Practice. Retrieved from http://www.rehabnurse.org/index.php/certification/content/definition.html.</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Aurora, S. K., Dodick, D. W., Turkel, C. C., DeGryse, R. E.,. . . Brin, M. F. (2010). OnobotulinumtoxinA for treatment of chronic migraine: Results from the double-blind, randomized, placebo-controlled phase of the PREEMPT I trial. </w:t>
      </w:r>
      <w:r w:rsidRPr="00A3204A">
        <w:rPr>
          <w:rFonts w:ascii="Times New Roman" w:hAnsi="Times New Roman" w:cs="Times New Roman"/>
          <w:i/>
          <w:sz w:val="24"/>
          <w:szCs w:val="24"/>
        </w:rPr>
        <w:t xml:space="preserve">Cephalalgia, 30 (7), </w:t>
      </w:r>
      <w:r w:rsidRPr="00A3204A">
        <w:rPr>
          <w:rFonts w:ascii="Times New Roman" w:hAnsi="Times New Roman" w:cs="Times New Roman"/>
          <w:sz w:val="24"/>
          <w:szCs w:val="24"/>
        </w:rPr>
        <w:t xml:space="preserve">793-814. DOI: 10.1177/0333102410364676.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754" w:name="Aurora2011"/>
      <w:bookmarkEnd w:id="754"/>
      <w:r w:rsidRPr="00A3204A">
        <w:rPr>
          <w:rFonts w:ascii="Times New Roman" w:hAnsi="Times New Roman" w:cs="Times New Roman"/>
          <w:sz w:val="24"/>
          <w:szCs w:val="24"/>
        </w:rPr>
        <w:t xml:space="preserve">Aurora, S. K., Winner, P. Freeman, M. C., Spierings, E. L., Heiring, J. O., DeGryse, R. E.,… Turkel, C. C. (2011). OnabotulinumtoxinA for treatment of chronic migraine: Pooled analyses of the 56-Week PREEMPT clinical program. </w:t>
      </w:r>
      <w:r w:rsidRPr="00A3204A">
        <w:rPr>
          <w:rFonts w:ascii="Times New Roman" w:hAnsi="Times New Roman" w:cs="Times New Roman"/>
          <w:i/>
          <w:sz w:val="24"/>
          <w:szCs w:val="24"/>
        </w:rPr>
        <w:t>Headache, 51,</w:t>
      </w:r>
      <w:r w:rsidRPr="00A3204A">
        <w:rPr>
          <w:rFonts w:ascii="Times New Roman" w:hAnsi="Times New Roman" w:cs="Times New Roman"/>
          <w:sz w:val="24"/>
          <w:szCs w:val="24"/>
        </w:rPr>
        <w:t xml:space="preserve">1358-1373. DOI: 10.1111/j.1526-4610.2011.01990.x.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Aziz, N. A., Leonardi-Bee, J., Phillips, M. F., Gladman, J., Legg, L. A., &amp; Walker, M. (2008). Therapy-based rehabilitation services for patients living at home more than one </w:t>
      </w:r>
      <w:r w:rsidRPr="00A3204A">
        <w:rPr>
          <w:rFonts w:ascii="Times New Roman" w:hAnsi="Times New Roman" w:cs="Times New Roman"/>
          <w:sz w:val="24"/>
          <w:szCs w:val="24"/>
        </w:rPr>
        <w:lastRenderedPageBreak/>
        <w:t xml:space="preserve">year after stroke. </w:t>
      </w:r>
      <w:r w:rsidRPr="00A3204A">
        <w:rPr>
          <w:rFonts w:ascii="Times New Roman" w:hAnsi="Times New Roman" w:cs="Times New Roman"/>
          <w:i/>
          <w:iCs/>
          <w:sz w:val="24"/>
          <w:szCs w:val="24"/>
        </w:rPr>
        <w:t>Cochrane Database of Systematic Reviews, 2,</w:t>
      </w:r>
      <w:r w:rsidRPr="00A3204A">
        <w:rPr>
          <w:rFonts w:ascii="Times New Roman" w:hAnsi="Times New Roman" w:cs="Times New Roman"/>
          <w:iCs/>
          <w:sz w:val="24"/>
          <w:szCs w:val="24"/>
        </w:rPr>
        <w:t xml:space="preserve"> 1-26. </w:t>
      </w:r>
      <w:r w:rsidRPr="00A3204A">
        <w:rPr>
          <w:rFonts w:ascii="Times New Roman" w:hAnsi="Times New Roman" w:cs="Times New Roman"/>
          <w:sz w:val="24"/>
          <w:szCs w:val="24"/>
        </w:rPr>
        <w:t>DOI: 10.1002/14651858.CD005952.pub2.</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b/>
          <w:i/>
          <w:sz w:val="24"/>
          <w:szCs w:val="24"/>
        </w:rPr>
      </w:pPr>
      <w:bookmarkStart w:id="755" w:name="Badjatia2009"/>
      <w:bookmarkEnd w:id="755"/>
      <w:r w:rsidRPr="00A3204A">
        <w:rPr>
          <w:rFonts w:ascii="Times New Roman" w:hAnsi="Times New Roman" w:cs="Times New Roman"/>
          <w:sz w:val="24"/>
          <w:szCs w:val="24"/>
        </w:rPr>
        <w:t xml:space="preserve">Badjatia, N. (2009). Hyperthermia and fever control in brain injury. </w:t>
      </w:r>
      <w:r w:rsidRPr="00A3204A">
        <w:rPr>
          <w:rFonts w:ascii="Times New Roman" w:hAnsi="Times New Roman" w:cs="Times New Roman"/>
          <w:i/>
          <w:sz w:val="24"/>
          <w:szCs w:val="24"/>
        </w:rPr>
        <w:t>Society of Critical Care Medicine, 37(7),</w:t>
      </w:r>
      <w:r w:rsidRPr="00A3204A">
        <w:rPr>
          <w:rFonts w:ascii="Times New Roman" w:hAnsi="Times New Roman" w:cs="Times New Roman"/>
          <w:b/>
          <w:i/>
          <w:sz w:val="24"/>
          <w:szCs w:val="24"/>
        </w:rPr>
        <w:t xml:space="preserve"> </w:t>
      </w:r>
      <w:r w:rsidRPr="00A3204A">
        <w:rPr>
          <w:rFonts w:ascii="Times New Roman" w:hAnsi="Times New Roman" w:cs="Times New Roman"/>
          <w:sz w:val="24"/>
          <w:szCs w:val="24"/>
        </w:rPr>
        <w:t xml:space="preserve">S250-S257.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b/>
          <w:i/>
          <w:sz w:val="24"/>
          <w:szCs w:val="24"/>
        </w:rPr>
      </w:pPr>
      <w:r w:rsidRPr="00A3204A">
        <w:rPr>
          <w:rFonts w:ascii="Times New Roman" w:hAnsi="Times New Roman" w:cs="Times New Roman"/>
          <w:sz w:val="24"/>
          <w:szCs w:val="24"/>
        </w:rPr>
        <w:t xml:space="preserve">Barclay-Goddard, R. E., Stevenson, T. J., Poluha,W., Moffatt, M., Taback, S. P. (2004). Force platformfeedback for standing balance training after stroke. </w:t>
      </w:r>
      <w:r w:rsidRPr="00A3204A">
        <w:rPr>
          <w:rFonts w:ascii="Times New Roman" w:hAnsi="Times New Roman" w:cs="Times New Roman"/>
          <w:i/>
          <w:iCs/>
          <w:sz w:val="24"/>
          <w:szCs w:val="24"/>
        </w:rPr>
        <w:t>Cochrane Database of Systematic Reviews, 4,</w:t>
      </w:r>
      <w:r w:rsidRPr="00A3204A">
        <w:rPr>
          <w:rFonts w:ascii="Times New Roman" w:hAnsi="Times New Roman" w:cs="Times New Roman"/>
          <w:iCs/>
          <w:sz w:val="24"/>
          <w:szCs w:val="24"/>
        </w:rPr>
        <w:t xml:space="preserve"> 1-24.</w:t>
      </w:r>
      <w:r w:rsidRPr="00A3204A">
        <w:rPr>
          <w:rFonts w:ascii="Times New Roman" w:hAnsi="Times New Roman" w:cs="Times New Roman"/>
          <w:sz w:val="24"/>
          <w:szCs w:val="24"/>
        </w:rPr>
        <w:t xml:space="preserve"> DOI: 10.1002/14651858.CD004129.pub2</w:t>
      </w:r>
      <w:r w:rsidRPr="00A3204A">
        <w:rPr>
          <w:rFonts w:ascii="AGaramond-Regular" w:hAnsi="AGaramond-Regular" w:cs="AGaramond-Regular"/>
          <w:sz w:val="18"/>
          <w:szCs w:val="18"/>
        </w:rPr>
        <w:t>.</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b/>
          <w:i/>
          <w:sz w:val="24"/>
          <w:szCs w:val="24"/>
        </w:rPr>
      </w:pPr>
      <w:r w:rsidRPr="00A3204A">
        <w:rPr>
          <w:rFonts w:ascii="Times New Roman" w:hAnsi="Times New Roman" w:cs="Times New Roman"/>
          <w:sz w:val="24"/>
          <w:szCs w:val="24"/>
        </w:rPr>
        <w:t xml:space="preserve">Barclay-Goddard, R. E., Stevenson, T. J., Poluha, W., &amp; Thalman, L. (2011). Mental practice for treating upper extremity deficits in individuals with hemiparesis after stroke. </w:t>
      </w:r>
      <w:r w:rsidRPr="00A3204A">
        <w:rPr>
          <w:rFonts w:ascii="Times New Roman" w:hAnsi="Times New Roman" w:cs="Times New Roman"/>
          <w:i/>
          <w:iCs/>
          <w:sz w:val="24"/>
          <w:szCs w:val="24"/>
        </w:rPr>
        <w:t xml:space="preserve">Cochrane Database of Systematic Reviews, 5, </w:t>
      </w:r>
      <w:r w:rsidRPr="00A3204A">
        <w:rPr>
          <w:rFonts w:ascii="Times New Roman" w:hAnsi="Times New Roman" w:cs="Times New Roman"/>
          <w:iCs/>
          <w:sz w:val="24"/>
          <w:szCs w:val="24"/>
        </w:rPr>
        <w:t xml:space="preserve">1-45. </w:t>
      </w:r>
      <w:r w:rsidRPr="00A3204A">
        <w:rPr>
          <w:rFonts w:ascii="Times New Roman" w:hAnsi="Times New Roman" w:cs="Times New Roman"/>
          <w:sz w:val="24"/>
          <w:szCs w:val="24"/>
        </w:rPr>
        <w:t>DOI: 10.1002/14651858.CD005950.pub4.</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b/>
          <w:i/>
          <w:sz w:val="24"/>
          <w:szCs w:val="24"/>
        </w:rPr>
      </w:pPr>
      <w:r w:rsidRPr="00A3204A">
        <w:rPr>
          <w:rFonts w:ascii="Times New Roman" w:hAnsi="Times New Roman" w:cs="Times New Roman"/>
          <w:sz w:val="24"/>
          <w:szCs w:val="24"/>
        </w:rPr>
        <w:t xml:space="preserve">Barkhoudarian, G., Hovda, D., &amp; </w:t>
      </w:r>
      <w:smartTag w:uri="urn:schemas-microsoft-com:office:smarttags" w:element="place">
        <w:smartTag w:uri="urn:schemas-microsoft-com:office:smarttags" w:element="City">
          <w:r w:rsidRPr="00A3204A">
            <w:rPr>
              <w:rFonts w:ascii="Times New Roman" w:hAnsi="Times New Roman" w:cs="Times New Roman"/>
              <w:sz w:val="24"/>
              <w:szCs w:val="24"/>
            </w:rPr>
            <w:t>Giza</w:t>
          </w:r>
        </w:smartTag>
      </w:smartTag>
      <w:r w:rsidRPr="00A3204A">
        <w:rPr>
          <w:rFonts w:ascii="Times New Roman" w:hAnsi="Times New Roman" w:cs="Times New Roman"/>
          <w:sz w:val="24"/>
          <w:szCs w:val="24"/>
        </w:rPr>
        <w:t xml:space="preserve">, C. (2011). The molecular pathophysiology of concussive brain injury. </w:t>
      </w:r>
      <w:r w:rsidRPr="00A3204A">
        <w:rPr>
          <w:rFonts w:ascii="Times New Roman" w:hAnsi="Times New Roman" w:cs="Times New Roman"/>
          <w:i/>
          <w:sz w:val="24"/>
          <w:szCs w:val="24"/>
        </w:rPr>
        <w:t xml:space="preserve">Clinical Sports Medicine, 30, </w:t>
      </w:r>
      <w:r w:rsidRPr="00A3204A">
        <w:rPr>
          <w:rFonts w:ascii="Times New Roman" w:hAnsi="Times New Roman" w:cs="Times New Roman"/>
          <w:sz w:val="24"/>
          <w:szCs w:val="24"/>
        </w:rPr>
        <w:t>33</w:t>
      </w:r>
      <w:r w:rsidRPr="00A3204A">
        <w:rPr>
          <w:rFonts w:ascii="Times New Roman" w:hAnsi="Times New Roman" w:cs="Times New Roman"/>
          <w:b/>
          <w:sz w:val="24"/>
          <w:szCs w:val="24"/>
        </w:rPr>
        <w:t>-</w:t>
      </w:r>
      <w:r w:rsidRPr="00A3204A">
        <w:rPr>
          <w:rFonts w:ascii="Times New Roman" w:hAnsi="Times New Roman" w:cs="Times New Roman"/>
          <w:sz w:val="24"/>
          <w:szCs w:val="24"/>
        </w:rPr>
        <w:t>48. DOI: 10.1016/j.csm.2010.09.001</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b/>
          <w:i/>
          <w:sz w:val="24"/>
          <w:szCs w:val="24"/>
        </w:rPr>
      </w:pPr>
      <w:bookmarkStart w:id="756" w:name="Barnes2003"/>
      <w:bookmarkEnd w:id="756"/>
      <w:r w:rsidRPr="00A3204A">
        <w:rPr>
          <w:rFonts w:ascii="Times New Roman" w:hAnsi="Times New Roman" w:cs="Times New Roman"/>
          <w:sz w:val="24"/>
          <w:szCs w:val="24"/>
        </w:rPr>
        <w:t xml:space="preserve">Barnes, D. E., Yaffe, K., Satariano, W. A., &amp; Tager, </w:t>
      </w:r>
      <w:smartTag w:uri="urn:schemas-microsoft-com:office:smarttags" w:element="place">
        <w:r w:rsidRPr="00A3204A">
          <w:rPr>
            <w:rFonts w:ascii="Times New Roman" w:hAnsi="Times New Roman" w:cs="Times New Roman"/>
            <w:sz w:val="24"/>
            <w:szCs w:val="24"/>
          </w:rPr>
          <w:t>I.</w:t>
        </w:r>
      </w:smartTag>
      <w:r w:rsidRPr="00A3204A">
        <w:rPr>
          <w:rFonts w:ascii="Times New Roman" w:hAnsi="Times New Roman" w:cs="Times New Roman"/>
          <w:sz w:val="24"/>
          <w:szCs w:val="24"/>
        </w:rPr>
        <w:t xml:space="preserve"> B. (2003). A longitudinal study of cardiorespiratory fitness and cognitive function in healthy older adults. </w:t>
      </w:r>
      <w:r w:rsidRPr="00A3204A">
        <w:rPr>
          <w:rFonts w:ascii="Times New Roman" w:hAnsi="Times New Roman" w:cs="Times New Roman"/>
          <w:i/>
          <w:sz w:val="24"/>
          <w:szCs w:val="24"/>
        </w:rPr>
        <w:t>JAGS, 51(4),</w:t>
      </w:r>
      <w:r w:rsidRPr="00A3204A">
        <w:rPr>
          <w:rFonts w:ascii="Times New Roman" w:hAnsi="Times New Roman" w:cs="Times New Roman"/>
          <w:sz w:val="24"/>
          <w:szCs w:val="24"/>
        </w:rPr>
        <w:t xml:space="preserve"> 459-465.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b/>
          <w:i/>
          <w:sz w:val="24"/>
          <w:szCs w:val="24"/>
        </w:rPr>
      </w:pPr>
      <w:r w:rsidRPr="00A3204A">
        <w:rPr>
          <w:rFonts w:ascii="Times New Roman" w:hAnsi="Times New Roman" w:cs="Times New Roman"/>
          <w:sz w:val="24"/>
          <w:szCs w:val="24"/>
        </w:rPr>
        <w:t xml:space="preserve">Basso, A., Cattaneo, S., Girelli, L, Luzzatti, C., Miozzo, A., </w:t>
      </w:r>
      <w:smartTag w:uri="urn:schemas-microsoft-com:office:smarttags" w:element="place">
        <w:smartTag w:uri="urn:schemas-microsoft-com:office:smarttags" w:element="City">
          <w:r w:rsidRPr="00A3204A">
            <w:rPr>
              <w:rFonts w:ascii="Times New Roman" w:hAnsi="Times New Roman" w:cs="Times New Roman"/>
              <w:sz w:val="24"/>
              <w:szCs w:val="24"/>
            </w:rPr>
            <w:t>Modena</w:t>
          </w:r>
        </w:smartTag>
      </w:smartTag>
      <w:r w:rsidRPr="00A3204A">
        <w:rPr>
          <w:rFonts w:ascii="Times New Roman" w:hAnsi="Times New Roman" w:cs="Times New Roman"/>
          <w:sz w:val="24"/>
          <w:szCs w:val="24"/>
        </w:rPr>
        <w:t xml:space="preserve">, L., &amp; Monti, A. (2011). Treatment efficacy of language and calculation disorders and speech apraxia: A review of literature. </w:t>
      </w:r>
      <w:r w:rsidRPr="00A3204A">
        <w:rPr>
          <w:rFonts w:ascii="Times New Roman" w:hAnsi="Times New Roman" w:cs="Times New Roman"/>
          <w:i/>
          <w:sz w:val="24"/>
          <w:szCs w:val="24"/>
        </w:rPr>
        <w:t>European Journal of Physical and Rehabilitation Medicine, 47(1),</w:t>
      </w:r>
      <w:r w:rsidRPr="00A3204A">
        <w:rPr>
          <w:rFonts w:ascii="Times New Roman" w:hAnsi="Times New Roman" w:cs="Times New Roman"/>
          <w:sz w:val="24"/>
          <w:szCs w:val="24"/>
        </w:rPr>
        <w:t xml:space="preserve"> 101-121.</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Belafsky, P., Gianoli, G., Soileau, J., Moore, D., &amp; Davidowitz, S. (2000). Vestibular autorotation testing in patients with benign paroxysmal positional vertigo. </w:t>
      </w:r>
      <w:r w:rsidRPr="00A3204A">
        <w:rPr>
          <w:rFonts w:ascii="Times New Roman" w:hAnsi="Times New Roman" w:cs="Times New Roman"/>
          <w:i/>
          <w:iCs/>
          <w:sz w:val="24"/>
          <w:szCs w:val="24"/>
        </w:rPr>
        <w:t xml:space="preserve">Otolaryngology -- Head and Neck Surgery, </w:t>
      </w:r>
      <w:r w:rsidRPr="00A3204A">
        <w:rPr>
          <w:rFonts w:ascii="Times New Roman" w:hAnsi="Times New Roman" w:cs="Times New Roman"/>
          <w:i/>
          <w:sz w:val="24"/>
          <w:szCs w:val="24"/>
        </w:rPr>
        <w:t>122,</w:t>
      </w:r>
      <w:r w:rsidRPr="00A3204A">
        <w:rPr>
          <w:rFonts w:ascii="Times New Roman" w:hAnsi="Times New Roman" w:cs="Times New Roman"/>
          <w:sz w:val="24"/>
          <w:szCs w:val="24"/>
        </w:rPr>
        <w:t xml:space="preserve"> 163-167. DOI: 10.1016/S0194-5998(00)70233-6</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Belanger, H. G., Curtiss, G., Demery, J. A., Lebowitz, B. K., &amp; Vanderploeg, R. D. (2005). Factors moderating neuropsychological outcomes following mild traumatic brain injury: A meta- analysis. </w:t>
      </w:r>
      <w:r w:rsidRPr="00A3204A">
        <w:rPr>
          <w:rFonts w:ascii="Times New Roman" w:hAnsi="Times New Roman" w:cs="Times New Roman"/>
          <w:i/>
          <w:sz w:val="24"/>
          <w:szCs w:val="24"/>
        </w:rPr>
        <w:t>Journal of the International Neuropsychological Society, 11,</w:t>
      </w:r>
      <w:r w:rsidRPr="00A3204A">
        <w:rPr>
          <w:rFonts w:ascii="Times New Roman" w:hAnsi="Times New Roman" w:cs="Times New Roman"/>
          <w:sz w:val="24"/>
          <w:szCs w:val="24"/>
        </w:rPr>
        <w:t xml:space="preserve"> 215-227. DOI: 10.1017/S1355617705050277.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757" w:name="Belanger2007"/>
      <w:bookmarkEnd w:id="757"/>
      <w:r w:rsidRPr="00A3204A">
        <w:rPr>
          <w:rFonts w:ascii="Times New Roman" w:hAnsi="Times New Roman" w:cs="Times New Roman"/>
          <w:sz w:val="24"/>
          <w:szCs w:val="24"/>
        </w:rPr>
        <w:t xml:space="preserve">Belanger, H. G., Vanderploeg, R. D., Curtiss, G., &amp; Warden, D. L. (2007). Recent neuroimaging techniques in mild traumatic brain injury. </w:t>
      </w:r>
      <w:r w:rsidRPr="00A3204A">
        <w:rPr>
          <w:rFonts w:ascii="Times New Roman" w:hAnsi="Times New Roman" w:cs="Times New Roman"/>
          <w:i/>
          <w:sz w:val="24"/>
          <w:szCs w:val="24"/>
        </w:rPr>
        <w:t>The Journal of Neuropsychiatry and Clinical Neurosciences 19:</w:t>
      </w:r>
      <w:r w:rsidRPr="00A3204A">
        <w:rPr>
          <w:rFonts w:ascii="Times New Roman" w:hAnsi="Times New Roman" w:cs="Times New Roman"/>
          <w:sz w:val="24"/>
          <w:szCs w:val="24"/>
        </w:rPr>
        <w:t xml:space="preserve">5-20. </w:t>
      </w:r>
      <w:hyperlink r:id="rId26" w:history="1">
        <w:r w:rsidRPr="00A3204A">
          <w:rPr>
            <w:rFonts w:ascii="Times New Roman" w:hAnsi="Times New Roman" w:cs="Times New Roman"/>
            <w:color w:val="0000FF"/>
            <w:sz w:val="24"/>
            <w:szCs w:val="24"/>
            <w:u w:val="single"/>
          </w:rPr>
          <w:t>http://neuro.psychiatryonline.org</w:t>
        </w:r>
      </w:hyperlink>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smartTag w:uri="urn:schemas-microsoft-com:office:smarttags" w:element="City">
        <w:smartTag w:uri="urn:schemas-microsoft-com:office:smarttags" w:element="place">
          <w:r w:rsidRPr="00A3204A">
            <w:rPr>
              <w:rFonts w:ascii="Times New Roman" w:hAnsi="Times New Roman" w:cs="Times New Roman"/>
              <w:sz w:val="24"/>
              <w:szCs w:val="24"/>
            </w:rPr>
            <w:t>Bell</w:t>
          </w:r>
        </w:smartTag>
      </w:smartTag>
      <w:r w:rsidRPr="00A3204A">
        <w:rPr>
          <w:rFonts w:ascii="Times New Roman" w:hAnsi="Times New Roman" w:cs="Times New Roman"/>
          <w:sz w:val="24"/>
          <w:szCs w:val="24"/>
        </w:rPr>
        <w:t xml:space="preserve">, K. R., Hoffman, J. M., Temkin, N. R., Powell, J. M., Fraser, R. T., Esselman, P. C.,… Dikmen, S. (2008). The effect of telephone counselling on reducing posttraumatic symptoms after mild traumatic brain injury: A randomised trial. </w:t>
      </w:r>
      <w:r w:rsidRPr="00A3204A">
        <w:rPr>
          <w:rFonts w:ascii="Times New Roman" w:hAnsi="Times New Roman" w:cs="Times New Roman"/>
          <w:i/>
          <w:sz w:val="24"/>
          <w:szCs w:val="24"/>
        </w:rPr>
        <w:t xml:space="preserve">J Neurol Neurosurg Psychiatry, 79, </w:t>
      </w:r>
      <w:r w:rsidRPr="00A3204A">
        <w:rPr>
          <w:rFonts w:ascii="Times New Roman" w:hAnsi="Times New Roman" w:cs="Times New Roman"/>
          <w:sz w:val="24"/>
          <w:szCs w:val="24"/>
        </w:rPr>
        <w:t>1275–1281. DOI:10.1136/jnnp.2007.141762.</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758" w:name="Bendtsen2010"/>
      <w:bookmarkEnd w:id="758"/>
      <w:r w:rsidRPr="00A3204A">
        <w:rPr>
          <w:rFonts w:ascii="Times New Roman" w:hAnsi="Times New Roman" w:cs="Times New Roman"/>
          <w:sz w:val="24"/>
          <w:szCs w:val="24"/>
        </w:rPr>
        <w:t xml:space="preserve">Bendtsen, L., Evers, S., Linde, M., Mitsikostas, D. D.,Sandrini, G., &amp; Schoenen, J. (2010). EFNS guidelines on the treatment of tension-type headaches – Report of an EFNS task force. </w:t>
      </w:r>
      <w:r w:rsidRPr="00A3204A">
        <w:rPr>
          <w:rFonts w:ascii="Times New Roman" w:hAnsi="Times New Roman" w:cs="Times New Roman"/>
          <w:i/>
          <w:sz w:val="24"/>
          <w:szCs w:val="24"/>
        </w:rPr>
        <w:t>European Journal of Neurology, 17,</w:t>
      </w:r>
      <w:r w:rsidRPr="00A3204A">
        <w:rPr>
          <w:rFonts w:ascii="Times New Roman" w:hAnsi="Times New Roman" w:cs="Times New Roman"/>
          <w:sz w:val="24"/>
          <w:szCs w:val="24"/>
        </w:rPr>
        <w:t xml:space="preserve"> 1318-1325. DOI:10.1111/j.1468-1331.2010.03070. x</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lastRenderedPageBreak/>
        <w:t>Bendtsen, L., Evers, S., Linde, M., Mitsikostas, D. D.,Sandrini, G., &amp; Schoenen, J. (2012).</w:t>
      </w:r>
      <w:r w:rsidRPr="00A3204A">
        <w:t xml:space="preserve"> </w:t>
      </w:r>
      <w:r w:rsidRPr="00A3204A">
        <w:rPr>
          <w:rFonts w:ascii="Times New Roman" w:hAnsi="Times New Roman" w:cs="Times New Roman"/>
          <w:sz w:val="24"/>
          <w:szCs w:val="24"/>
        </w:rPr>
        <w:t xml:space="preserve">Treatment of tension-type headache. </w:t>
      </w:r>
      <w:r w:rsidRPr="00A3204A">
        <w:rPr>
          <w:rFonts w:ascii="Times New Roman" w:hAnsi="Times New Roman" w:cs="Times New Roman"/>
          <w:i/>
          <w:sz w:val="24"/>
          <w:szCs w:val="24"/>
        </w:rPr>
        <w:t xml:space="preserve">European Handbook of Neurological Management, 2, Second Edition, </w:t>
      </w:r>
      <w:r w:rsidRPr="00A3204A">
        <w:rPr>
          <w:rFonts w:ascii="Times New Roman" w:hAnsi="Times New Roman" w:cs="Times New Roman"/>
          <w:sz w:val="24"/>
          <w:szCs w:val="24"/>
        </w:rPr>
        <w:t xml:space="preserve">225-238. </w:t>
      </w:r>
    </w:p>
    <w:p w:rsidR="00A3204A" w:rsidRPr="00A3204A" w:rsidRDefault="00A3204A" w:rsidP="009C3DC2">
      <w:pPr>
        <w:numPr>
          <w:ilvl w:val="0"/>
          <w:numId w:val="33"/>
        </w:numPr>
        <w:spacing w:before="0" w:after="120"/>
        <w:rPr>
          <w:rFonts w:ascii="Times New Roman" w:hAnsi="Times New Roman" w:cs="Times New Roman"/>
          <w:i/>
          <w:sz w:val="24"/>
          <w:szCs w:val="24"/>
        </w:rPr>
      </w:pPr>
      <w:bookmarkStart w:id="759" w:name="Bendtsen1996"/>
      <w:bookmarkEnd w:id="759"/>
      <w:r w:rsidRPr="00A3204A">
        <w:rPr>
          <w:rFonts w:ascii="Times New Roman" w:hAnsi="Times New Roman" w:cs="Times New Roman"/>
          <w:sz w:val="24"/>
          <w:szCs w:val="24"/>
        </w:rPr>
        <w:t xml:space="preserve">Bendtsen, L, Jensen, R., &amp; Olesen, J. (1996). A non-selective (amitriptyline), but not a selective (citalopram), serotonin reuptake inhibitor is effective in the prophylactic treatment of chronic tension-type headache. </w:t>
      </w:r>
      <w:r w:rsidRPr="00A3204A">
        <w:rPr>
          <w:rFonts w:ascii="Times New Roman" w:hAnsi="Times New Roman" w:cs="Times New Roman"/>
          <w:i/>
          <w:sz w:val="24"/>
          <w:szCs w:val="24"/>
        </w:rPr>
        <w:t xml:space="preserve">Journal of Neurology, Neurosurgery, and Psychiatry, 61, </w:t>
      </w:r>
      <w:r w:rsidRPr="00A3204A">
        <w:rPr>
          <w:rFonts w:ascii="Times New Roman" w:hAnsi="Times New Roman" w:cs="Times New Roman"/>
          <w:sz w:val="24"/>
          <w:szCs w:val="24"/>
        </w:rPr>
        <w:t>285-290. http://www.</w:t>
      </w:r>
      <w:r w:rsidRPr="00A3204A">
        <w:rPr>
          <w:sz w:val="24"/>
          <w:szCs w:val="24"/>
        </w:rPr>
        <w:t xml:space="preserve"> </w:t>
      </w:r>
      <w:r w:rsidRPr="00A3204A">
        <w:rPr>
          <w:rFonts w:ascii="Times New Roman" w:hAnsi="Times New Roman" w:cs="Times New Roman"/>
          <w:sz w:val="24"/>
          <w:szCs w:val="24"/>
        </w:rPr>
        <w:t xml:space="preserve">jnnp.bmj.com.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r w:rsidRPr="00A3204A">
        <w:rPr>
          <w:rFonts w:ascii="Times New Roman" w:hAnsi="Times New Roman" w:cs="Times New Roman"/>
          <w:i/>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760" w:name="Bennett2004"/>
      <w:bookmarkEnd w:id="760"/>
      <w:r w:rsidRPr="00A3204A">
        <w:rPr>
          <w:rFonts w:ascii="Times New Roman" w:hAnsi="Times New Roman" w:cs="Times New Roman"/>
          <w:sz w:val="24"/>
          <w:szCs w:val="24"/>
        </w:rPr>
        <w:t>Bennett, M. H., Trytko, B., &amp; Jonker, B. (2004). Hyperbaric oxygen therapy for the adjunctive treatment of traumatic brain injury (Review).</w:t>
      </w:r>
      <w:r w:rsidRPr="00A3204A">
        <w:rPr>
          <w:rFonts w:ascii="Times New Roman" w:hAnsi="Times New Roman" w:cs="Times New Roman"/>
          <w:i/>
          <w:sz w:val="24"/>
          <w:szCs w:val="24"/>
        </w:rPr>
        <w:t xml:space="preserve"> </w:t>
      </w:r>
      <w:r w:rsidRPr="00A3204A">
        <w:rPr>
          <w:rFonts w:ascii="Times New Roman" w:hAnsi="Times New Roman" w:cs="Times New Roman"/>
          <w:bCs/>
          <w:i/>
          <w:sz w:val="24"/>
          <w:szCs w:val="24"/>
        </w:rPr>
        <w:t>Cochrane Database of Systematic Reviews,</w:t>
      </w:r>
      <w:r w:rsidRPr="00A3204A">
        <w:rPr>
          <w:rFonts w:ascii="Times New Roman" w:hAnsi="Times New Roman" w:cs="Times New Roman"/>
          <w:i/>
          <w:sz w:val="24"/>
          <w:szCs w:val="24"/>
        </w:rPr>
        <w:t xml:space="preserve"> 4, </w:t>
      </w:r>
      <w:r w:rsidRPr="00A3204A">
        <w:rPr>
          <w:rFonts w:ascii="Times New Roman" w:hAnsi="Times New Roman" w:cs="Times New Roman"/>
          <w:sz w:val="24"/>
          <w:szCs w:val="24"/>
        </w:rPr>
        <w:t>1-31.</w:t>
      </w:r>
      <w:r w:rsidRPr="00A3204A">
        <w:rPr>
          <w:rFonts w:ascii="Times New Roman" w:hAnsi="Times New Roman" w:cs="Times New Roman"/>
          <w:i/>
          <w:sz w:val="24"/>
          <w:szCs w:val="24"/>
        </w:rPr>
        <w:t xml:space="preserve"> </w:t>
      </w:r>
      <w:hyperlink r:id="rId27" w:history="1">
        <w:r w:rsidRPr="00A3204A">
          <w:rPr>
            <w:rFonts w:ascii="Times New Roman" w:hAnsi="Times New Roman" w:cs="Times New Roman"/>
            <w:color w:val="0000FF"/>
            <w:sz w:val="24"/>
            <w:szCs w:val="24"/>
            <w:u w:val="single"/>
          </w:rPr>
          <w:t>http://www.thecochranelibrary.com</w:t>
        </w:r>
      </w:hyperlink>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761" w:name="Bennett2005"/>
      <w:bookmarkEnd w:id="761"/>
      <w:r w:rsidRPr="00A3204A">
        <w:rPr>
          <w:rFonts w:ascii="Times New Roman" w:hAnsi="Times New Roman" w:cs="Times New Roman"/>
          <w:sz w:val="24"/>
          <w:szCs w:val="24"/>
        </w:rPr>
        <w:t xml:space="preserve">Bennett, M. H., Wasiak, J., Schnabel, A., Kranke, P., &amp; French, C. (2005). Hyperbaric oxygen therapy for acute ischaemic stroke. </w:t>
      </w:r>
      <w:r w:rsidRPr="00A3204A">
        <w:rPr>
          <w:rFonts w:ascii="Times New Roman" w:hAnsi="Times New Roman" w:cs="Times New Roman"/>
          <w:i/>
          <w:iCs/>
          <w:sz w:val="24"/>
          <w:szCs w:val="24"/>
        </w:rPr>
        <w:t>Cochrane Database of Systematic Reviews, 3,</w:t>
      </w:r>
      <w:r w:rsidRPr="00A3204A">
        <w:rPr>
          <w:rFonts w:ascii="Times New Roman" w:hAnsi="Times New Roman" w:cs="Times New Roman"/>
          <w:iCs/>
          <w:sz w:val="24"/>
          <w:szCs w:val="24"/>
        </w:rPr>
        <w:t xml:space="preserve"> 1-37. </w:t>
      </w:r>
      <w:r w:rsidRPr="00A3204A">
        <w:rPr>
          <w:rFonts w:ascii="Times New Roman" w:hAnsi="Times New Roman" w:cs="Times New Roman"/>
          <w:sz w:val="24"/>
          <w:szCs w:val="24"/>
        </w:rPr>
        <w:t>DOI: 10.1002/14651858.CD004954.pub2.</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Bernard, S. (2009). Hypothermia after cardiac arrest: Expanding the therapeutic scope</w:t>
      </w:r>
      <w:r w:rsidRPr="00A3204A">
        <w:rPr>
          <w:rFonts w:ascii="Times New Roman" w:hAnsi="Times New Roman" w:cs="Times New Roman"/>
          <w:i/>
          <w:sz w:val="24"/>
          <w:szCs w:val="24"/>
        </w:rPr>
        <w:t xml:space="preserve">. Critical Care Medicine, 37(7), </w:t>
      </w:r>
      <w:r w:rsidRPr="00A3204A">
        <w:rPr>
          <w:rFonts w:ascii="Times New Roman" w:hAnsi="Times New Roman" w:cs="Times New Roman"/>
          <w:sz w:val="24"/>
          <w:szCs w:val="24"/>
        </w:rPr>
        <w:t xml:space="preserve">S227-S233.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Bernhardt, J., Thuy, M. N. T., Collier, J. M., &amp; Legg, L. A. (2009). Very early versus delayed mobilisation after stroke. </w:t>
      </w:r>
      <w:r w:rsidRPr="00A3204A">
        <w:rPr>
          <w:rFonts w:ascii="Times New Roman" w:hAnsi="Times New Roman" w:cs="Times New Roman"/>
          <w:i/>
          <w:iCs/>
          <w:sz w:val="24"/>
          <w:szCs w:val="24"/>
        </w:rPr>
        <w:t>Cochrane Database of Systematic Reviews, 1,</w:t>
      </w:r>
      <w:r w:rsidRPr="00A3204A">
        <w:rPr>
          <w:rFonts w:ascii="Times New Roman" w:hAnsi="Times New Roman" w:cs="Times New Roman"/>
          <w:iCs/>
          <w:sz w:val="24"/>
          <w:szCs w:val="24"/>
        </w:rPr>
        <w:t xml:space="preserve"> 1-19. </w:t>
      </w:r>
      <w:r w:rsidRPr="00A3204A">
        <w:rPr>
          <w:rFonts w:ascii="Times New Roman" w:hAnsi="Times New Roman" w:cs="Times New Roman"/>
          <w:sz w:val="24"/>
          <w:szCs w:val="24"/>
        </w:rPr>
        <w:t>DOI: 10.1002/14651858.CD006187.pub2.</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Berrigan, L., Marshall, S., McCullagh, S., Velikonja, D., &amp; Bayley, M. (2011). Quality of clinical practice guidelines for persons who have sustained mild traumatic brain injury. </w:t>
      </w:r>
      <w:r w:rsidRPr="00A3204A">
        <w:rPr>
          <w:rFonts w:ascii="Times New Roman" w:hAnsi="Times New Roman" w:cs="Times New Roman"/>
          <w:i/>
          <w:sz w:val="24"/>
          <w:szCs w:val="24"/>
        </w:rPr>
        <w:t xml:space="preserve">Brain Injury, 25(7-8), </w:t>
      </w:r>
      <w:r w:rsidRPr="00A3204A">
        <w:rPr>
          <w:rFonts w:ascii="Times New Roman" w:hAnsi="Times New Roman" w:cs="Times New Roman"/>
          <w:sz w:val="24"/>
          <w:szCs w:val="24"/>
        </w:rPr>
        <w:t xml:space="preserve">742-751. DOI: 10.3109/02699052.2011.580317.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Bethge, M., Herbold, D., Trowitzsch, L., &amp; Jacobi, C. (2011). Work status and health-related quality of life following multimodal work hardening: A cluster randomized trial. </w:t>
      </w:r>
      <w:r w:rsidRPr="00A3204A">
        <w:rPr>
          <w:rFonts w:ascii="Times New Roman" w:hAnsi="Times New Roman" w:cs="Times New Roman"/>
          <w:i/>
          <w:sz w:val="24"/>
          <w:szCs w:val="24"/>
        </w:rPr>
        <w:t xml:space="preserve">Journal of Back and Musculoskeletal Rehabilitation, 24, </w:t>
      </w:r>
      <w:r w:rsidRPr="00A3204A">
        <w:rPr>
          <w:rFonts w:ascii="Times New Roman" w:hAnsi="Times New Roman" w:cs="Times New Roman"/>
          <w:sz w:val="24"/>
          <w:szCs w:val="24"/>
        </w:rPr>
        <w:t xml:space="preserve">161-172. DOI:10.3233/BMR-2011-0290, IOS Press.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Bhattacharyya, N., Baugh, R. F., Orvidas, L., Barrs, D., Bronston, L. J., Cass, S., …</w:t>
      </w:r>
      <w:r w:rsidRPr="00A3204A">
        <w:rPr>
          <w:rFonts w:ascii="Times New Roman" w:hAnsi="Times New Roman" w:cs="Times New Roman"/>
          <w:bCs/>
          <w:sz w:val="24"/>
          <w:szCs w:val="24"/>
        </w:rPr>
        <w:t xml:space="preserve">Haidari, J. (2008). Clinical practice guideline: Benign paroxysmal positional vertigo. </w:t>
      </w:r>
      <w:r w:rsidRPr="00A3204A">
        <w:rPr>
          <w:rFonts w:ascii="Times New Roman" w:hAnsi="Times New Roman" w:cs="Times New Roman"/>
          <w:bCs/>
          <w:i/>
          <w:sz w:val="24"/>
          <w:szCs w:val="24"/>
        </w:rPr>
        <w:t>Otolaryngology–Head and Neck Surgery, 139,</w:t>
      </w:r>
      <w:r w:rsidRPr="00A3204A">
        <w:rPr>
          <w:rFonts w:ascii="Times New Roman" w:hAnsi="Times New Roman" w:cs="Times New Roman"/>
          <w:bCs/>
          <w:sz w:val="24"/>
          <w:szCs w:val="24"/>
        </w:rPr>
        <w:t xml:space="preserve"> S47-S81. DOI:10.1016/j. otohns.2008.08.022.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Bigler, E. D. (2011). Structural imaging. </w:t>
      </w:r>
      <w:r w:rsidRPr="00A3204A">
        <w:rPr>
          <w:rFonts w:ascii="Times New Roman" w:hAnsi="Times New Roman" w:cs="Times New Roman"/>
          <w:i/>
          <w:sz w:val="24"/>
          <w:szCs w:val="24"/>
        </w:rPr>
        <w:t xml:space="preserve">American Psychiatric Association, 5, </w:t>
      </w:r>
      <w:r w:rsidRPr="00A3204A">
        <w:rPr>
          <w:rFonts w:ascii="Times New Roman" w:hAnsi="Times New Roman" w:cs="Times New Roman"/>
          <w:sz w:val="24"/>
          <w:szCs w:val="24"/>
        </w:rPr>
        <w:t xml:space="preserve">1-18. DOI: 10.1176/appl. books.971585624201.673559. </w:t>
      </w:r>
      <w:r w:rsidRPr="00A3204A">
        <w:rPr>
          <w:rFonts w:ascii="Times New Roman" w:hAnsi="Times New Roman" w:cs="Times New Roman"/>
          <w:sz w:val="24"/>
          <w:szCs w:val="24"/>
          <w:u w:val="single"/>
        </w:rPr>
        <w:t xml:space="preserve">htttp://www.psychiatryonline.com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Birks, J. (2006). Cholinesterase inhibitors for Alzheimer’s disease. </w:t>
      </w:r>
      <w:r w:rsidRPr="00A3204A">
        <w:rPr>
          <w:rFonts w:ascii="Times New Roman" w:hAnsi="Times New Roman" w:cs="Times New Roman"/>
          <w:i/>
          <w:iCs/>
          <w:sz w:val="24"/>
          <w:szCs w:val="24"/>
        </w:rPr>
        <w:t>Cochrane Database of Systematic Reviews,</w:t>
      </w:r>
      <w:r w:rsidRPr="00A3204A">
        <w:rPr>
          <w:rFonts w:ascii="Times New Roman" w:hAnsi="Times New Roman" w:cs="Times New Roman"/>
          <w:i/>
          <w:sz w:val="24"/>
          <w:szCs w:val="24"/>
        </w:rPr>
        <w:t xml:space="preserve"> 1, </w:t>
      </w:r>
      <w:r w:rsidRPr="00A3204A">
        <w:rPr>
          <w:rFonts w:ascii="Times New Roman" w:hAnsi="Times New Roman" w:cs="Times New Roman"/>
          <w:sz w:val="24"/>
          <w:szCs w:val="24"/>
        </w:rPr>
        <w:t>1-89. DOI: 10.1002/14651858.CD005593.</w:t>
      </w:r>
    </w:p>
    <w:p w:rsidR="00A3204A" w:rsidRPr="00A3204A" w:rsidRDefault="00A3204A" w:rsidP="009C3DC2">
      <w:pPr>
        <w:numPr>
          <w:ilvl w:val="0"/>
          <w:numId w:val="33"/>
        </w:numPr>
        <w:tabs>
          <w:tab w:val="clear" w:pos="360"/>
          <w:tab w:val="left" w:pos="27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Black, F. O., Angel C. R., Pesznecker, S. C., &amp; Gianna, C. (2000). Outcome analysis of individualized vestibular rehabilitation protocols. </w:t>
      </w:r>
      <w:r w:rsidRPr="00A3204A">
        <w:rPr>
          <w:rFonts w:ascii="Times New Roman" w:hAnsi="Times New Roman" w:cs="Times New Roman"/>
          <w:i/>
          <w:sz w:val="24"/>
          <w:szCs w:val="24"/>
        </w:rPr>
        <w:t xml:space="preserve">The American Journal of Otology, 21, </w:t>
      </w:r>
      <w:r w:rsidRPr="00A3204A">
        <w:rPr>
          <w:rFonts w:ascii="Times New Roman" w:hAnsi="Times New Roman" w:cs="Times New Roman"/>
          <w:sz w:val="24"/>
          <w:szCs w:val="24"/>
        </w:rPr>
        <w:t xml:space="preserve">543-551. </w:t>
      </w:r>
    </w:p>
    <w:p w:rsidR="00A3204A" w:rsidRPr="00A3204A" w:rsidRDefault="00A3204A" w:rsidP="009C3DC2">
      <w:pPr>
        <w:numPr>
          <w:ilvl w:val="0"/>
          <w:numId w:val="33"/>
        </w:numPr>
        <w:tabs>
          <w:tab w:val="clear" w:pos="360"/>
          <w:tab w:val="left" w:pos="27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Bland, D., Zampieri, C., &amp; Damiano, D. (2011). Effectiveness of physical therapy for improving gait and balance in individuals with traumatic brain injury: A systematic review. </w:t>
      </w:r>
      <w:r w:rsidRPr="00A3204A">
        <w:rPr>
          <w:rFonts w:ascii="Times New Roman" w:hAnsi="Times New Roman" w:cs="Times New Roman"/>
          <w:i/>
          <w:sz w:val="24"/>
          <w:szCs w:val="24"/>
        </w:rPr>
        <w:t>Brain Injury, 25(7–8)</w:t>
      </w:r>
      <w:r w:rsidRPr="00A3204A">
        <w:rPr>
          <w:rFonts w:ascii="Times New Roman" w:hAnsi="Times New Roman" w:cs="Times New Roman"/>
          <w:sz w:val="24"/>
          <w:szCs w:val="24"/>
        </w:rPr>
        <w:t>, 664–679. DOI: 10.3109/02699052.2011.576306.</w:t>
      </w:r>
    </w:p>
    <w:p w:rsidR="00A3204A" w:rsidRPr="00A3204A" w:rsidRDefault="00A3204A" w:rsidP="009C3DC2">
      <w:pPr>
        <w:numPr>
          <w:ilvl w:val="0"/>
          <w:numId w:val="33"/>
        </w:numPr>
        <w:tabs>
          <w:tab w:val="clear" w:pos="360"/>
          <w:tab w:val="left" w:pos="27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Blatt, P. J., Georgakakis, G. A., Herdman, S., J., Clendaniel, R., A., &amp; Tusa, R. J. (2000). The effect of the canalith repositioning maneuver on resolving postural instability in </w:t>
      </w:r>
      <w:r w:rsidRPr="00A3204A">
        <w:rPr>
          <w:rFonts w:ascii="Times New Roman" w:hAnsi="Times New Roman" w:cs="Times New Roman"/>
          <w:sz w:val="24"/>
          <w:szCs w:val="24"/>
        </w:rPr>
        <w:lastRenderedPageBreak/>
        <w:t xml:space="preserve">patients with benign paroxysmal positional vertigo. </w:t>
      </w:r>
      <w:r w:rsidRPr="00A3204A">
        <w:rPr>
          <w:rFonts w:ascii="Times New Roman" w:hAnsi="Times New Roman" w:cs="Times New Roman"/>
          <w:i/>
          <w:sz w:val="24"/>
          <w:szCs w:val="24"/>
        </w:rPr>
        <w:t xml:space="preserve">The American Journal of Otology, 21, </w:t>
      </w:r>
      <w:r w:rsidRPr="00A3204A">
        <w:rPr>
          <w:rFonts w:ascii="Times New Roman" w:hAnsi="Times New Roman" w:cs="Times New Roman"/>
          <w:sz w:val="24"/>
          <w:szCs w:val="24"/>
        </w:rPr>
        <w:t xml:space="preserve">356-363. </w:t>
      </w:r>
    </w:p>
    <w:p w:rsidR="00A3204A" w:rsidRPr="00A3204A" w:rsidRDefault="00A3204A" w:rsidP="009C3DC2">
      <w:pPr>
        <w:numPr>
          <w:ilvl w:val="0"/>
          <w:numId w:val="33"/>
        </w:numPr>
        <w:tabs>
          <w:tab w:val="clear" w:pos="360"/>
          <w:tab w:val="left" w:pos="27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Bleiberg, J., &amp; O’Shanick, G. (2009). The road to rehabilitation part 3: Guideposts to recognition: Cognition, memory &amp; brain injury. </w:t>
      </w:r>
      <w:r w:rsidRPr="00A3204A">
        <w:rPr>
          <w:rFonts w:ascii="Times New Roman" w:hAnsi="Times New Roman" w:cs="Times New Roman"/>
          <w:i/>
          <w:sz w:val="24"/>
          <w:szCs w:val="24"/>
        </w:rPr>
        <w:t xml:space="preserve">Brain Injury Association of </w:t>
      </w:r>
      <w:smartTag w:uri="urn:schemas-microsoft-com:office:smarttags" w:element="country-region">
        <w:smartTag w:uri="urn:schemas-microsoft-com:office:smarttags" w:element="place">
          <w:r w:rsidRPr="00A3204A">
            <w:rPr>
              <w:rFonts w:ascii="Times New Roman" w:hAnsi="Times New Roman" w:cs="Times New Roman"/>
              <w:i/>
              <w:sz w:val="24"/>
              <w:szCs w:val="24"/>
            </w:rPr>
            <w:t>America</w:t>
          </w:r>
        </w:smartTag>
      </w:smartTag>
      <w:r w:rsidRPr="00A3204A">
        <w:rPr>
          <w:rFonts w:ascii="Times New Roman" w:hAnsi="Times New Roman" w:cs="Times New Roman"/>
          <w:i/>
          <w:sz w:val="24"/>
          <w:szCs w:val="24"/>
        </w:rPr>
        <w:t xml:space="preserve">. The Voice of Brain Injury. </w:t>
      </w:r>
      <w:hyperlink r:id="rId28" w:history="1">
        <w:r w:rsidRPr="00A3204A">
          <w:rPr>
            <w:rFonts w:ascii="Times New Roman" w:hAnsi="Times New Roman" w:cs="Times New Roman"/>
            <w:color w:val="0000FF"/>
            <w:sz w:val="24"/>
            <w:szCs w:val="24"/>
            <w:u w:val="single"/>
          </w:rPr>
          <w:t>http://www.biausa.org</w:t>
        </w:r>
      </w:hyperlink>
      <w:r w:rsidRPr="00A3204A">
        <w:rPr>
          <w:rFonts w:ascii="Times New Roman" w:hAnsi="Times New Roman" w:cs="Times New Roman"/>
          <w:sz w:val="24"/>
          <w:szCs w:val="24"/>
        </w:rPr>
        <w:t xml:space="preserve"> </w:t>
      </w:r>
    </w:p>
    <w:p w:rsidR="00A3204A" w:rsidRPr="00A3204A" w:rsidRDefault="00A3204A" w:rsidP="00A81EA3">
      <w:pPr>
        <w:numPr>
          <w:ilvl w:val="0"/>
          <w:numId w:val="33"/>
        </w:numPr>
        <w:spacing w:before="0" w:after="120"/>
        <w:rPr>
          <w:rFonts w:ascii="Times New Roman" w:hAnsi="Times New Roman" w:cs="Times New Roman"/>
          <w:i/>
          <w:sz w:val="24"/>
          <w:szCs w:val="24"/>
        </w:rPr>
      </w:pPr>
      <w:bookmarkStart w:id="762" w:name="Block2001"/>
      <w:bookmarkEnd w:id="762"/>
      <w:r w:rsidRPr="00A3204A">
        <w:rPr>
          <w:rFonts w:ascii="Times New Roman" w:hAnsi="Times New Roman" w:cs="Times New Roman"/>
          <w:sz w:val="24"/>
          <w:szCs w:val="24"/>
        </w:rPr>
        <w:t xml:space="preserve">Block, A. R., Ohnmeiss, D. D., Guyer, R. D., Rashbaum, R. F., &amp; Hochschuler, S. H. (2001). The use of presurgical psychological screening to predict the outcome of spine surgery. </w:t>
      </w:r>
      <w:r w:rsidRPr="00A3204A">
        <w:rPr>
          <w:rFonts w:ascii="Times New Roman" w:hAnsi="Times New Roman" w:cs="Times New Roman"/>
          <w:i/>
          <w:sz w:val="24"/>
          <w:szCs w:val="24"/>
        </w:rPr>
        <w:t xml:space="preserve">The Spine Journal, 1, </w:t>
      </w:r>
      <w:r w:rsidRPr="00A3204A">
        <w:rPr>
          <w:rFonts w:ascii="Times New Roman" w:hAnsi="Times New Roman" w:cs="Times New Roman"/>
          <w:sz w:val="24"/>
          <w:szCs w:val="24"/>
        </w:rPr>
        <w:t>274-282. PII: S1529-9430(01)00054-7.</w:t>
      </w:r>
      <w:r w:rsidRPr="00A3204A">
        <w:rPr>
          <w:rFonts w:ascii="Times New Roman" w:hAnsi="Times New Roman" w:cs="Times New Roman"/>
          <w:i/>
          <w:sz w:val="24"/>
          <w:szCs w:val="24"/>
        </w:rPr>
        <w:t xml:space="preserve"> ***</w:t>
      </w:r>
      <w:r w:rsidRPr="00A3204A">
        <w:rPr>
          <w:rFonts w:ascii="Times New Roman" w:hAnsi="Times New Roman" w:cs="Times New Roman"/>
          <w:i/>
          <w:sz w:val="24"/>
          <w:szCs w:val="24"/>
          <w:highlight w:val="yellow"/>
        </w:rPr>
        <w:t>Used in Evidence Statement</w:t>
      </w:r>
      <w:r w:rsidRPr="00A3204A">
        <w:rPr>
          <w:rFonts w:ascii="Times New Roman" w:hAnsi="Times New Roman" w:cs="Times New Roman"/>
          <w:i/>
          <w:sz w:val="24"/>
          <w:szCs w:val="24"/>
        </w:rPr>
        <w:t xml:space="preserve">. </w:t>
      </w:r>
    </w:p>
    <w:p w:rsidR="00A3204A" w:rsidRPr="00A3204A" w:rsidRDefault="00A3204A" w:rsidP="009C3DC2">
      <w:pPr>
        <w:keepLines/>
        <w:numPr>
          <w:ilvl w:val="0"/>
          <w:numId w:val="33"/>
        </w:numPr>
        <w:tabs>
          <w:tab w:val="clear" w:pos="360"/>
          <w:tab w:val="left" w:pos="270"/>
          <w:tab w:val="num" w:pos="540"/>
        </w:tabs>
        <w:spacing w:before="0" w:after="120"/>
        <w:ind w:left="900" w:hanging="900"/>
      </w:pPr>
      <w:r w:rsidRPr="00A3204A">
        <w:rPr>
          <w:rFonts w:ascii="Times New Roman" w:hAnsi="Times New Roman" w:cs="Times New Roman"/>
          <w:sz w:val="24"/>
          <w:szCs w:val="24"/>
        </w:rPr>
        <w:t xml:space="preserve">Bowen, A., Knapp, P., Gillespie, D., Nicolson, D. J., &amp; Vail, A. (2011), Non-pharmacological interventions for perceptual disorders following stroke and other adult-acquired, non-progressive brain injury. </w:t>
      </w:r>
      <w:r w:rsidRPr="00A3204A">
        <w:rPr>
          <w:rFonts w:ascii="Times New Roman" w:hAnsi="Times New Roman" w:cs="Times New Roman"/>
          <w:i/>
          <w:iCs/>
          <w:sz w:val="24"/>
          <w:szCs w:val="24"/>
        </w:rPr>
        <w:t xml:space="preserve">Cochrane Database of Systematic Reviews, 4, </w:t>
      </w:r>
      <w:r w:rsidRPr="00A3204A">
        <w:rPr>
          <w:rFonts w:ascii="Times New Roman" w:hAnsi="Times New Roman" w:cs="Times New Roman"/>
          <w:iCs/>
          <w:sz w:val="24"/>
          <w:szCs w:val="24"/>
        </w:rPr>
        <w:t xml:space="preserve"> 1-50. </w:t>
      </w:r>
      <w:r w:rsidRPr="00A3204A">
        <w:rPr>
          <w:rFonts w:ascii="Times New Roman" w:hAnsi="Times New Roman" w:cs="Times New Roman"/>
          <w:sz w:val="24"/>
          <w:szCs w:val="24"/>
        </w:rPr>
        <w:t>DOI: 10.1002/14651858.CD007039.pub2.</w:t>
      </w:r>
    </w:p>
    <w:p w:rsidR="00A3204A" w:rsidRPr="00A3204A" w:rsidRDefault="00A3204A" w:rsidP="009C3DC2">
      <w:pPr>
        <w:keepLines/>
        <w:numPr>
          <w:ilvl w:val="0"/>
          <w:numId w:val="33"/>
        </w:numPr>
        <w:tabs>
          <w:tab w:val="clear" w:pos="360"/>
          <w:tab w:val="left" w:pos="27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Bowen, A., &amp; Lincoln, N. (2007). Cognitive rehabilitation for spatial neglect following stroke. </w:t>
      </w:r>
      <w:r w:rsidRPr="00A3204A">
        <w:rPr>
          <w:rFonts w:ascii="Times New Roman" w:hAnsi="Times New Roman" w:cs="Times New Roman"/>
          <w:i/>
          <w:iCs/>
          <w:sz w:val="24"/>
          <w:szCs w:val="24"/>
        </w:rPr>
        <w:t xml:space="preserve">Cochrane Database of Systematic Reviews, 2, </w:t>
      </w:r>
      <w:r w:rsidRPr="00A3204A">
        <w:rPr>
          <w:rFonts w:ascii="Times New Roman" w:hAnsi="Times New Roman" w:cs="Times New Roman"/>
          <w:iCs/>
          <w:sz w:val="24"/>
          <w:szCs w:val="24"/>
        </w:rPr>
        <w:t xml:space="preserve">1-51. </w:t>
      </w:r>
      <w:r w:rsidRPr="00A3204A">
        <w:rPr>
          <w:rFonts w:ascii="Times New Roman" w:hAnsi="Times New Roman" w:cs="Times New Roman"/>
          <w:sz w:val="24"/>
          <w:szCs w:val="24"/>
        </w:rPr>
        <w:t>DOI: 10.1002/14651858.CD003586.pub2.</w:t>
      </w:r>
    </w:p>
    <w:p w:rsidR="00A3204A" w:rsidRPr="00A3204A" w:rsidRDefault="00A3204A" w:rsidP="009C3DC2">
      <w:pPr>
        <w:keepLines/>
        <w:numPr>
          <w:ilvl w:val="0"/>
          <w:numId w:val="33"/>
        </w:numPr>
        <w:tabs>
          <w:tab w:val="clear" w:pos="360"/>
          <w:tab w:val="left" w:pos="27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Bradbury, C. L., Christensen, B. K., Lau, M. A., Ruttan, L. A., Arundine, A. L., &amp; Green, R. E. (2008).</w:t>
      </w:r>
      <w:r w:rsidRPr="00A3204A">
        <w:t xml:space="preserve"> </w:t>
      </w:r>
      <w:r w:rsidRPr="00A3204A">
        <w:rPr>
          <w:rFonts w:ascii="Times New Roman" w:hAnsi="Times New Roman" w:cs="Times New Roman"/>
          <w:sz w:val="24"/>
          <w:szCs w:val="24"/>
        </w:rPr>
        <w:t xml:space="preserve">The efficacy of cognitive behavior therapy in the treatment of emotional distress after acquired brain injury. </w:t>
      </w:r>
      <w:r w:rsidRPr="00A3204A">
        <w:rPr>
          <w:rFonts w:ascii="Times New Roman" w:hAnsi="Times New Roman" w:cs="Times New Roman"/>
          <w:i/>
          <w:sz w:val="24"/>
          <w:szCs w:val="24"/>
        </w:rPr>
        <w:t xml:space="preserve">Arch Phys Med Rehabil. 89(12 Suppl), </w:t>
      </w:r>
      <w:r w:rsidRPr="00A3204A">
        <w:rPr>
          <w:rFonts w:ascii="Times New Roman" w:hAnsi="Times New Roman" w:cs="Times New Roman"/>
          <w:sz w:val="24"/>
          <w:szCs w:val="24"/>
        </w:rPr>
        <w:t>S61-S68.</w:t>
      </w:r>
      <w:r w:rsidRPr="00A3204A">
        <w:t xml:space="preserve"> </w:t>
      </w:r>
      <w:r w:rsidRPr="00A3204A">
        <w:rPr>
          <w:rFonts w:ascii="Times New Roman" w:hAnsi="Times New Roman" w:cs="Times New Roman"/>
          <w:sz w:val="24"/>
          <w:szCs w:val="24"/>
        </w:rPr>
        <w:t>DOI:10.1016/j.apmr.2008.08.210.</w:t>
      </w:r>
    </w:p>
    <w:p w:rsidR="00A3204A" w:rsidRPr="00A3204A" w:rsidRDefault="00A3204A" w:rsidP="009C3DC2">
      <w:pPr>
        <w:numPr>
          <w:ilvl w:val="0"/>
          <w:numId w:val="33"/>
        </w:numPr>
        <w:tabs>
          <w:tab w:val="clear" w:pos="360"/>
          <w:tab w:val="left" w:pos="270"/>
          <w:tab w:val="num" w:pos="540"/>
        </w:tabs>
        <w:spacing w:before="0" w:after="120"/>
        <w:ind w:left="900" w:hanging="900"/>
        <w:rPr>
          <w:rFonts w:ascii="Times New Roman" w:hAnsi="Times New Roman" w:cs="Times New Roman"/>
          <w:i/>
          <w:sz w:val="24"/>
          <w:szCs w:val="24"/>
        </w:rPr>
      </w:pPr>
      <w:bookmarkStart w:id="763" w:name="Bradt2010"/>
      <w:bookmarkEnd w:id="763"/>
      <w:r w:rsidRPr="00A3204A">
        <w:rPr>
          <w:rFonts w:ascii="Times New Roman" w:hAnsi="Times New Roman" w:cs="Times New Roman"/>
          <w:sz w:val="24"/>
          <w:szCs w:val="24"/>
        </w:rPr>
        <w:t xml:space="preserve">Bradt, J., Magee, W. L., Dileo, C., Wheeler, B. L., &amp; McGilloway, E. (2010). Music therapy for acquired brain injury (Review). </w:t>
      </w:r>
      <w:r w:rsidRPr="00A3204A">
        <w:rPr>
          <w:rFonts w:ascii="Times New Roman" w:hAnsi="Times New Roman" w:cs="Times New Roman"/>
          <w:bCs/>
          <w:i/>
          <w:sz w:val="24"/>
          <w:szCs w:val="24"/>
        </w:rPr>
        <w:t>Cochrane Database of Systematic Reviews</w:t>
      </w:r>
      <w:r w:rsidRPr="00A3204A">
        <w:rPr>
          <w:rFonts w:ascii="Times New Roman" w:hAnsi="Times New Roman" w:cs="Times New Roman"/>
          <w:i/>
          <w:sz w:val="24"/>
          <w:szCs w:val="24"/>
        </w:rPr>
        <w:t xml:space="preserve">, 7, </w:t>
      </w:r>
      <w:r w:rsidRPr="00A3204A">
        <w:rPr>
          <w:rFonts w:ascii="Times New Roman" w:hAnsi="Times New Roman" w:cs="Times New Roman"/>
          <w:sz w:val="24"/>
          <w:szCs w:val="24"/>
        </w:rPr>
        <w:t xml:space="preserve">1-42. DOI: 10.1002/14651858.CD006787.pub2. </w:t>
      </w:r>
      <w:hyperlink r:id="rId29" w:history="1">
        <w:r w:rsidRPr="00A3204A">
          <w:rPr>
            <w:rFonts w:ascii="Times New Roman" w:hAnsi="Times New Roman" w:cs="Times New Roman"/>
            <w:color w:val="0000FF"/>
            <w:sz w:val="24"/>
            <w:szCs w:val="24"/>
            <w:u w:val="single"/>
          </w:rPr>
          <w:t>http://www.thecochranelibrary.com</w:t>
        </w:r>
      </w:hyperlink>
      <w:r w:rsidRPr="00A3204A">
        <w:rPr>
          <w:rFonts w:ascii="Times New Roman" w:hAnsi="Times New Roman" w:cs="Times New Roman"/>
          <w:sz w:val="24"/>
          <w:szCs w:val="24"/>
        </w:rPr>
        <w:t xml:space="preserve">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p>
    <w:p w:rsidR="00A3204A" w:rsidRPr="00A3204A" w:rsidRDefault="00A3204A" w:rsidP="009C3DC2">
      <w:pPr>
        <w:numPr>
          <w:ilvl w:val="0"/>
          <w:numId w:val="33"/>
        </w:numPr>
        <w:tabs>
          <w:tab w:val="clear" w:pos="360"/>
          <w:tab w:val="left" w:pos="27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Brain Injury Association of </w:t>
      </w:r>
      <w:smartTag w:uri="urn:schemas-microsoft-com:office:smarttags" w:element="place">
        <w:smartTag w:uri="urn:schemas-microsoft-com:office:smarttags" w:element="country-region">
          <w:r w:rsidRPr="00A3204A">
            <w:rPr>
              <w:rFonts w:ascii="Times New Roman" w:hAnsi="Times New Roman" w:cs="Times New Roman"/>
              <w:sz w:val="24"/>
              <w:szCs w:val="24"/>
            </w:rPr>
            <w:t>America</w:t>
          </w:r>
        </w:smartTag>
      </w:smartTag>
      <w:r w:rsidRPr="00A3204A">
        <w:rPr>
          <w:rFonts w:ascii="Times New Roman" w:hAnsi="Times New Roman" w:cs="Times New Roman"/>
          <w:sz w:val="24"/>
          <w:szCs w:val="24"/>
        </w:rPr>
        <w:t xml:space="preserve">. (2009). </w:t>
      </w:r>
      <w:r w:rsidRPr="00A3204A">
        <w:rPr>
          <w:rFonts w:ascii="Times New Roman" w:hAnsi="Times New Roman" w:cs="Times New Roman"/>
          <w:i/>
          <w:sz w:val="24"/>
          <w:szCs w:val="24"/>
        </w:rPr>
        <w:t>Conceptualizing Brain Injury as a Chronic Disease.</w:t>
      </w:r>
      <w:r w:rsidRPr="00A3204A">
        <w:rPr>
          <w:rFonts w:ascii="Times New Roman" w:hAnsi="Times New Roman" w:cs="Times New Roman"/>
          <w:sz w:val="24"/>
          <w:szCs w:val="24"/>
        </w:rPr>
        <w:t xml:space="preserve"> </w:t>
      </w:r>
    </w:p>
    <w:p w:rsidR="00A3204A" w:rsidRPr="00A3204A" w:rsidRDefault="00A3204A" w:rsidP="009C3DC2">
      <w:pPr>
        <w:numPr>
          <w:ilvl w:val="0"/>
          <w:numId w:val="33"/>
        </w:numPr>
        <w:tabs>
          <w:tab w:val="clear" w:pos="360"/>
          <w:tab w:val="left" w:pos="27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Brasure, M., Lamberty, G. J., Sayer, N. A., Nelson, N. W., MacDonald, R., Ouellette, J.,… Wilt, T. J. (2012). Multidisciplinary postacute rehabilitation for moderate to severe traumatic brain injury in adults. (Prepared by the Minnesota Evidence-based </w:t>
      </w:r>
      <w:smartTag w:uri="urn:schemas-microsoft-com:office:smarttags" w:element="place">
        <w:smartTag w:uri="urn:schemas-microsoft-com:office:smarttags" w:element="PlaceName">
          <w:r w:rsidRPr="00A3204A">
            <w:rPr>
              <w:rFonts w:ascii="Times New Roman" w:hAnsi="Times New Roman" w:cs="Times New Roman"/>
              <w:sz w:val="24"/>
              <w:szCs w:val="24"/>
            </w:rPr>
            <w:t>Practice</w:t>
          </w:r>
        </w:smartTag>
        <w:r w:rsidRPr="00A3204A">
          <w:rPr>
            <w:rFonts w:ascii="Times New Roman" w:hAnsi="Times New Roman" w:cs="Times New Roman"/>
            <w:sz w:val="24"/>
            <w:szCs w:val="24"/>
          </w:rPr>
          <w:t xml:space="preserve"> </w:t>
        </w:r>
        <w:smartTag w:uri="urn:schemas-microsoft-com:office:smarttags" w:element="PlaceType">
          <w:r w:rsidRPr="00A3204A">
            <w:rPr>
              <w:rFonts w:ascii="Times New Roman" w:hAnsi="Times New Roman" w:cs="Times New Roman"/>
              <w:sz w:val="24"/>
              <w:szCs w:val="24"/>
            </w:rPr>
            <w:t>Center</w:t>
          </w:r>
        </w:smartTag>
      </w:smartTag>
      <w:r w:rsidRPr="00A3204A">
        <w:rPr>
          <w:rFonts w:ascii="Times New Roman" w:hAnsi="Times New Roman" w:cs="Times New Roman"/>
          <w:sz w:val="24"/>
          <w:szCs w:val="24"/>
        </w:rPr>
        <w:t xml:space="preserve"> under Contract No. 290-2007-10064-I.) </w:t>
      </w:r>
      <w:r w:rsidRPr="00A3204A">
        <w:rPr>
          <w:rFonts w:ascii="Times New Roman" w:hAnsi="Times New Roman" w:cs="Times New Roman"/>
          <w:i/>
          <w:sz w:val="24"/>
          <w:szCs w:val="24"/>
        </w:rPr>
        <w:t>AHRQ,</w:t>
      </w:r>
      <w:r w:rsidRPr="00A3204A">
        <w:rPr>
          <w:rFonts w:ascii="Times New Roman" w:hAnsi="Times New Roman" w:cs="Times New Roman"/>
          <w:sz w:val="24"/>
          <w:szCs w:val="24"/>
        </w:rPr>
        <w:t xml:space="preserve"> </w:t>
      </w:r>
      <w:r w:rsidRPr="00A3204A">
        <w:rPr>
          <w:rFonts w:ascii="Times New Roman" w:hAnsi="Times New Roman" w:cs="Times New Roman"/>
          <w:i/>
          <w:sz w:val="24"/>
          <w:szCs w:val="24"/>
        </w:rPr>
        <w:t>12-EHC101-EF</w:t>
      </w:r>
      <w:r w:rsidRPr="00A3204A">
        <w:rPr>
          <w:rFonts w:ascii="Times New Roman" w:hAnsi="Times New Roman" w:cs="Times New Roman"/>
          <w:sz w:val="24"/>
          <w:szCs w:val="24"/>
        </w:rPr>
        <w:t>, E1-E32. www.effectivehealthcare.ahrq.gov/reports/final.cfm.</w:t>
      </w:r>
    </w:p>
    <w:p w:rsidR="00A3204A" w:rsidRPr="00A3204A" w:rsidRDefault="00A3204A" w:rsidP="009C3DC2">
      <w:pPr>
        <w:numPr>
          <w:ilvl w:val="0"/>
          <w:numId w:val="33"/>
        </w:numPr>
        <w:tabs>
          <w:tab w:val="clear" w:pos="360"/>
          <w:tab w:val="left" w:pos="270"/>
          <w:tab w:val="num" w:pos="540"/>
        </w:tabs>
        <w:spacing w:before="0" w:after="120"/>
        <w:ind w:left="900" w:hanging="900"/>
        <w:rPr>
          <w:rFonts w:ascii="Times New Roman" w:hAnsi="Times New Roman" w:cs="Times New Roman"/>
          <w:i/>
          <w:sz w:val="24"/>
          <w:szCs w:val="24"/>
        </w:rPr>
      </w:pPr>
      <w:bookmarkStart w:id="764" w:name="Bratton2007a"/>
      <w:bookmarkEnd w:id="764"/>
      <w:r w:rsidRPr="00A3204A">
        <w:rPr>
          <w:rFonts w:ascii="Times New Roman" w:hAnsi="Times New Roman" w:cs="Times New Roman"/>
          <w:sz w:val="24"/>
          <w:szCs w:val="24"/>
        </w:rPr>
        <w:t xml:space="preserve">Bratton, S. L., Chestnut, R. M., Ghajar, J., </w:t>
      </w:r>
      <w:smartTag w:uri="urn:schemas-microsoft-com:office:smarttags" w:element="place">
        <w:smartTag w:uri="urn:schemas-microsoft-com:office:smarttags" w:element="City">
          <w:r w:rsidRPr="00A3204A">
            <w:rPr>
              <w:rFonts w:ascii="Times New Roman" w:hAnsi="Times New Roman" w:cs="Times New Roman"/>
              <w:sz w:val="24"/>
              <w:szCs w:val="24"/>
            </w:rPr>
            <w:t>Hammond</w:t>
          </w:r>
        </w:smartTag>
      </w:smartTag>
      <w:r w:rsidRPr="00A3204A">
        <w:rPr>
          <w:rFonts w:ascii="Times New Roman" w:hAnsi="Times New Roman" w:cs="Times New Roman"/>
          <w:sz w:val="24"/>
          <w:szCs w:val="24"/>
        </w:rPr>
        <w:t xml:space="preserve">, F. F. M., Harris, O. A., Hartl, R.,… Wright, D. W. (2007a). I. Blood pressure and oxygenation. </w:t>
      </w:r>
      <w:r w:rsidRPr="00A3204A">
        <w:rPr>
          <w:rFonts w:ascii="Times New Roman" w:hAnsi="Times New Roman" w:cs="Times New Roman"/>
          <w:i/>
          <w:sz w:val="24"/>
          <w:szCs w:val="24"/>
        </w:rPr>
        <w:t>Journal of Neurotrauma, 24(Supplement 1),</w:t>
      </w:r>
      <w:r w:rsidRPr="00A3204A">
        <w:rPr>
          <w:rFonts w:ascii="Times New Roman" w:hAnsi="Times New Roman" w:cs="Times New Roman"/>
          <w:sz w:val="24"/>
          <w:szCs w:val="24"/>
        </w:rPr>
        <w:t xml:space="preserve">S7-S13. DOI:10.1089/neu.2007.9995.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765" w:name="Bratton2007b"/>
      <w:bookmarkEnd w:id="765"/>
      <w:r w:rsidRPr="00A3204A">
        <w:rPr>
          <w:rFonts w:ascii="Times New Roman" w:hAnsi="Times New Roman" w:cs="Times New Roman"/>
          <w:sz w:val="24"/>
          <w:szCs w:val="24"/>
        </w:rPr>
        <w:t xml:space="preserve">Bratton, S. L., Chestnut, R. M., Ghajar, J., </w:t>
      </w:r>
      <w:smartTag w:uri="urn:schemas-microsoft-com:office:smarttags" w:element="City">
        <w:smartTag w:uri="urn:schemas-microsoft-com:office:smarttags" w:element="place">
          <w:r w:rsidRPr="00A3204A">
            <w:rPr>
              <w:rFonts w:ascii="Times New Roman" w:hAnsi="Times New Roman" w:cs="Times New Roman"/>
              <w:sz w:val="24"/>
              <w:szCs w:val="24"/>
            </w:rPr>
            <w:t>Hammond</w:t>
          </w:r>
        </w:smartTag>
      </w:smartTag>
      <w:r w:rsidRPr="00A3204A">
        <w:rPr>
          <w:rFonts w:ascii="Times New Roman" w:hAnsi="Times New Roman" w:cs="Times New Roman"/>
          <w:sz w:val="24"/>
          <w:szCs w:val="24"/>
        </w:rPr>
        <w:t>, F. F. M., Harris, O. A., Hartl, R.,… Wright, D. W. (2007b). II. Hyperosmolar therapy</w:t>
      </w:r>
      <w:r w:rsidRPr="00A3204A">
        <w:rPr>
          <w:rFonts w:ascii="Times New Roman" w:hAnsi="Times New Roman" w:cs="Times New Roman"/>
          <w:i/>
          <w:sz w:val="24"/>
          <w:szCs w:val="24"/>
        </w:rPr>
        <w:t>. Journal of Neurotrauma, 24(Supplement 1),</w:t>
      </w:r>
      <w:r w:rsidRPr="00A3204A">
        <w:rPr>
          <w:rFonts w:ascii="Times New Roman" w:hAnsi="Times New Roman" w:cs="Times New Roman"/>
          <w:sz w:val="24"/>
          <w:szCs w:val="24"/>
        </w:rPr>
        <w:t xml:space="preserve">S14-S20. DOI:10.1089/neu.2007.9994.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Bratton, S. L., Chestnut, R. M., Ghajar, J., </w:t>
      </w:r>
      <w:smartTag w:uri="urn:schemas-microsoft-com:office:smarttags" w:element="City">
        <w:smartTag w:uri="urn:schemas-microsoft-com:office:smarttags" w:element="place">
          <w:r w:rsidRPr="00A3204A">
            <w:rPr>
              <w:rFonts w:ascii="Times New Roman" w:hAnsi="Times New Roman" w:cs="Times New Roman"/>
              <w:sz w:val="24"/>
              <w:szCs w:val="24"/>
            </w:rPr>
            <w:t>Hammond</w:t>
          </w:r>
        </w:smartTag>
      </w:smartTag>
      <w:r w:rsidRPr="00A3204A">
        <w:rPr>
          <w:rFonts w:ascii="Times New Roman" w:hAnsi="Times New Roman" w:cs="Times New Roman"/>
          <w:sz w:val="24"/>
          <w:szCs w:val="24"/>
        </w:rPr>
        <w:t xml:space="preserve">, F. F. M., Harris, O. A., Hartl, R.,… Wright, D. W. (2007c). III Prophylactic hypothermia. </w:t>
      </w:r>
      <w:r w:rsidRPr="00A3204A">
        <w:rPr>
          <w:rFonts w:ascii="Times New Roman" w:hAnsi="Times New Roman" w:cs="Times New Roman"/>
          <w:i/>
          <w:sz w:val="24"/>
          <w:szCs w:val="24"/>
        </w:rPr>
        <w:t xml:space="preserve">Journal of Neurotrauma, 24(Supplement 1), </w:t>
      </w:r>
      <w:r w:rsidRPr="00A3204A">
        <w:rPr>
          <w:rFonts w:ascii="Times New Roman" w:hAnsi="Times New Roman" w:cs="Times New Roman"/>
          <w:sz w:val="24"/>
          <w:szCs w:val="24"/>
        </w:rPr>
        <w:t>S21-S25. DOI:10.1089/neu.2007.9993.</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lastRenderedPageBreak/>
        <w:t xml:space="preserve">Bratton, S. L., Chestnut, R. M., Ghajar, J., </w:t>
      </w:r>
      <w:smartTag w:uri="urn:schemas-microsoft-com:office:smarttags" w:element="City">
        <w:smartTag w:uri="urn:schemas-microsoft-com:office:smarttags" w:element="place">
          <w:r w:rsidRPr="00A3204A">
            <w:rPr>
              <w:rFonts w:ascii="Times New Roman" w:hAnsi="Times New Roman" w:cs="Times New Roman"/>
              <w:sz w:val="24"/>
              <w:szCs w:val="24"/>
            </w:rPr>
            <w:t>Hammond</w:t>
          </w:r>
        </w:smartTag>
      </w:smartTag>
      <w:r w:rsidRPr="00A3204A">
        <w:rPr>
          <w:rFonts w:ascii="Times New Roman" w:hAnsi="Times New Roman" w:cs="Times New Roman"/>
          <w:sz w:val="24"/>
          <w:szCs w:val="24"/>
        </w:rPr>
        <w:t xml:space="preserve">, F. F. M., Harris, O. A., Hartl, R.,… Wright, D. W. (2007d). VI. Indications for intracranial pressure monitoring. </w:t>
      </w:r>
      <w:r w:rsidRPr="00A3204A">
        <w:rPr>
          <w:rFonts w:ascii="Times New Roman" w:hAnsi="Times New Roman" w:cs="Times New Roman"/>
          <w:i/>
          <w:sz w:val="24"/>
          <w:szCs w:val="24"/>
        </w:rPr>
        <w:t xml:space="preserve">Journal of Neurotrauma, 24(Supplement 1), </w:t>
      </w:r>
      <w:r w:rsidRPr="00A3204A">
        <w:rPr>
          <w:rFonts w:ascii="Times New Roman" w:hAnsi="Times New Roman" w:cs="Times New Roman"/>
          <w:sz w:val="24"/>
          <w:szCs w:val="24"/>
        </w:rPr>
        <w:t xml:space="preserve">S37-S44. DOI:10.1089/neu.2007-9990.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Bratton, S. L., Chestnut, R. M., Ghajar, J., </w:t>
      </w:r>
      <w:smartTag w:uri="urn:schemas-microsoft-com:office:smarttags" w:element="City">
        <w:smartTag w:uri="urn:schemas-microsoft-com:office:smarttags" w:element="place">
          <w:r w:rsidRPr="00A3204A">
            <w:rPr>
              <w:rFonts w:ascii="Times New Roman" w:hAnsi="Times New Roman" w:cs="Times New Roman"/>
              <w:sz w:val="24"/>
              <w:szCs w:val="24"/>
            </w:rPr>
            <w:t>Hammond</w:t>
          </w:r>
        </w:smartTag>
      </w:smartTag>
      <w:r w:rsidRPr="00A3204A">
        <w:rPr>
          <w:rFonts w:ascii="Times New Roman" w:hAnsi="Times New Roman" w:cs="Times New Roman"/>
          <w:sz w:val="24"/>
          <w:szCs w:val="24"/>
        </w:rPr>
        <w:t xml:space="preserve">, F. F. M., Harris, O. A., Hartl, R.,… Wright, D. W. (2007e). XIV. Hyperventilation. </w:t>
      </w:r>
      <w:r w:rsidRPr="00A3204A">
        <w:rPr>
          <w:rFonts w:ascii="Times New Roman" w:hAnsi="Times New Roman" w:cs="Times New Roman"/>
          <w:i/>
          <w:sz w:val="24"/>
          <w:szCs w:val="24"/>
        </w:rPr>
        <w:t>Journal of Neurotrauma, 24(Supplement 1),</w:t>
      </w:r>
      <w:r w:rsidRPr="00A3204A">
        <w:rPr>
          <w:rFonts w:ascii="Times New Roman" w:hAnsi="Times New Roman" w:cs="Times New Roman"/>
          <w:sz w:val="24"/>
          <w:szCs w:val="24"/>
        </w:rPr>
        <w:t xml:space="preserve"> S87-S90. DOI:10.1089/neu.2007.9982.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Bratton, S. L., Chestnut, R. M., Ghajar, J., </w:t>
      </w:r>
      <w:smartTag w:uri="urn:schemas-microsoft-com:office:smarttags" w:element="City">
        <w:smartTag w:uri="urn:schemas-microsoft-com:office:smarttags" w:element="place">
          <w:r w:rsidRPr="00A3204A">
            <w:rPr>
              <w:rFonts w:ascii="Times New Roman" w:hAnsi="Times New Roman" w:cs="Times New Roman"/>
              <w:sz w:val="24"/>
              <w:szCs w:val="24"/>
            </w:rPr>
            <w:t>Hammond</w:t>
          </w:r>
        </w:smartTag>
      </w:smartTag>
      <w:r w:rsidRPr="00A3204A">
        <w:rPr>
          <w:rFonts w:ascii="Times New Roman" w:hAnsi="Times New Roman" w:cs="Times New Roman"/>
          <w:sz w:val="24"/>
          <w:szCs w:val="24"/>
        </w:rPr>
        <w:t xml:space="preserve">, F. F. M., Harris, O. A., Hartl, R.,… Wright, D. W. (2007f). XV. Steroids. </w:t>
      </w:r>
      <w:r w:rsidRPr="00A3204A">
        <w:rPr>
          <w:rFonts w:ascii="Times New Roman" w:hAnsi="Times New Roman" w:cs="Times New Roman"/>
          <w:i/>
          <w:sz w:val="24"/>
          <w:szCs w:val="24"/>
        </w:rPr>
        <w:t xml:space="preserve">Journal of Neurotrauma, 24(Supplement 1), </w:t>
      </w:r>
      <w:r w:rsidRPr="00A3204A">
        <w:rPr>
          <w:rFonts w:ascii="Times New Roman" w:hAnsi="Times New Roman" w:cs="Times New Roman"/>
          <w:sz w:val="24"/>
          <w:szCs w:val="24"/>
        </w:rPr>
        <w:t xml:space="preserve">S91-95. DOI: 10.1089/neu.2007.9981.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Broglio, S. P., Sosnoff, J. J., Rosengren, K. S., &amp; McShane, K. (2009). A comparison of balance performance: Computerized dynamic posturography and a random motion platform. </w:t>
      </w:r>
      <w:smartTag w:uri="urn:schemas-microsoft-com:office:smarttags" w:element="place">
        <w:smartTag w:uri="urn:schemas-microsoft-com:office:smarttags" w:element="PlaceName">
          <w:r w:rsidRPr="00A3204A">
            <w:rPr>
              <w:rFonts w:ascii="Times New Roman" w:hAnsi="Times New Roman" w:cs="Times New Roman"/>
              <w:i/>
              <w:sz w:val="24"/>
              <w:szCs w:val="24"/>
            </w:rPr>
            <w:t>American</w:t>
          </w:r>
        </w:smartTag>
        <w:r w:rsidRPr="00A3204A">
          <w:rPr>
            <w:rFonts w:ascii="Times New Roman" w:hAnsi="Times New Roman" w:cs="Times New Roman"/>
            <w:i/>
            <w:sz w:val="24"/>
            <w:szCs w:val="24"/>
          </w:rPr>
          <w:t xml:space="preserve"> </w:t>
        </w:r>
        <w:smartTag w:uri="urn:schemas-microsoft-com:office:smarttags" w:element="PlaceType">
          <w:r w:rsidRPr="00A3204A">
            <w:rPr>
              <w:rFonts w:ascii="Times New Roman" w:hAnsi="Times New Roman" w:cs="Times New Roman"/>
              <w:i/>
              <w:sz w:val="24"/>
              <w:szCs w:val="24"/>
            </w:rPr>
            <w:t>College</w:t>
          </w:r>
        </w:smartTag>
      </w:smartTag>
      <w:r w:rsidRPr="00A3204A">
        <w:rPr>
          <w:rFonts w:ascii="Times New Roman" w:hAnsi="Times New Roman" w:cs="Times New Roman"/>
          <w:i/>
          <w:sz w:val="24"/>
          <w:szCs w:val="24"/>
        </w:rPr>
        <w:t xml:space="preserve"> of Rehabilitation Medicine, 90,</w:t>
      </w:r>
      <w:r w:rsidRPr="00A3204A">
        <w:rPr>
          <w:rFonts w:ascii="Times New Roman" w:hAnsi="Times New Roman" w:cs="Times New Roman"/>
          <w:sz w:val="24"/>
          <w:szCs w:val="24"/>
        </w:rPr>
        <w:t xml:space="preserve"> 145-150. DOI:10.1016/J. apmr.2008.06.025.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Broglio, S. P., Tomporowski, P. D., &amp; </w:t>
      </w:r>
      <w:smartTag w:uri="urn:schemas-microsoft-com:office:smarttags" w:element="City">
        <w:smartTag w:uri="urn:schemas-microsoft-com:office:smarttags" w:element="place">
          <w:r w:rsidRPr="00A3204A">
            <w:rPr>
              <w:rFonts w:ascii="Times New Roman" w:hAnsi="Times New Roman" w:cs="Times New Roman"/>
              <w:sz w:val="24"/>
              <w:szCs w:val="24"/>
            </w:rPr>
            <w:t>Ferrara</w:t>
          </w:r>
        </w:smartTag>
      </w:smartTag>
      <w:r w:rsidRPr="00A3204A">
        <w:rPr>
          <w:rFonts w:ascii="Times New Roman" w:hAnsi="Times New Roman" w:cs="Times New Roman"/>
          <w:sz w:val="24"/>
          <w:szCs w:val="24"/>
        </w:rPr>
        <w:t xml:space="preserve">, M. S. (2005). Balance performance with a cognitive task: A dual-task testing paradigm. </w:t>
      </w:r>
      <w:smartTag w:uri="urn:schemas-microsoft-com:office:smarttags" w:element="place">
        <w:smartTag w:uri="urn:schemas-microsoft-com:office:smarttags" w:element="PlaceName">
          <w:r w:rsidRPr="00A3204A">
            <w:rPr>
              <w:rFonts w:ascii="Times New Roman" w:hAnsi="Times New Roman" w:cs="Times New Roman"/>
              <w:i/>
              <w:sz w:val="24"/>
              <w:szCs w:val="24"/>
            </w:rPr>
            <w:t>American</w:t>
          </w:r>
        </w:smartTag>
        <w:r w:rsidRPr="00A3204A">
          <w:rPr>
            <w:rFonts w:ascii="Times New Roman" w:hAnsi="Times New Roman" w:cs="Times New Roman"/>
            <w:i/>
            <w:sz w:val="24"/>
            <w:szCs w:val="24"/>
          </w:rPr>
          <w:t xml:space="preserve"> </w:t>
        </w:r>
        <w:smartTag w:uri="urn:schemas-microsoft-com:office:smarttags" w:element="PlaceType">
          <w:r w:rsidRPr="00A3204A">
            <w:rPr>
              <w:rFonts w:ascii="Times New Roman" w:hAnsi="Times New Roman" w:cs="Times New Roman"/>
              <w:i/>
              <w:sz w:val="24"/>
              <w:szCs w:val="24"/>
            </w:rPr>
            <w:t>College</w:t>
          </w:r>
        </w:smartTag>
      </w:smartTag>
      <w:r w:rsidRPr="00A3204A">
        <w:rPr>
          <w:rFonts w:ascii="Times New Roman" w:hAnsi="Times New Roman" w:cs="Times New Roman"/>
          <w:i/>
          <w:sz w:val="24"/>
          <w:szCs w:val="24"/>
        </w:rPr>
        <w:t xml:space="preserve"> of Sports Medicine</w:t>
      </w:r>
      <w:r w:rsidRPr="00A3204A">
        <w:rPr>
          <w:rFonts w:ascii="Times New Roman" w:hAnsi="Times New Roman" w:cs="Times New Roman"/>
          <w:sz w:val="24"/>
          <w:szCs w:val="24"/>
        </w:rPr>
        <w:t xml:space="preserve">. DOI: 10.1249.01. MSS.0000159019.14919.09.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766" w:name="Bronfort2004"/>
      <w:bookmarkEnd w:id="766"/>
      <w:r w:rsidRPr="00A3204A">
        <w:rPr>
          <w:rFonts w:ascii="Times New Roman" w:hAnsi="Times New Roman" w:cs="Times New Roman"/>
          <w:sz w:val="24"/>
          <w:szCs w:val="24"/>
        </w:rPr>
        <w:t xml:space="preserve">Bronfort, G., Nilsson, N., Haas M., Evans, R. L., Goldsmith, C. H., Assendelft, W. J. J., &amp; Bouter, L. M. (2004). Non-invasive physical treatments for chronic/recurrent headache. </w:t>
      </w:r>
      <w:r w:rsidRPr="00A3204A">
        <w:rPr>
          <w:rFonts w:ascii="Times New Roman" w:hAnsi="Times New Roman" w:cs="Times New Roman"/>
          <w:i/>
          <w:sz w:val="24"/>
          <w:szCs w:val="24"/>
        </w:rPr>
        <w:t>Cochrane Database of Systemic Reviews, 3,</w:t>
      </w:r>
      <w:r w:rsidRPr="00A3204A">
        <w:rPr>
          <w:rFonts w:ascii="Times New Roman" w:hAnsi="Times New Roman" w:cs="Times New Roman"/>
          <w:sz w:val="24"/>
          <w:szCs w:val="24"/>
        </w:rPr>
        <w:t xml:space="preserve">1-70. DOI:10.1002/14651858. CD001878. pub2.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767" w:name="Brown2005"/>
      <w:bookmarkEnd w:id="767"/>
      <w:r w:rsidRPr="00A3204A">
        <w:rPr>
          <w:rFonts w:ascii="Times New Roman" w:hAnsi="Times New Roman" w:cs="Times New Roman"/>
          <w:bCs/>
          <w:iCs/>
          <w:sz w:val="24"/>
          <w:szCs w:val="24"/>
        </w:rPr>
        <w:t xml:space="preserve">Brown, T. H., Mount, J., Rouland, B. L., Kautz, K. A., Barnes, R. M., &amp; Kim, J. (2005). </w:t>
      </w:r>
      <w:r w:rsidRPr="00A3204A">
        <w:rPr>
          <w:rFonts w:ascii="Times New Roman" w:hAnsi="Times New Roman" w:cs="Times New Roman"/>
          <w:sz w:val="24"/>
          <w:szCs w:val="24"/>
        </w:rPr>
        <w:t xml:space="preserve">Body weight-supported treadmill training versus conventional gait training for people with chronic traumatic brain injury. </w:t>
      </w:r>
      <w:r w:rsidRPr="00A3204A">
        <w:rPr>
          <w:rFonts w:ascii="Times New Roman" w:hAnsi="Times New Roman" w:cs="Times New Roman"/>
          <w:i/>
          <w:sz w:val="24"/>
          <w:szCs w:val="24"/>
        </w:rPr>
        <w:t xml:space="preserve">Journal of Head Trauma Rehabilitation, 20(5), </w:t>
      </w:r>
      <w:r w:rsidRPr="00A3204A">
        <w:rPr>
          <w:rFonts w:ascii="Times New Roman" w:hAnsi="Times New Roman" w:cs="Times New Roman"/>
          <w:sz w:val="24"/>
          <w:szCs w:val="24"/>
        </w:rPr>
        <w:t xml:space="preserve">402-415.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768" w:name="Bruns2009"/>
      <w:bookmarkEnd w:id="768"/>
      <w:r w:rsidRPr="00A3204A">
        <w:rPr>
          <w:rFonts w:ascii="Times New Roman" w:hAnsi="Times New Roman" w:cs="Times New Roman"/>
          <w:sz w:val="24"/>
          <w:szCs w:val="24"/>
        </w:rPr>
        <w:t xml:space="preserve">Bruns, D., &amp; Disorbio, J. M. (2009). Assessment of biopsychosocial risk factors for medical treatment: A collaborative approach. </w:t>
      </w:r>
      <w:r w:rsidRPr="00A3204A">
        <w:rPr>
          <w:rFonts w:ascii="Times New Roman" w:hAnsi="Times New Roman" w:cs="Times New Roman"/>
          <w:i/>
          <w:sz w:val="24"/>
          <w:szCs w:val="24"/>
        </w:rPr>
        <w:t xml:space="preserve">Journal of Clinical Psychological Medicine Settings, 16, </w:t>
      </w:r>
      <w:r w:rsidRPr="00A3204A">
        <w:rPr>
          <w:rFonts w:ascii="Times New Roman" w:hAnsi="Times New Roman" w:cs="Times New Roman"/>
          <w:sz w:val="24"/>
          <w:szCs w:val="24"/>
        </w:rPr>
        <w:t>127–147. DOI 10.1007/s10880-009-9148-9.</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Buki, A., &amp; Povlishock, J. T. (2006). All roads lead to disconnection? – Traumatic axonal injury revisited. </w:t>
      </w:r>
      <w:r w:rsidRPr="00A3204A">
        <w:rPr>
          <w:rFonts w:ascii="Times New Roman" w:hAnsi="Times New Roman" w:cs="Times New Roman"/>
          <w:i/>
          <w:sz w:val="24"/>
          <w:szCs w:val="24"/>
        </w:rPr>
        <w:t>Acta Neurochir, 148,</w:t>
      </w:r>
      <w:r w:rsidRPr="00A3204A">
        <w:rPr>
          <w:rFonts w:ascii="Times New Roman" w:hAnsi="Times New Roman" w:cs="Times New Roman"/>
          <w:sz w:val="24"/>
          <w:szCs w:val="24"/>
        </w:rPr>
        <w:t xml:space="preserve"> 181–194. DOI 10.1007/s00701-005-0674-4.</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Bullock, M. R., &amp; Povlishock, J. T. (2007). Editor’s commentary. </w:t>
      </w:r>
      <w:r w:rsidRPr="00A3204A">
        <w:rPr>
          <w:rFonts w:ascii="Times New Roman" w:hAnsi="Times New Roman" w:cs="Times New Roman"/>
          <w:i/>
          <w:sz w:val="24"/>
          <w:szCs w:val="24"/>
        </w:rPr>
        <w:t xml:space="preserve">Journal of Neurotrauma, 24(1). </w:t>
      </w:r>
      <w:r w:rsidRPr="00A3204A">
        <w:rPr>
          <w:rFonts w:ascii="Times New Roman" w:hAnsi="Times New Roman" w:cs="Times New Roman"/>
          <w:sz w:val="24"/>
          <w:szCs w:val="24"/>
        </w:rPr>
        <w:t>DOI: 10.1089/neu.2007.9998.</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769" w:name="Cabraja2009"/>
      <w:bookmarkEnd w:id="769"/>
      <w:r w:rsidRPr="00A3204A">
        <w:rPr>
          <w:rFonts w:ascii="Times New Roman" w:hAnsi="Times New Roman" w:cs="Times New Roman"/>
          <w:sz w:val="24"/>
          <w:szCs w:val="24"/>
        </w:rPr>
        <w:t xml:space="preserve">Cabraja, M., Klein, M., &amp; Lehman, T. (2009). Long-term results following titanium cranioplasty of large skull defects. </w:t>
      </w:r>
      <w:r w:rsidRPr="00A3204A">
        <w:rPr>
          <w:rFonts w:ascii="Times New Roman" w:hAnsi="Times New Roman" w:cs="Times New Roman"/>
          <w:i/>
          <w:sz w:val="24"/>
          <w:szCs w:val="24"/>
        </w:rPr>
        <w:t>Journal of Neurosurgery, 26(6),</w:t>
      </w:r>
      <w:r w:rsidRPr="00A3204A">
        <w:rPr>
          <w:rFonts w:ascii="Times New Roman" w:hAnsi="Times New Roman" w:cs="Times New Roman"/>
          <w:sz w:val="24"/>
          <w:szCs w:val="24"/>
        </w:rPr>
        <w:t xml:space="preserve"> 1-7. DOI: 10.3171/2009.3FOCUS091.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Cantu, R. C., &amp; Register-Milhalik, J. K., (2011). Considerations for return-to-play and retirement decisions after concussion. </w:t>
      </w:r>
      <w:r w:rsidRPr="00A3204A">
        <w:rPr>
          <w:rFonts w:ascii="Times New Roman" w:hAnsi="Times New Roman" w:cs="Times New Roman"/>
          <w:i/>
          <w:sz w:val="24"/>
          <w:szCs w:val="24"/>
        </w:rPr>
        <w:t xml:space="preserve">American </w:t>
      </w:r>
      <w:smartTag w:uri="urn:schemas-microsoft-com:office:smarttags" w:element="place">
        <w:smartTag w:uri="urn:schemas-microsoft-com:office:smarttags" w:element="PlaceType">
          <w:r w:rsidRPr="00A3204A">
            <w:rPr>
              <w:rFonts w:ascii="Times New Roman" w:hAnsi="Times New Roman" w:cs="Times New Roman"/>
              <w:i/>
              <w:sz w:val="24"/>
              <w:szCs w:val="24"/>
            </w:rPr>
            <w:t>Academy</w:t>
          </w:r>
        </w:smartTag>
        <w:r w:rsidRPr="00A3204A">
          <w:rPr>
            <w:rFonts w:ascii="Times New Roman" w:hAnsi="Times New Roman" w:cs="Times New Roman"/>
            <w:i/>
            <w:sz w:val="24"/>
            <w:szCs w:val="24"/>
          </w:rPr>
          <w:t xml:space="preserve"> of </w:t>
        </w:r>
        <w:smartTag w:uri="urn:schemas-microsoft-com:office:smarttags" w:element="PlaceName">
          <w:r w:rsidRPr="00A3204A">
            <w:rPr>
              <w:rFonts w:ascii="Times New Roman" w:hAnsi="Times New Roman" w:cs="Times New Roman"/>
              <w:i/>
              <w:sz w:val="24"/>
              <w:szCs w:val="24"/>
            </w:rPr>
            <w:t>Physical Medicine</w:t>
          </w:r>
        </w:smartTag>
      </w:smartTag>
      <w:r w:rsidRPr="00A3204A">
        <w:rPr>
          <w:rFonts w:ascii="Times New Roman" w:hAnsi="Times New Roman" w:cs="Times New Roman"/>
          <w:i/>
          <w:sz w:val="24"/>
          <w:szCs w:val="24"/>
        </w:rPr>
        <w:t xml:space="preserve"> and Rehabilitation, 3,</w:t>
      </w:r>
      <w:r w:rsidRPr="00A3204A">
        <w:rPr>
          <w:rFonts w:ascii="Times New Roman" w:hAnsi="Times New Roman" w:cs="Times New Roman"/>
          <w:sz w:val="24"/>
          <w:szCs w:val="24"/>
        </w:rPr>
        <w:t xml:space="preserve"> S440-S444. DOI: 10.1016/j. pmrj.2011.07.013.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770" w:name="CarnabyMann2007"/>
      <w:bookmarkEnd w:id="770"/>
      <w:r w:rsidRPr="00A3204A">
        <w:rPr>
          <w:rFonts w:ascii="Times New Roman" w:hAnsi="Times New Roman" w:cs="Times New Roman"/>
          <w:sz w:val="24"/>
          <w:szCs w:val="24"/>
        </w:rPr>
        <w:t xml:space="preserve">Carnaby-Mann, G. D., &amp; Crary, M. A.(2007). </w:t>
      </w:r>
      <w:r w:rsidRPr="00A3204A">
        <w:rPr>
          <w:rFonts w:ascii="Times New Roman" w:hAnsi="Times New Roman" w:cs="Times New Roman"/>
          <w:bCs/>
          <w:color w:val="292526"/>
          <w:sz w:val="24"/>
          <w:szCs w:val="24"/>
        </w:rPr>
        <w:t xml:space="preserve">Examining the evidence on neuromuscular electrical stimulation for swallowing: </w:t>
      </w:r>
      <w:r w:rsidRPr="00A3204A">
        <w:rPr>
          <w:rFonts w:ascii="Times New Roman" w:hAnsi="Times New Roman" w:cs="Times New Roman"/>
          <w:bCs/>
          <w:iCs/>
          <w:color w:val="292526"/>
          <w:sz w:val="24"/>
          <w:szCs w:val="24"/>
        </w:rPr>
        <w:t xml:space="preserve">A meta-analysis. </w:t>
      </w:r>
      <w:r w:rsidRPr="00A3204A">
        <w:rPr>
          <w:rFonts w:ascii="Times New Roman" w:hAnsi="Times New Roman" w:cs="Times New Roman"/>
          <w:bCs/>
          <w:i/>
          <w:iCs/>
          <w:color w:val="292526"/>
          <w:sz w:val="24"/>
          <w:szCs w:val="24"/>
        </w:rPr>
        <w:t>Archives of Otolaryngol – Head and Neck Surgery, 133,</w:t>
      </w:r>
      <w:r w:rsidRPr="00A3204A">
        <w:rPr>
          <w:rFonts w:ascii="Times New Roman" w:hAnsi="Times New Roman" w:cs="Times New Roman"/>
          <w:bCs/>
          <w:iCs/>
          <w:color w:val="292526"/>
          <w:sz w:val="24"/>
          <w:szCs w:val="24"/>
        </w:rPr>
        <w:t xml:space="preserve"> 564-571.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lastRenderedPageBreak/>
        <w:t xml:space="preserve">Carney, N. A. (2007a). Methods. </w:t>
      </w:r>
      <w:r w:rsidRPr="00A3204A">
        <w:rPr>
          <w:rFonts w:ascii="Times New Roman" w:hAnsi="Times New Roman" w:cs="Times New Roman"/>
          <w:i/>
          <w:sz w:val="24"/>
          <w:szCs w:val="24"/>
        </w:rPr>
        <w:t>Journal of Neurotrauma, 24(Supplement 1),</w:t>
      </w:r>
      <w:r w:rsidRPr="00A3204A">
        <w:rPr>
          <w:rFonts w:ascii="Times New Roman" w:hAnsi="Times New Roman" w:cs="Times New Roman"/>
          <w:sz w:val="24"/>
          <w:szCs w:val="24"/>
        </w:rPr>
        <w:t xml:space="preserve"> S3-S6. DOI: 10.1089/neu.2007.9996.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Carney, N. A., &amp; Ghajar, J. (2007b). Introduction. </w:t>
      </w:r>
      <w:r w:rsidRPr="00A3204A">
        <w:rPr>
          <w:rFonts w:ascii="Times New Roman" w:hAnsi="Times New Roman" w:cs="Times New Roman"/>
          <w:i/>
          <w:sz w:val="24"/>
          <w:szCs w:val="24"/>
        </w:rPr>
        <w:t xml:space="preserve">Journal of Neurotrauma, 24(Supplement 1), </w:t>
      </w:r>
      <w:r w:rsidRPr="00A3204A">
        <w:rPr>
          <w:rFonts w:ascii="Times New Roman" w:hAnsi="Times New Roman" w:cs="Times New Roman"/>
          <w:sz w:val="24"/>
          <w:szCs w:val="24"/>
        </w:rPr>
        <w:t xml:space="preserve">S1-S2. DOI:10.1089/neu.2007.9997.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771" w:name="Carroll2004"/>
      <w:bookmarkEnd w:id="771"/>
      <w:r w:rsidRPr="00A3204A">
        <w:rPr>
          <w:rFonts w:ascii="Times New Roman" w:hAnsi="Times New Roman" w:cs="Times New Roman"/>
          <w:sz w:val="24"/>
          <w:szCs w:val="24"/>
        </w:rPr>
        <w:t xml:space="preserve">Carroll, L. J., Cassidy, J. D., Peloso, P. M., Borg, J., von Holst, H., Holm, L.,… Pepin, M. (2004). Prognosis for mild traumatic brain injury: Results of the WHO collaborating centre task force on mild traumatic brain injury. </w:t>
      </w:r>
      <w:r w:rsidRPr="00A3204A">
        <w:rPr>
          <w:rFonts w:ascii="Times New Roman" w:hAnsi="Times New Roman" w:cs="Times New Roman"/>
          <w:i/>
          <w:sz w:val="24"/>
          <w:szCs w:val="24"/>
        </w:rPr>
        <w:t>Journal of Rehabilitation Medicine, Suppl. 43,</w:t>
      </w:r>
      <w:r w:rsidRPr="00A3204A">
        <w:rPr>
          <w:rFonts w:ascii="Times New Roman" w:hAnsi="Times New Roman" w:cs="Times New Roman"/>
          <w:sz w:val="24"/>
          <w:szCs w:val="24"/>
        </w:rPr>
        <w:t xml:space="preserve"> 84–105.</w:t>
      </w:r>
      <w:r w:rsidRPr="00A3204A">
        <w:t xml:space="preserve"> </w:t>
      </w:r>
      <w:r w:rsidRPr="00A3204A">
        <w:rPr>
          <w:rFonts w:ascii="Times New Roman" w:hAnsi="Times New Roman" w:cs="Times New Roman"/>
          <w:sz w:val="24"/>
          <w:szCs w:val="24"/>
        </w:rPr>
        <w:t>DOI 10.1080/16501960410023859.</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772" w:name="CMSA2012"/>
      <w:bookmarkEnd w:id="772"/>
      <w:r w:rsidRPr="00A3204A">
        <w:rPr>
          <w:rFonts w:ascii="Times New Roman" w:hAnsi="Times New Roman" w:cs="Times New Roman"/>
          <w:sz w:val="24"/>
          <w:szCs w:val="24"/>
        </w:rPr>
        <w:t xml:space="preserve">Case Management Society of </w:t>
      </w:r>
      <w:smartTag w:uri="urn:schemas-microsoft-com:office:smarttags" w:element="country-region">
        <w:smartTag w:uri="urn:schemas-microsoft-com:office:smarttags" w:element="place">
          <w:r w:rsidRPr="00A3204A">
            <w:rPr>
              <w:rFonts w:ascii="Times New Roman" w:hAnsi="Times New Roman" w:cs="Times New Roman"/>
              <w:sz w:val="24"/>
              <w:szCs w:val="24"/>
            </w:rPr>
            <w:t>America</w:t>
          </w:r>
        </w:smartTag>
      </w:smartTag>
      <w:r w:rsidRPr="00A3204A">
        <w:rPr>
          <w:rFonts w:ascii="Times New Roman" w:hAnsi="Times New Roman" w:cs="Times New Roman"/>
          <w:sz w:val="24"/>
          <w:szCs w:val="24"/>
        </w:rPr>
        <w:t>. </w:t>
      </w:r>
      <w:r w:rsidR="009C3DC2">
        <w:rPr>
          <w:rFonts w:ascii="Times New Roman" w:hAnsi="Times New Roman" w:cs="Times New Roman"/>
          <w:bCs/>
          <w:sz w:val="24"/>
          <w:szCs w:val="24"/>
        </w:rPr>
        <w:t>(2012</w:t>
      </w:r>
      <w:r w:rsidRPr="00A3204A">
        <w:rPr>
          <w:rFonts w:ascii="Times New Roman" w:hAnsi="Times New Roman" w:cs="Times New Roman"/>
          <w:bCs/>
          <w:sz w:val="24"/>
          <w:szCs w:val="24"/>
        </w:rPr>
        <w:t>)</w:t>
      </w:r>
      <w:r w:rsidRPr="00A3204A">
        <w:rPr>
          <w:rFonts w:ascii="Times New Roman" w:hAnsi="Times New Roman" w:cs="Times New Roman"/>
          <w:sz w:val="24"/>
          <w:szCs w:val="24"/>
        </w:rPr>
        <w:t xml:space="preserve">. What is a case manager?. </w:t>
      </w:r>
      <w:r w:rsidRPr="00A3204A">
        <w:rPr>
          <w:rFonts w:ascii="Times New Roman" w:hAnsi="Times New Roman" w:cs="Times New Roman"/>
          <w:bCs/>
          <w:sz w:val="24"/>
          <w:szCs w:val="24"/>
        </w:rPr>
        <w:t xml:space="preserve">Retrieved October 2011,  from </w:t>
      </w:r>
      <w:r w:rsidRPr="00A3204A">
        <w:rPr>
          <w:rFonts w:ascii="Times New Roman" w:hAnsi="Times New Roman" w:cs="Times New Roman"/>
          <w:sz w:val="24"/>
          <w:szCs w:val="24"/>
        </w:rPr>
        <w:t>http://www.cmsa.org/Home/CMSA/WhatisaCaseManger/tabid/224/Default.aspx</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773" w:name="CDCnd"/>
      <w:bookmarkEnd w:id="773"/>
      <w:r w:rsidRPr="00A3204A">
        <w:rPr>
          <w:rFonts w:ascii="Times New Roman" w:hAnsi="Times New Roman" w:cs="Times New Roman"/>
          <w:sz w:val="24"/>
          <w:szCs w:val="24"/>
        </w:rPr>
        <w:t xml:space="preserve">Centers for Disease Control and Prevention. </w:t>
      </w:r>
      <w:smartTag w:uri="urn:schemas-microsoft-com:office:smarttags" w:element="country-region">
        <w:smartTag w:uri="urn:schemas-microsoft-com:office:smarttags" w:element="place">
          <w:r w:rsidRPr="00A3204A">
            <w:rPr>
              <w:rFonts w:ascii="Times New Roman" w:hAnsi="Times New Roman" w:cs="Times New Roman"/>
              <w:sz w:val="24"/>
              <w:szCs w:val="24"/>
            </w:rPr>
            <w:t>U.S.</w:t>
          </w:r>
        </w:smartTag>
      </w:smartTag>
      <w:r w:rsidRPr="00A3204A">
        <w:rPr>
          <w:rFonts w:ascii="Times New Roman" w:hAnsi="Times New Roman" w:cs="Times New Roman"/>
          <w:sz w:val="24"/>
          <w:szCs w:val="24"/>
        </w:rPr>
        <w:t xml:space="preserve"> Department of Health and Human Services. (n.d.). Heads up: Facts for physicians about mild traumatic brain injury (MTBI). </w:t>
      </w:r>
      <w:r w:rsidRPr="00A3204A">
        <w:rPr>
          <w:rFonts w:ascii="Times New Roman" w:hAnsi="Times New Roman" w:cs="Times New Roman"/>
          <w:i/>
          <w:sz w:val="24"/>
          <w:szCs w:val="24"/>
        </w:rPr>
        <w:t>Facts for Physicians,</w:t>
      </w:r>
      <w:r w:rsidRPr="00A3204A">
        <w:rPr>
          <w:rFonts w:ascii="Times New Roman" w:hAnsi="Times New Roman" w:cs="Times New Roman"/>
          <w:sz w:val="24"/>
          <w:szCs w:val="24"/>
        </w:rPr>
        <w:t xml:space="preserve"> 1-23.</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774" w:name="Chang2003"/>
      <w:bookmarkEnd w:id="774"/>
      <w:r w:rsidRPr="00A3204A">
        <w:rPr>
          <w:rFonts w:ascii="Times New Roman" w:hAnsi="Times New Roman" w:cs="Times New Roman"/>
          <w:sz w:val="24"/>
          <w:szCs w:val="24"/>
        </w:rPr>
        <w:t xml:space="preserve">Chang, B., &amp; Lowenstein, D., (2003). </w:t>
      </w:r>
      <w:r w:rsidRPr="00A3204A">
        <w:rPr>
          <w:rFonts w:ascii="Times New Roman" w:hAnsi="Times New Roman" w:cs="Times New Roman"/>
          <w:bCs/>
          <w:sz w:val="24"/>
          <w:szCs w:val="24"/>
        </w:rPr>
        <w:t xml:space="preserve">Practice parameter: Antiepileptic drug prophylaxis in severe traumatic brain injury: Report of the quality standards subcommittee of the </w:t>
      </w:r>
      <w:smartTag w:uri="urn:schemas-microsoft-com:office:smarttags" w:element="place">
        <w:smartTag w:uri="urn:schemas-microsoft-com:office:smarttags" w:element="PlaceName">
          <w:r w:rsidRPr="00A3204A">
            <w:rPr>
              <w:rFonts w:ascii="Times New Roman" w:hAnsi="Times New Roman" w:cs="Times New Roman"/>
              <w:bCs/>
              <w:sz w:val="24"/>
              <w:szCs w:val="24"/>
            </w:rPr>
            <w:t>American</w:t>
          </w:r>
        </w:smartTag>
        <w:r w:rsidRPr="00A3204A">
          <w:rPr>
            <w:rFonts w:ascii="Times New Roman" w:hAnsi="Times New Roman" w:cs="Times New Roman"/>
            <w:bCs/>
            <w:sz w:val="24"/>
            <w:szCs w:val="24"/>
          </w:rPr>
          <w:t xml:space="preserve"> </w:t>
        </w:r>
        <w:smartTag w:uri="urn:schemas-microsoft-com:office:smarttags" w:element="PlaceType">
          <w:r w:rsidRPr="00A3204A">
            <w:rPr>
              <w:rFonts w:ascii="Times New Roman" w:hAnsi="Times New Roman" w:cs="Times New Roman"/>
              <w:bCs/>
              <w:sz w:val="24"/>
              <w:szCs w:val="24"/>
            </w:rPr>
            <w:t>Academy</w:t>
          </w:r>
        </w:smartTag>
      </w:smartTag>
      <w:r w:rsidRPr="00A3204A">
        <w:rPr>
          <w:rFonts w:ascii="Times New Roman" w:hAnsi="Times New Roman" w:cs="Times New Roman"/>
          <w:bCs/>
          <w:sz w:val="24"/>
          <w:szCs w:val="24"/>
        </w:rPr>
        <w:t xml:space="preserve"> of Neurology. </w:t>
      </w:r>
      <w:r w:rsidRPr="00A3204A">
        <w:rPr>
          <w:rFonts w:ascii="Times New Roman" w:hAnsi="Times New Roman" w:cs="Times New Roman"/>
          <w:bCs/>
          <w:i/>
          <w:sz w:val="24"/>
          <w:szCs w:val="24"/>
        </w:rPr>
        <w:t xml:space="preserve">Neurology, 60, </w:t>
      </w:r>
      <w:r w:rsidRPr="00A3204A">
        <w:rPr>
          <w:rFonts w:ascii="Times New Roman" w:hAnsi="Times New Roman" w:cs="Times New Roman"/>
          <w:bCs/>
          <w:sz w:val="24"/>
          <w:szCs w:val="24"/>
        </w:rPr>
        <w:t xml:space="preserve">10-16. DOI: 10.1212/01. WNL.0000031432.05543.14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Chang, V. H., Lombard, L., &amp; Greher, M. R. (2011). Mild traumatic brain injury in the occupational setting. </w:t>
      </w:r>
      <w:r w:rsidRPr="00A3204A">
        <w:rPr>
          <w:rFonts w:ascii="Times New Roman" w:hAnsi="Times New Roman" w:cs="Times New Roman"/>
          <w:i/>
          <w:sz w:val="24"/>
          <w:szCs w:val="24"/>
        </w:rPr>
        <w:t xml:space="preserve">American </w:t>
      </w:r>
      <w:smartTag w:uri="urn:schemas-microsoft-com:office:smarttags" w:element="place">
        <w:smartTag w:uri="urn:schemas-microsoft-com:office:smarttags" w:element="PlaceType">
          <w:r w:rsidRPr="00A3204A">
            <w:rPr>
              <w:rFonts w:ascii="Times New Roman" w:hAnsi="Times New Roman" w:cs="Times New Roman"/>
              <w:i/>
              <w:sz w:val="24"/>
              <w:szCs w:val="24"/>
            </w:rPr>
            <w:t>Academy</w:t>
          </w:r>
        </w:smartTag>
        <w:r w:rsidRPr="00A3204A">
          <w:rPr>
            <w:rFonts w:ascii="Times New Roman" w:hAnsi="Times New Roman" w:cs="Times New Roman"/>
            <w:i/>
            <w:sz w:val="24"/>
            <w:szCs w:val="24"/>
          </w:rPr>
          <w:t xml:space="preserve"> of </w:t>
        </w:r>
        <w:smartTag w:uri="urn:schemas-microsoft-com:office:smarttags" w:element="PlaceName">
          <w:r w:rsidRPr="00A3204A">
            <w:rPr>
              <w:rFonts w:ascii="Times New Roman" w:hAnsi="Times New Roman" w:cs="Times New Roman"/>
              <w:i/>
              <w:sz w:val="24"/>
              <w:szCs w:val="24"/>
            </w:rPr>
            <w:t>Physical Medicine</w:t>
          </w:r>
        </w:smartTag>
      </w:smartTag>
      <w:r w:rsidRPr="00A3204A">
        <w:rPr>
          <w:rFonts w:ascii="Times New Roman" w:hAnsi="Times New Roman" w:cs="Times New Roman"/>
          <w:i/>
          <w:sz w:val="24"/>
          <w:szCs w:val="24"/>
        </w:rPr>
        <w:t xml:space="preserve"> and Rehabilitation, 3, </w:t>
      </w:r>
      <w:r w:rsidRPr="00A3204A">
        <w:rPr>
          <w:rFonts w:ascii="Times New Roman" w:hAnsi="Times New Roman" w:cs="Times New Roman"/>
          <w:sz w:val="24"/>
          <w:szCs w:val="24"/>
        </w:rPr>
        <w:t xml:space="preserve">S387-S395. DOI: 10.1016/j. pmrj.2011.08.007.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Chen, Y. –H., Kang, J. –H., &amp; Lin, H. –C. (2011). Patients with traumatic brain injury: Population-based study suggests increased risk of stroke. </w:t>
      </w:r>
      <w:r w:rsidRPr="00A3204A">
        <w:rPr>
          <w:rFonts w:ascii="Times New Roman" w:hAnsi="Times New Roman" w:cs="Times New Roman"/>
          <w:i/>
          <w:sz w:val="24"/>
          <w:szCs w:val="24"/>
        </w:rPr>
        <w:t>Stroke</w:t>
      </w:r>
      <w:r w:rsidRPr="00A3204A">
        <w:rPr>
          <w:rFonts w:ascii="Times New Roman" w:hAnsi="Times New Roman" w:cs="Times New Roman"/>
          <w:sz w:val="24"/>
          <w:szCs w:val="24"/>
        </w:rPr>
        <w:t>,</w:t>
      </w:r>
      <w:r w:rsidRPr="00A3204A">
        <w:rPr>
          <w:rFonts w:ascii="Times New Roman" w:hAnsi="Times New Roman" w:cs="Times New Roman"/>
          <w:i/>
          <w:sz w:val="24"/>
          <w:szCs w:val="24"/>
        </w:rPr>
        <w:t xml:space="preserve"> 42, </w:t>
      </w:r>
      <w:r w:rsidRPr="00A3204A">
        <w:rPr>
          <w:rFonts w:ascii="Times New Roman" w:hAnsi="Times New Roman" w:cs="Times New Roman"/>
          <w:sz w:val="24"/>
          <w:szCs w:val="24"/>
        </w:rPr>
        <w:t>2733-2739. DOI: 10.1161/STROKEAHA.111.620112.</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775" w:name="Chi2011"/>
      <w:bookmarkEnd w:id="775"/>
      <w:r w:rsidRPr="00A3204A">
        <w:rPr>
          <w:rFonts w:ascii="Times New Roman" w:hAnsi="Times New Roman" w:cs="Times New Roman"/>
          <w:sz w:val="24"/>
          <w:szCs w:val="24"/>
        </w:rPr>
        <w:t xml:space="preserve">Chi, J. H. (2011). Craniectomy for traumatic brain injury: Results from the DECRA trial. </w:t>
      </w:r>
      <w:r w:rsidRPr="00A3204A">
        <w:rPr>
          <w:rFonts w:ascii="Times New Roman" w:hAnsi="Times New Roman" w:cs="Times New Roman"/>
          <w:i/>
          <w:sz w:val="24"/>
          <w:szCs w:val="24"/>
        </w:rPr>
        <w:t>Neurosurgery, 68(6),</w:t>
      </w:r>
      <w:r w:rsidRPr="00A3204A">
        <w:rPr>
          <w:rFonts w:ascii="Times New Roman" w:hAnsi="Times New Roman" w:cs="Times New Roman"/>
          <w:sz w:val="24"/>
          <w:szCs w:val="24"/>
        </w:rPr>
        <w:t xml:space="preserve"> N19-N20.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Chiarovano, E., Zamith, F., Vidal, P. -P., &amp; de Waele, C. (2011). Ocular and cervical VEMPs: A study of 74 patients suffering from peripheral vestibular disorders. </w:t>
      </w:r>
      <w:r w:rsidRPr="00A3204A">
        <w:rPr>
          <w:rFonts w:ascii="Times New Roman" w:hAnsi="Times New Roman" w:cs="Times New Roman"/>
          <w:i/>
          <w:sz w:val="24"/>
          <w:szCs w:val="24"/>
        </w:rPr>
        <w:t>Clinical Neurophysiology, 122,</w:t>
      </w:r>
      <w:r w:rsidRPr="00A3204A">
        <w:rPr>
          <w:rFonts w:ascii="Times New Roman" w:hAnsi="Times New Roman" w:cs="Times New Roman"/>
          <w:sz w:val="24"/>
          <w:szCs w:val="24"/>
        </w:rPr>
        <w:t xml:space="preserve"> 1650–1659. DOI:10.1016/j. clinph.2011.01.006.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776" w:name="Chronicle2004"/>
      <w:bookmarkEnd w:id="776"/>
      <w:r w:rsidRPr="00A3204A">
        <w:rPr>
          <w:rFonts w:ascii="Times New Roman" w:hAnsi="Times New Roman" w:cs="Times New Roman"/>
          <w:sz w:val="24"/>
          <w:szCs w:val="24"/>
        </w:rPr>
        <w:t xml:space="preserve">Chronicle, E. P., &amp; Mulleners, W. M. (2004). Anticonvulsant drugs formigraine prophylaxis. </w:t>
      </w:r>
      <w:r w:rsidRPr="00A3204A">
        <w:rPr>
          <w:rFonts w:ascii="Times New Roman" w:hAnsi="Times New Roman" w:cs="Times New Roman"/>
          <w:i/>
          <w:iCs/>
          <w:sz w:val="24"/>
          <w:szCs w:val="24"/>
        </w:rPr>
        <w:t>Cochrane Database of Systematic Reviews</w:t>
      </w:r>
      <w:r w:rsidRPr="00A3204A">
        <w:rPr>
          <w:rFonts w:ascii="Times New Roman" w:hAnsi="Times New Roman" w:cs="Times New Roman"/>
          <w:i/>
          <w:sz w:val="24"/>
          <w:szCs w:val="24"/>
        </w:rPr>
        <w:t>, 3,</w:t>
      </w:r>
      <w:r w:rsidRPr="00A3204A">
        <w:rPr>
          <w:rFonts w:ascii="Times New Roman" w:hAnsi="Times New Roman" w:cs="Times New Roman"/>
          <w:sz w:val="24"/>
          <w:szCs w:val="24"/>
        </w:rPr>
        <w:t xml:space="preserve"> 1-60. DOI: 10.1002/14651858.CD003226.pub2.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777" w:name="Cicerone2007"/>
      <w:bookmarkEnd w:id="777"/>
      <w:r w:rsidRPr="00A3204A">
        <w:rPr>
          <w:rFonts w:ascii="Times New Roman" w:hAnsi="Times New Roman" w:cs="Times New Roman"/>
          <w:sz w:val="24"/>
          <w:szCs w:val="24"/>
        </w:rPr>
        <w:t xml:space="preserve">Cicerone, K. D., &amp; Azulay, J. (2007). Perceived self-efficacy and life satisfaction after traumatic brain injury. </w:t>
      </w:r>
      <w:r w:rsidRPr="00A3204A">
        <w:rPr>
          <w:rFonts w:ascii="Times New Roman" w:hAnsi="Times New Roman" w:cs="Times New Roman"/>
          <w:i/>
          <w:sz w:val="24"/>
          <w:szCs w:val="24"/>
        </w:rPr>
        <w:t xml:space="preserve">Journal of Head Trauma Rehabilitation, 22(5), </w:t>
      </w:r>
      <w:r w:rsidRPr="00A3204A">
        <w:rPr>
          <w:rFonts w:ascii="Times New Roman" w:hAnsi="Times New Roman" w:cs="Times New Roman"/>
          <w:sz w:val="24"/>
          <w:szCs w:val="24"/>
        </w:rPr>
        <w:t xml:space="preserve">257-266.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bCs/>
          <w:iCs/>
          <w:sz w:val="24"/>
          <w:szCs w:val="24"/>
        </w:rPr>
        <w:t xml:space="preserve">Cicerone, K. D., Dahlberg, C., </w:t>
      </w:r>
      <w:smartTag w:uri="urn:schemas-microsoft-com:office:smarttags" w:element="City">
        <w:smartTag w:uri="urn:schemas-microsoft-com:office:smarttags" w:element="place">
          <w:r w:rsidRPr="00A3204A">
            <w:rPr>
              <w:rFonts w:ascii="Times New Roman" w:hAnsi="Times New Roman" w:cs="Times New Roman"/>
              <w:bCs/>
              <w:iCs/>
              <w:sz w:val="24"/>
              <w:szCs w:val="24"/>
            </w:rPr>
            <w:t>Kalmar</w:t>
          </w:r>
        </w:smartTag>
      </w:smartTag>
      <w:r w:rsidRPr="00A3204A">
        <w:rPr>
          <w:rFonts w:ascii="Times New Roman" w:hAnsi="Times New Roman" w:cs="Times New Roman"/>
          <w:bCs/>
          <w:iCs/>
          <w:sz w:val="24"/>
          <w:szCs w:val="24"/>
        </w:rPr>
        <w:t xml:space="preserve">, K., Langenbahn, D. M., Malec, J. F., Bergquist, T. F.,… Morse, P. A. (2000). </w:t>
      </w:r>
      <w:r w:rsidRPr="00A3204A">
        <w:rPr>
          <w:rFonts w:ascii="Times New Roman" w:hAnsi="Times New Roman" w:cs="Times New Roman"/>
          <w:iCs/>
          <w:sz w:val="24"/>
          <w:szCs w:val="24"/>
        </w:rPr>
        <w:t xml:space="preserve">REVIEW ARTICLE </w:t>
      </w:r>
      <w:r w:rsidRPr="00A3204A">
        <w:rPr>
          <w:rFonts w:ascii="Times New Roman" w:hAnsi="Times New Roman" w:cs="Times New Roman"/>
          <w:bCs/>
          <w:sz w:val="24"/>
          <w:szCs w:val="24"/>
        </w:rPr>
        <w:t xml:space="preserve">Evidence-based cognitive rehabilitation: Recommendations for clinical practice. </w:t>
      </w:r>
      <w:r w:rsidRPr="00A3204A">
        <w:rPr>
          <w:rFonts w:ascii="Times New Roman" w:hAnsi="Times New Roman" w:cs="Times New Roman"/>
          <w:bCs/>
          <w:i/>
          <w:sz w:val="24"/>
          <w:szCs w:val="24"/>
        </w:rPr>
        <w:t xml:space="preserve">Archives of Physical Medicine and Rehabilitation, 81, </w:t>
      </w:r>
      <w:r w:rsidRPr="00A3204A">
        <w:rPr>
          <w:rFonts w:ascii="Times New Roman" w:hAnsi="Times New Roman" w:cs="Times New Roman"/>
          <w:bCs/>
          <w:sz w:val="24"/>
          <w:szCs w:val="24"/>
        </w:rPr>
        <w:t>1596-1615. DOI:10.1053/apmr.2000.19240.</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bCs/>
          <w:iCs/>
          <w:sz w:val="24"/>
          <w:szCs w:val="24"/>
        </w:rPr>
        <w:t xml:space="preserve">Cicerone, K. D., Dahlberg, C., Malec, J. F., Langenbahn, D. M., Felicetti, T., Kneipp, S.,… Catanese, J. (2005). </w:t>
      </w:r>
      <w:r w:rsidRPr="00A3204A">
        <w:rPr>
          <w:rFonts w:ascii="Times New Roman" w:hAnsi="Times New Roman" w:cs="Times New Roman"/>
          <w:iCs/>
          <w:sz w:val="24"/>
          <w:szCs w:val="24"/>
        </w:rPr>
        <w:t xml:space="preserve">REVIEW ARTICLE </w:t>
      </w:r>
      <w:r w:rsidRPr="00A3204A">
        <w:rPr>
          <w:rFonts w:ascii="Times New Roman" w:hAnsi="Times New Roman" w:cs="Times New Roman"/>
          <w:bCs/>
          <w:sz w:val="24"/>
          <w:szCs w:val="24"/>
        </w:rPr>
        <w:t xml:space="preserve">Evidence-based cognitiver rehabilitation: </w:t>
      </w:r>
      <w:r w:rsidRPr="00A3204A">
        <w:rPr>
          <w:rFonts w:ascii="Times New Roman" w:hAnsi="Times New Roman" w:cs="Times New Roman"/>
          <w:bCs/>
          <w:sz w:val="24"/>
          <w:szCs w:val="24"/>
        </w:rPr>
        <w:lastRenderedPageBreak/>
        <w:t xml:space="preserve">updated review of the literature from 1998 through 2002. </w:t>
      </w:r>
      <w:r w:rsidRPr="00A3204A">
        <w:rPr>
          <w:rFonts w:ascii="Times New Roman" w:hAnsi="Times New Roman" w:cs="Times New Roman"/>
          <w:bCs/>
          <w:i/>
          <w:sz w:val="24"/>
          <w:szCs w:val="24"/>
        </w:rPr>
        <w:t>Archives of Physical Medicine and Rehabilitation, 86,</w:t>
      </w:r>
      <w:r w:rsidRPr="00A3204A">
        <w:rPr>
          <w:rFonts w:ascii="Times New Roman" w:hAnsi="Times New Roman" w:cs="Times New Roman"/>
          <w:bCs/>
          <w:sz w:val="24"/>
          <w:szCs w:val="24"/>
        </w:rPr>
        <w:t xml:space="preserve"> 1681-1692. DOI:10.1016/j.apmr.2005.03.024.</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bCs/>
          <w:iCs/>
          <w:sz w:val="24"/>
          <w:szCs w:val="24"/>
        </w:rPr>
        <w:t xml:space="preserve">Cicerone, K. D., Langenbahn, D. M., Braden, C., Malec, J. F., </w:t>
      </w:r>
      <w:smartTag w:uri="urn:schemas-microsoft-com:office:smarttags" w:element="City">
        <w:smartTag w:uri="urn:schemas-microsoft-com:office:smarttags" w:element="place">
          <w:r w:rsidRPr="00A3204A">
            <w:rPr>
              <w:rFonts w:ascii="Times New Roman" w:hAnsi="Times New Roman" w:cs="Times New Roman"/>
              <w:bCs/>
              <w:iCs/>
              <w:sz w:val="24"/>
              <w:szCs w:val="24"/>
            </w:rPr>
            <w:t>Kalmar</w:t>
          </w:r>
        </w:smartTag>
      </w:smartTag>
      <w:r w:rsidRPr="00A3204A">
        <w:rPr>
          <w:rFonts w:ascii="Times New Roman" w:hAnsi="Times New Roman" w:cs="Times New Roman"/>
          <w:bCs/>
          <w:iCs/>
          <w:sz w:val="24"/>
          <w:szCs w:val="24"/>
        </w:rPr>
        <w:t xml:space="preserve">, K., Fraas, M.,…Ashman, T. (2011). </w:t>
      </w:r>
      <w:r w:rsidRPr="00A3204A">
        <w:rPr>
          <w:rFonts w:ascii="Times New Roman" w:hAnsi="Times New Roman" w:cs="Times New Roman"/>
          <w:iCs/>
          <w:sz w:val="24"/>
          <w:szCs w:val="24"/>
        </w:rPr>
        <w:t xml:space="preserve">REVIEW ARTICLE (META-ANALYSIS) </w:t>
      </w:r>
      <w:r w:rsidRPr="00A3204A">
        <w:rPr>
          <w:rFonts w:ascii="Times New Roman" w:hAnsi="Times New Roman" w:cs="Times New Roman"/>
          <w:bCs/>
          <w:sz w:val="24"/>
          <w:szCs w:val="24"/>
        </w:rPr>
        <w:t xml:space="preserve">Evidence-based cognitive rehabilitation: Updated review of the literature from 2003 through 2008. </w:t>
      </w:r>
      <w:r w:rsidRPr="00A3204A">
        <w:rPr>
          <w:rFonts w:ascii="Times New Roman" w:hAnsi="Times New Roman" w:cs="Times New Roman"/>
          <w:bCs/>
          <w:i/>
          <w:sz w:val="24"/>
          <w:szCs w:val="24"/>
        </w:rPr>
        <w:t xml:space="preserve">Archives of Physical Medicine and Rehabilitation, 92, </w:t>
      </w:r>
      <w:r w:rsidRPr="00A3204A">
        <w:rPr>
          <w:rFonts w:ascii="Times New Roman" w:hAnsi="Times New Roman" w:cs="Times New Roman"/>
          <w:bCs/>
          <w:sz w:val="24"/>
          <w:szCs w:val="24"/>
        </w:rPr>
        <w:t>519-530. DOI:10.1016/j.apmr.2010.11.015.</w:t>
      </w:r>
    </w:p>
    <w:p w:rsidR="00A3204A" w:rsidRPr="00A3204A" w:rsidRDefault="00A3204A" w:rsidP="009C3DC2">
      <w:pPr>
        <w:numPr>
          <w:ilvl w:val="0"/>
          <w:numId w:val="33"/>
        </w:numPr>
        <w:spacing w:before="0" w:after="120"/>
        <w:rPr>
          <w:rFonts w:ascii="Times New Roman" w:hAnsi="Times New Roman" w:cs="Times New Roman"/>
          <w:i/>
          <w:sz w:val="24"/>
          <w:szCs w:val="24"/>
        </w:rPr>
      </w:pPr>
      <w:bookmarkStart w:id="778" w:name="Cicerone2008"/>
      <w:bookmarkEnd w:id="778"/>
      <w:r w:rsidRPr="00A3204A">
        <w:rPr>
          <w:rFonts w:ascii="Times New Roman" w:hAnsi="Times New Roman" w:cs="Times New Roman"/>
          <w:bCs/>
          <w:sz w:val="24"/>
          <w:szCs w:val="24"/>
        </w:rPr>
        <w:t xml:space="preserve">Cicerone, K. D., Mott, T., Azulay, J., Sharlow-Galella, M. A., Ellmo, W. J., </w:t>
      </w:r>
      <w:smartTag w:uri="urn:schemas-microsoft-com:office:smarttags" w:element="place">
        <w:r w:rsidRPr="00A3204A">
          <w:rPr>
            <w:rFonts w:ascii="Times New Roman" w:hAnsi="Times New Roman" w:cs="Times New Roman"/>
            <w:bCs/>
            <w:sz w:val="24"/>
            <w:szCs w:val="24"/>
          </w:rPr>
          <w:t>Paradise</w:t>
        </w:r>
      </w:smartTag>
      <w:r w:rsidRPr="00A3204A">
        <w:rPr>
          <w:rFonts w:ascii="Times New Roman" w:hAnsi="Times New Roman" w:cs="Times New Roman"/>
          <w:bCs/>
          <w:sz w:val="24"/>
          <w:szCs w:val="24"/>
        </w:rPr>
        <w:t xml:space="preserve">, S., &amp; Friel, J. C. (2008). A randomized controlled trial of holistic neuropsychologic rehabilitation after traumatic brain injury. </w:t>
      </w:r>
      <w:r w:rsidRPr="00A3204A">
        <w:rPr>
          <w:rFonts w:ascii="Times New Roman" w:hAnsi="Times New Roman" w:cs="Times New Roman"/>
          <w:bCs/>
          <w:i/>
          <w:sz w:val="24"/>
          <w:szCs w:val="24"/>
        </w:rPr>
        <w:t>Archives of Physical Medicine and Rehabilitation, 89,</w:t>
      </w:r>
      <w:r w:rsidRPr="00A3204A">
        <w:rPr>
          <w:rFonts w:ascii="Times New Roman" w:hAnsi="Times New Roman" w:cs="Times New Roman"/>
          <w:bCs/>
          <w:sz w:val="24"/>
          <w:szCs w:val="24"/>
        </w:rPr>
        <w:t xml:space="preserve"> 2239-2249. DOI:10.1016/j.apmr.2008.06.017.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r w:rsidRPr="00A3204A">
        <w:rPr>
          <w:rFonts w:ascii="Times New Roman" w:hAnsi="Times New Roman" w:cs="Times New Roman"/>
          <w:i/>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Ciuffreda, K. J., Kapoor, N., Rutner, D., Suchoff, </w:t>
      </w:r>
      <w:smartTag w:uri="urn:schemas-microsoft-com:office:smarttags" w:element="place">
        <w:r w:rsidRPr="00A3204A">
          <w:rPr>
            <w:rFonts w:ascii="Times New Roman" w:hAnsi="Times New Roman" w:cs="Times New Roman"/>
            <w:sz w:val="24"/>
            <w:szCs w:val="24"/>
          </w:rPr>
          <w:t>I.</w:t>
        </w:r>
      </w:smartTag>
      <w:r w:rsidRPr="00A3204A">
        <w:rPr>
          <w:rFonts w:ascii="Times New Roman" w:hAnsi="Times New Roman" w:cs="Times New Roman"/>
          <w:sz w:val="24"/>
          <w:szCs w:val="24"/>
        </w:rPr>
        <w:t xml:space="preserve"> B.,…Craig, S. (2007). Occurrence of oculomotor dysfunctions in acquired brain injury: A retrospective analysis. </w:t>
      </w:r>
      <w:r w:rsidRPr="00A3204A">
        <w:rPr>
          <w:rFonts w:ascii="Times New Roman" w:hAnsi="Times New Roman" w:cs="Times New Roman"/>
          <w:i/>
          <w:sz w:val="24"/>
          <w:szCs w:val="24"/>
        </w:rPr>
        <w:t xml:space="preserve">American Optometric Association, 78, </w:t>
      </w:r>
      <w:r w:rsidRPr="00A3204A">
        <w:rPr>
          <w:rFonts w:ascii="Times New Roman" w:hAnsi="Times New Roman" w:cs="Times New Roman"/>
          <w:sz w:val="24"/>
          <w:szCs w:val="24"/>
        </w:rPr>
        <w:t xml:space="preserve">155-161. DOI:10.1016/j.optm.2006.11.011.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Ciuffreda, K. J., Ludlam, D., COVT, &amp; Thiagarajan, P. (2011a). Oculomotor diagnostic protocol for the mTBI population. </w:t>
      </w:r>
      <w:r w:rsidRPr="00A3204A">
        <w:rPr>
          <w:rFonts w:ascii="Times New Roman" w:hAnsi="Times New Roman" w:cs="Times New Roman"/>
          <w:i/>
          <w:sz w:val="24"/>
          <w:szCs w:val="24"/>
        </w:rPr>
        <w:t xml:space="preserve">Elsevier Inc. for American Optometric Association, </w:t>
      </w:r>
      <w:r w:rsidRPr="00A3204A">
        <w:rPr>
          <w:rFonts w:ascii="Times New Roman" w:hAnsi="Times New Roman" w:cs="Times New Roman"/>
          <w:sz w:val="24"/>
          <w:szCs w:val="24"/>
        </w:rPr>
        <w:t xml:space="preserve">61-63. DOI:10.1016/j.optm.2010.11.011.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Ciuffreda, K. J., &amp; Ludlam, D. (2011b). Objective diagnostic and interventional vision test protocol for the mild traumatic brain injury population. </w:t>
      </w:r>
      <w:r w:rsidRPr="00A3204A">
        <w:rPr>
          <w:rFonts w:ascii="Times New Roman" w:hAnsi="Times New Roman" w:cs="Times New Roman"/>
          <w:i/>
          <w:sz w:val="24"/>
          <w:szCs w:val="24"/>
        </w:rPr>
        <w:t xml:space="preserve">American Optometric Association, </w:t>
      </w:r>
      <w:r w:rsidRPr="00A3204A">
        <w:rPr>
          <w:rFonts w:ascii="Times New Roman" w:hAnsi="Times New Roman" w:cs="Times New Roman"/>
          <w:sz w:val="24"/>
          <w:szCs w:val="24"/>
        </w:rPr>
        <w:t xml:space="preserve">337-339. DOI:10.1016/j.optm.2011.03.006.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Ciuffreda, K. J., Rutner, D., Kapoor, N., Suchoff, </w:t>
      </w:r>
      <w:smartTag w:uri="urn:schemas-microsoft-com:office:smarttags" w:element="place">
        <w:r w:rsidRPr="00A3204A">
          <w:rPr>
            <w:rFonts w:ascii="Times New Roman" w:hAnsi="Times New Roman" w:cs="Times New Roman"/>
            <w:sz w:val="24"/>
            <w:szCs w:val="24"/>
          </w:rPr>
          <w:t>I.</w:t>
        </w:r>
      </w:smartTag>
      <w:r w:rsidRPr="00A3204A">
        <w:rPr>
          <w:rFonts w:ascii="Times New Roman" w:hAnsi="Times New Roman" w:cs="Times New Roman"/>
          <w:sz w:val="24"/>
          <w:szCs w:val="24"/>
        </w:rPr>
        <w:t xml:space="preserve"> B., &amp; Han, M. E. (2008). Vision therapy for oculomotor dysfunctions in acquired brain injury: A retrospective analysis. </w:t>
      </w:r>
      <w:r w:rsidRPr="00A3204A">
        <w:rPr>
          <w:rFonts w:ascii="Times New Roman" w:hAnsi="Times New Roman" w:cs="Times New Roman"/>
          <w:i/>
          <w:sz w:val="24"/>
          <w:szCs w:val="24"/>
        </w:rPr>
        <w:t xml:space="preserve">Optometry, 79, </w:t>
      </w:r>
      <w:r w:rsidRPr="00A3204A">
        <w:rPr>
          <w:rFonts w:ascii="Times New Roman" w:hAnsi="Times New Roman" w:cs="Times New Roman"/>
          <w:sz w:val="24"/>
          <w:szCs w:val="24"/>
        </w:rPr>
        <w:t xml:space="preserve">18-22. DOI:10.1016/j.optm.2007.10.004.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Clark, H., Lazarus, C., Arvedson, J., Schooling, T., &amp; Frymark, T. (2009). Evidence-based systematic review: Effects of neuromuscular electrical stimulation on swallowing and neural activation. </w:t>
      </w:r>
      <w:r w:rsidRPr="00A3204A">
        <w:rPr>
          <w:rFonts w:ascii="Times New Roman" w:hAnsi="Times New Roman" w:cs="Times New Roman"/>
          <w:i/>
          <w:sz w:val="24"/>
          <w:szCs w:val="24"/>
        </w:rPr>
        <w:t xml:space="preserve">American Journal of Speech-Language Pathology, 18, </w:t>
      </w:r>
      <w:r w:rsidRPr="00A3204A">
        <w:rPr>
          <w:rFonts w:ascii="Times New Roman" w:hAnsi="Times New Roman" w:cs="Times New Roman"/>
          <w:sz w:val="24"/>
          <w:szCs w:val="24"/>
        </w:rPr>
        <w:t>361–375. DOI:10.1058-0360/09/1804-0361.</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Clifton, G. L., Miller, E. R., Choi, S. C., Levin, H. S., McCauley, S., Smith, K. R., …Schwartz, M. (2001). </w:t>
      </w:r>
      <w:r w:rsidRPr="00A3204A">
        <w:rPr>
          <w:rFonts w:ascii="Times New Roman" w:hAnsi="Times New Roman" w:cs="Times New Roman"/>
          <w:bCs/>
          <w:sz w:val="24"/>
          <w:szCs w:val="24"/>
        </w:rPr>
        <w:t xml:space="preserve">Lack of effect of induction of hypothermia after acute brain injury. </w:t>
      </w:r>
      <w:r w:rsidRPr="00A3204A">
        <w:rPr>
          <w:rFonts w:ascii="Times New Roman" w:hAnsi="Times New Roman" w:cs="Times New Roman"/>
          <w:i/>
          <w:sz w:val="24"/>
          <w:szCs w:val="24"/>
        </w:rPr>
        <w:t xml:space="preserve">The </w:t>
      </w:r>
      <w:smartTag w:uri="urn:schemas-microsoft-com:office:smarttags" w:element="place">
        <w:r w:rsidRPr="00A3204A">
          <w:rPr>
            <w:rFonts w:ascii="Times New Roman" w:hAnsi="Times New Roman" w:cs="Times New Roman"/>
            <w:i/>
            <w:sz w:val="24"/>
            <w:szCs w:val="24"/>
          </w:rPr>
          <w:t>New England</w:t>
        </w:r>
      </w:smartTag>
      <w:r w:rsidRPr="00A3204A">
        <w:rPr>
          <w:rFonts w:ascii="Times New Roman" w:hAnsi="Times New Roman" w:cs="Times New Roman"/>
          <w:i/>
          <w:sz w:val="24"/>
          <w:szCs w:val="24"/>
        </w:rPr>
        <w:t xml:space="preserve"> Journal of Medicine, 344(8), </w:t>
      </w:r>
      <w:r w:rsidRPr="00A3204A">
        <w:rPr>
          <w:rFonts w:ascii="Times New Roman" w:hAnsi="Times New Roman" w:cs="Times New Roman"/>
          <w:sz w:val="24"/>
          <w:szCs w:val="24"/>
        </w:rPr>
        <w:t xml:space="preserve">556-563. </w:t>
      </w:r>
      <w:hyperlink r:id="rId30" w:history="1">
        <w:r w:rsidRPr="00A3204A">
          <w:rPr>
            <w:rFonts w:ascii="Times New Roman" w:hAnsi="Times New Roman" w:cs="Times New Roman"/>
            <w:color w:val="0000FF"/>
            <w:sz w:val="24"/>
            <w:szCs w:val="24"/>
            <w:u w:val="single"/>
          </w:rPr>
          <w:t>http://www.nejm.org</w:t>
        </w:r>
      </w:hyperlink>
      <w:r w:rsidRPr="00A3204A">
        <w:rPr>
          <w:rFonts w:ascii="Times New Roman" w:hAnsi="Times New Roman" w:cs="Times New Roman"/>
          <w:sz w:val="24"/>
          <w:szCs w:val="24"/>
          <w:u w:val="single"/>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779" w:name="Clifton2011"/>
      <w:bookmarkEnd w:id="779"/>
      <w:smartTag w:uri="urn:schemas-microsoft-com:office:smarttags" w:element="City">
        <w:smartTag w:uri="urn:schemas-microsoft-com:office:smarttags" w:element="place">
          <w:r w:rsidRPr="00A3204A">
            <w:rPr>
              <w:rFonts w:ascii="Times New Roman" w:hAnsi="Times New Roman" w:cs="Times New Roman"/>
              <w:sz w:val="24"/>
              <w:szCs w:val="24"/>
            </w:rPr>
            <w:t>Clifton</w:t>
          </w:r>
        </w:smartTag>
      </w:smartTag>
      <w:r w:rsidRPr="00A3204A">
        <w:rPr>
          <w:rFonts w:ascii="Times New Roman" w:hAnsi="Times New Roman" w:cs="Times New Roman"/>
          <w:sz w:val="24"/>
          <w:szCs w:val="24"/>
        </w:rPr>
        <w:t xml:space="preserve">, G. L., Valadka, A., Zygun, D., Coffey, C. S., &amp; Okonkwo, D. O. (2011). Very early hypothermia induction in patients with severe brain injury (the National Acute Brain Injury Study: Hypothermia II): a randomized trial. </w:t>
      </w:r>
      <w:r w:rsidRPr="00A3204A">
        <w:rPr>
          <w:rFonts w:ascii="Times New Roman" w:hAnsi="Times New Roman" w:cs="Times New Roman"/>
          <w:i/>
          <w:sz w:val="24"/>
          <w:szCs w:val="24"/>
        </w:rPr>
        <w:t xml:space="preserve">The Lancet, 10, </w:t>
      </w:r>
      <w:r w:rsidRPr="00A3204A">
        <w:rPr>
          <w:rFonts w:ascii="Times New Roman" w:hAnsi="Times New Roman" w:cs="Times New Roman"/>
          <w:sz w:val="24"/>
          <w:szCs w:val="24"/>
        </w:rPr>
        <w:t xml:space="preserve">131-139. </w:t>
      </w:r>
      <w:hyperlink r:id="rId31" w:history="1">
        <w:r w:rsidRPr="00A3204A">
          <w:rPr>
            <w:rFonts w:ascii="Times New Roman" w:hAnsi="Times New Roman" w:cs="Times New Roman"/>
            <w:color w:val="0000FF"/>
            <w:sz w:val="24"/>
            <w:szCs w:val="24"/>
            <w:u w:val="single"/>
          </w:rPr>
          <w:t>www. thelancet.com/neurology</w:t>
        </w:r>
      </w:hyperlink>
      <w:r w:rsidRPr="00A3204A">
        <w:rPr>
          <w:rFonts w:ascii="Times New Roman" w:hAnsi="Times New Roman" w:cs="Times New Roman"/>
          <w:sz w:val="24"/>
          <w:szCs w:val="24"/>
        </w:rPr>
        <w:t xml:space="preserve">.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bookmarkStart w:id="780" w:name="Coburn2006"/>
      <w:bookmarkStart w:id="781" w:name="Schneider2007"/>
      <w:bookmarkEnd w:id="780"/>
      <w:bookmarkEnd w:id="781"/>
      <w:r w:rsidRPr="00A3204A">
        <w:rPr>
          <w:rFonts w:ascii="Times New Roman" w:hAnsi="Times New Roman" w:cs="Times New Roman"/>
          <w:sz w:val="24"/>
          <w:szCs w:val="24"/>
        </w:rPr>
        <w:t xml:space="preserve">Coburn, K., Lauterbach, E. C., Boutros, N. N., Black, K. J., Arciniegas, D. B., &amp; Coffey, C. E. (2006). </w:t>
      </w:r>
      <w:r w:rsidRPr="00A3204A">
        <w:rPr>
          <w:rFonts w:ascii="Times New Roman" w:hAnsi="Times New Roman" w:cs="Times New Roman"/>
          <w:bCs/>
          <w:sz w:val="24"/>
          <w:szCs w:val="24"/>
        </w:rPr>
        <w:t xml:space="preserve">The value of quantitative electroencephalography in clinical psychiatry: A report by the committee on research of the American Neuropsychiatric Association. </w:t>
      </w:r>
      <w:r w:rsidRPr="00A3204A">
        <w:rPr>
          <w:rFonts w:ascii="Times New Roman" w:hAnsi="Times New Roman" w:cs="Times New Roman"/>
          <w:i/>
          <w:sz w:val="24"/>
          <w:szCs w:val="24"/>
        </w:rPr>
        <w:t xml:space="preserve">The Journal of Neuropsychiatry and Clinical Neurosciences, 18, </w:t>
      </w:r>
      <w:r w:rsidRPr="00A3204A">
        <w:rPr>
          <w:rFonts w:ascii="Times New Roman" w:hAnsi="Times New Roman" w:cs="Times New Roman"/>
          <w:sz w:val="24"/>
          <w:szCs w:val="24"/>
        </w:rPr>
        <w:t xml:space="preserve">460-500. </w:t>
      </w:r>
      <w:hyperlink r:id="rId32" w:history="1">
        <w:r w:rsidRPr="00A3204A">
          <w:rPr>
            <w:rFonts w:ascii="Times New Roman" w:hAnsi="Times New Roman" w:cs="Times New Roman"/>
            <w:iCs/>
            <w:color w:val="0000FF"/>
            <w:sz w:val="24"/>
            <w:szCs w:val="24"/>
            <w:u w:val="single"/>
          </w:rPr>
          <w:t>http://neuro.psychiatryonline.org</w:t>
        </w:r>
      </w:hyperlink>
      <w:r w:rsidRPr="00A3204A">
        <w:rPr>
          <w:rFonts w:ascii="Times New Roman" w:hAnsi="Times New Roman" w:cs="Times New Roman"/>
          <w:iCs/>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Cohen, H. S. (2006). Disability and rehabilitation in the dizzy patient. </w:t>
      </w:r>
      <w:r w:rsidRPr="00A3204A">
        <w:rPr>
          <w:rFonts w:ascii="Times New Roman" w:hAnsi="Times New Roman" w:cs="Times New Roman"/>
          <w:i/>
          <w:sz w:val="24"/>
          <w:szCs w:val="24"/>
        </w:rPr>
        <w:t xml:space="preserve">Current Opinion in Neurology, 19, </w:t>
      </w:r>
      <w:r w:rsidRPr="00A3204A">
        <w:rPr>
          <w:rFonts w:ascii="Times New Roman" w:hAnsi="Times New Roman" w:cs="Times New Roman"/>
          <w:sz w:val="24"/>
          <w:szCs w:val="24"/>
        </w:rPr>
        <w:t xml:space="preserve">49–54.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lastRenderedPageBreak/>
        <w:t>Cohen H. S., &amp; Kimball, K. T. (2008). Usefulness of some current balance tests for identifying individuals with disequilibrium due to vestibular impairments</w:t>
      </w:r>
      <w:r w:rsidRPr="00A3204A">
        <w:rPr>
          <w:rFonts w:ascii="Times New Roman" w:hAnsi="Times New Roman" w:cs="Times New Roman"/>
          <w:i/>
          <w:sz w:val="24"/>
          <w:szCs w:val="24"/>
        </w:rPr>
        <w:t>. Journal of Vestibular Research, 18,</w:t>
      </w:r>
      <w:r w:rsidRPr="00A3204A">
        <w:rPr>
          <w:rFonts w:ascii="Times New Roman" w:hAnsi="Times New Roman" w:cs="Times New Roman"/>
          <w:sz w:val="24"/>
          <w:szCs w:val="24"/>
        </w:rPr>
        <w:t xml:space="preserve"> 1-16. </w:t>
      </w:r>
      <w:hyperlink r:id="rId33" w:history="1">
        <w:r w:rsidRPr="00A3204A">
          <w:rPr>
            <w:rFonts w:ascii="Times New Roman" w:hAnsi="Times New Roman" w:cs="Times New Roman"/>
            <w:color w:val="0000FF"/>
            <w:sz w:val="24"/>
            <w:szCs w:val="24"/>
            <w:u w:val="single"/>
          </w:rPr>
          <w:t>hcohen@bem.tmc.edu</w:t>
        </w:r>
      </w:hyperlink>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Cohen, H. S., &amp; Sangi-Haghpeykar, H. (2010). Canalith repositioning variations for benign paroxysmal positional vertigo. </w:t>
      </w:r>
      <w:r w:rsidRPr="00A3204A">
        <w:rPr>
          <w:rFonts w:ascii="Times New Roman" w:hAnsi="Times New Roman" w:cs="Times New Roman"/>
          <w:i/>
          <w:sz w:val="24"/>
          <w:szCs w:val="24"/>
        </w:rPr>
        <w:t xml:space="preserve">Otolaryngology Head Neck Surgery, 143(3), </w:t>
      </w:r>
      <w:r w:rsidRPr="00A3204A">
        <w:rPr>
          <w:rFonts w:ascii="Times New Roman" w:hAnsi="Times New Roman" w:cs="Times New Roman"/>
          <w:sz w:val="24"/>
          <w:szCs w:val="24"/>
        </w:rPr>
        <w:t xml:space="preserve">1-12. </w:t>
      </w:r>
      <w:hyperlink r:id="rId34" w:history="1">
        <w:r w:rsidRPr="00A3204A">
          <w:rPr>
            <w:rFonts w:ascii="Times New Roman" w:hAnsi="Times New Roman" w:cs="Times New Roman"/>
            <w:color w:val="0000FF"/>
            <w:sz w:val="24"/>
            <w:szCs w:val="24"/>
            <w:u w:val="single"/>
          </w:rPr>
          <w:t>hcohen@bem.tmc.edu</w:t>
        </w:r>
      </w:hyperlink>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782" w:name="Colcomb2003"/>
      <w:bookmarkEnd w:id="782"/>
      <w:r w:rsidRPr="00A3204A">
        <w:rPr>
          <w:rFonts w:ascii="Times New Roman" w:hAnsi="Times New Roman" w:cs="Times New Roman"/>
          <w:sz w:val="24"/>
          <w:szCs w:val="24"/>
        </w:rPr>
        <w:t xml:space="preserve">Colcombe, S., &amp; Kramer, A. F. (2003). Fitness effects on the cognitive function of older adults: A meta-analytic study. </w:t>
      </w:r>
      <w:r w:rsidRPr="00A3204A">
        <w:rPr>
          <w:rFonts w:ascii="Times New Roman" w:hAnsi="Times New Roman" w:cs="Times New Roman"/>
          <w:i/>
          <w:sz w:val="24"/>
          <w:szCs w:val="24"/>
        </w:rPr>
        <w:t>Psychological Science, 14(2),</w:t>
      </w:r>
      <w:r w:rsidRPr="00A3204A">
        <w:rPr>
          <w:rFonts w:ascii="Times New Roman" w:hAnsi="Times New Roman" w:cs="Times New Roman"/>
          <w:sz w:val="24"/>
          <w:szCs w:val="24"/>
        </w:rPr>
        <w:t xml:space="preserve"> 125-130.</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783" w:name="Colcomb2004"/>
      <w:bookmarkEnd w:id="783"/>
      <w:r w:rsidRPr="00A3204A">
        <w:rPr>
          <w:rFonts w:ascii="Times New Roman" w:hAnsi="Times New Roman" w:cs="Times New Roman"/>
          <w:sz w:val="24"/>
          <w:szCs w:val="24"/>
        </w:rPr>
        <w:t xml:space="preserve">Colcombe, S, Kramer, A. F., McAuley, E., Erickson, K. I., &amp; Scalf, P. (2004). </w:t>
      </w:r>
      <w:r w:rsidRPr="00A3204A">
        <w:rPr>
          <w:rFonts w:ascii="Times New Roman" w:hAnsi="Times New Roman" w:cs="Times New Roman"/>
          <w:bCs/>
          <w:sz w:val="24"/>
          <w:szCs w:val="24"/>
        </w:rPr>
        <w:t>Neurocognitive aging and cardiovascular fitness r</w:t>
      </w:r>
      <w:r w:rsidRPr="00A3204A">
        <w:rPr>
          <w:rFonts w:ascii="Times New Roman" w:hAnsi="Times New Roman" w:cs="Times New Roman"/>
          <w:iCs/>
          <w:sz w:val="24"/>
          <w:szCs w:val="24"/>
        </w:rPr>
        <w:t xml:space="preserve">ecent findings and future directions. </w:t>
      </w:r>
      <w:r w:rsidRPr="00A3204A">
        <w:rPr>
          <w:rFonts w:ascii="Times New Roman" w:hAnsi="Times New Roman" w:cs="Times New Roman"/>
          <w:i/>
          <w:iCs/>
          <w:sz w:val="24"/>
          <w:szCs w:val="24"/>
        </w:rPr>
        <w:t>Journal of Molecular Neuroscience, 24,</w:t>
      </w:r>
      <w:r w:rsidRPr="00A3204A">
        <w:rPr>
          <w:rFonts w:ascii="Times New Roman" w:hAnsi="Times New Roman" w:cs="Times New Roman"/>
          <w:iCs/>
          <w:sz w:val="24"/>
          <w:szCs w:val="24"/>
        </w:rPr>
        <w:t xml:space="preserve"> 9-14.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784" w:name="CCMCnd"/>
      <w:bookmarkEnd w:id="784"/>
      <w:r w:rsidRPr="00A3204A">
        <w:rPr>
          <w:rFonts w:ascii="Times New Roman" w:hAnsi="Times New Roman" w:cs="Times New Roman"/>
          <w:sz w:val="24"/>
          <w:szCs w:val="24"/>
        </w:rPr>
        <w:t xml:space="preserve">Commission for Case Manager Certification. (n.d) Professional case manager. </w:t>
      </w:r>
      <w:r w:rsidRPr="00A3204A">
        <w:rPr>
          <w:rFonts w:ascii="Times New Roman" w:hAnsi="Times New Roman" w:cs="Times New Roman"/>
          <w:bCs/>
          <w:sz w:val="24"/>
          <w:szCs w:val="24"/>
        </w:rPr>
        <w:t>Retrieved October 2012,  from</w:t>
      </w:r>
      <w:r w:rsidRPr="00A3204A">
        <w:rPr>
          <w:rFonts w:ascii="Times New Roman" w:hAnsi="Times New Roman" w:cs="Times New Roman"/>
          <w:sz w:val="24"/>
          <w:szCs w:val="24"/>
        </w:rPr>
        <w:t> </w:t>
      </w:r>
      <w:hyperlink r:id="rId35" w:history="1">
        <w:r w:rsidRPr="00A3204A">
          <w:rPr>
            <w:rFonts w:ascii="Times New Roman" w:hAnsi="Times New Roman" w:cs="Times New Roman"/>
            <w:color w:val="0000FF"/>
            <w:sz w:val="24"/>
            <w:szCs w:val="24"/>
            <w:u w:val="single"/>
          </w:rPr>
          <w:t>http://ccmcertification.org/case-managers/professional-case-manger</w:t>
        </w:r>
      </w:hyperlink>
      <w:r w:rsidRPr="00A3204A">
        <w:rPr>
          <w:rFonts w:ascii="Times New Roman" w:hAnsi="Times New Roman" w:cs="Times New Roman"/>
          <w:sz w:val="24"/>
          <w:szCs w:val="24"/>
        </w:rPr>
        <w:t>.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785" w:name="CongressRec2010"/>
      <w:bookmarkEnd w:id="785"/>
      <w:r w:rsidRPr="00A3204A">
        <w:rPr>
          <w:rFonts w:ascii="Times New Roman" w:hAnsi="Times New Roman" w:cs="Times New Roman"/>
          <w:sz w:val="24"/>
          <w:szCs w:val="24"/>
        </w:rPr>
        <w:t xml:space="preserve">Congressional Record E462 (March 23, 2010).  Extensions of Remarks.  Speech of Honorable Bill Pascrell Jr.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Cooper, D. J., Rosenfeld, J. V., &amp; Davies, A. R. (2011a) Correspondence c</w:t>
      </w:r>
      <w:r w:rsidRPr="00A3204A">
        <w:rPr>
          <w:rFonts w:ascii="Times New Roman" w:hAnsi="Times New Roman" w:cs="Times New Roman"/>
          <w:bCs/>
          <w:sz w:val="24"/>
          <w:szCs w:val="24"/>
        </w:rPr>
        <w:t xml:space="preserve">raniectomy in diffuse traumatic brain injury. </w:t>
      </w:r>
      <w:r w:rsidRPr="00A3204A">
        <w:rPr>
          <w:rFonts w:ascii="Times New Roman" w:hAnsi="Times New Roman" w:cs="Times New Roman"/>
          <w:i/>
          <w:iCs/>
          <w:sz w:val="24"/>
          <w:szCs w:val="24"/>
        </w:rPr>
        <w:t xml:space="preserve">The </w:t>
      </w:r>
      <w:smartTag w:uri="urn:schemas-microsoft-com:office:smarttags" w:element="place">
        <w:r w:rsidRPr="00A3204A">
          <w:rPr>
            <w:rFonts w:ascii="Times New Roman" w:hAnsi="Times New Roman" w:cs="Times New Roman"/>
            <w:i/>
            <w:iCs/>
            <w:sz w:val="24"/>
            <w:szCs w:val="24"/>
          </w:rPr>
          <w:t>N</w:t>
        </w:r>
        <w:r w:rsidRPr="00A3204A">
          <w:rPr>
            <w:rFonts w:ascii="Times New Roman" w:hAnsi="Times New Roman" w:cs="Times New Roman"/>
            <w:i/>
            <w:sz w:val="24"/>
            <w:szCs w:val="24"/>
          </w:rPr>
          <w:t>ew England</w:t>
        </w:r>
      </w:smartTag>
      <w:r w:rsidRPr="00A3204A">
        <w:rPr>
          <w:rFonts w:ascii="Times New Roman" w:hAnsi="Times New Roman" w:cs="Times New Roman"/>
          <w:i/>
          <w:sz w:val="24"/>
          <w:szCs w:val="24"/>
        </w:rPr>
        <w:t xml:space="preserve"> Journal </w:t>
      </w:r>
      <w:r w:rsidRPr="00A3204A">
        <w:rPr>
          <w:rFonts w:ascii="Times New Roman" w:hAnsi="Times New Roman" w:cs="Times New Roman"/>
          <w:i/>
          <w:iCs/>
          <w:sz w:val="24"/>
          <w:szCs w:val="24"/>
        </w:rPr>
        <w:t>of M</w:t>
      </w:r>
      <w:r w:rsidRPr="00A3204A">
        <w:rPr>
          <w:rFonts w:ascii="Times New Roman" w:hAnsi="Times New Roman" w:cs="Times New Roman"/>
          <w:i/>
          <w:sz w:val="24"/>
          <w:szCs w:val="24"/>
        </w:rPr>
        <w:t xml:space="preserve">edicine, 365(4), </w:t>
      </w:r>
      <w:r w:rsidRPr="00A3204A">
        <w:rPr>
          <w:rFonts w:ascii="Times New Roman" w:hAnsi="Times New Roman" w:cs="Times New Roman"/>
          <w:sz w:val="24"/>
          <w:szCs w:val="24"/>
        </w:rPr>
        <w:t xml:space="preserve">373-376. </w:t>
      </w:r>
      <w:hyperlink r:id="rId36" w:history="1">
        <w:r w:rsidRPr="00A3204A">
          <w:rPr>
            <w:rFonts w:ascii="Times New Roman" w:hAnsi="Times New Roman" w:cs="Times New Roman"/>
            <w:color w:val="0000FF"/>
            <w:sz w:val="24"/>
            <w:szCs w:val="24"/>
            <w:u w:val="single"/>
          </w:rPr>
          <w:t>http://www.nejm.org</w:t>
        </w:r>
      </w:hyperlink>
      <w:r w:rsidRPr="00A3204A">
        <w:rPr>
          <w:rFonts w:ascii="Times New Roman" w:hAnsi="Times New Roman" w:cs="Times New Roman"/>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786" w:name="Cooper2011b"/>
      <w:bookmarkEnd w:id="786"/>
      <w:r w:rsidRPr="00A3204A">
        <w:rPr>
          <w:rFonts w:ascii="Times New Roman" w:hAnsi="Times New Roman" w:cs="Times New Roman"/>
          <w:sz w:val="24"/>
          <w:szCs w:val="24"/>
        </w:rPr>
        <w:t xml:space="preserve">Cooper, D. J., Rosenfeld, J. V., Murray, L., Arabi, Y. M., Davies, A. R., D’Urso, P.,… Wolfe, R. (2011b). Decompressive craniectomy in diffuse traumatic brain injury. </w:t>
      </w:r>
      <w:r w:rsidRPr="00A3204A">
        <w:rPr>
          <w:rFonts w:ascii="Times New Roman" w:hAnsi="Times New Roman" w:cs="Times New Roman"/>
          <w:i/>
          <w:sz w:val="24"/>
          <w:szCs w:val="24"/>
        </w:rPr>
        <w:t xml:space="preserve">The </w:t>
      </w:r>
      <w:smartTag w:uri="urn:schemas-microsoft-com:office:smarttags" w:element="place">
        <w:r w:rsidRPr="00A3204A">
          <w:rPr>
            <w:rFonts w:ascii="Times New Roman" w:hAnsi="Times New Roman" w:cs="Times New Roman"/>
            <w:i/>
            <w:sz w:val="24"/>
            <w:szCs w:val="24"/>
          </w:rPr>
          <w:t>New England</w:t>
        </w:r>
      </w:smartTag>
      <w:r w:rsidRPr="00A3204A">
        <w:rPr>
          <w:rFonts w:ascii="Times New Roman" w:hAnsi="Times New Roman" w:cs="Times New Roman"/>
          <w:i/>
          <w:sz w:val="24"/>
          <w:szCs w:val="24"/>
        </w:rPr>
        <w:t xml:space="preserve"> Journal of Medicine, 364(16),</w:t>
      </w:r>
      <w:r w:rsidRPr="00A3204A">
        <w:rPr>
          <w:rFonts w:ascii="Times New Roman" w:hAnsi="Times New Roman" w:cs="Times New Roman"/>
          <w:sz w:val="24"/>
          <w:szCs w:val="24"/>
        </w:rPr>
        <w:t xml:space="preserve"> 1493-1502. DOI: 10.1056/NEJMoa1102077.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bookmarkStart w:id="787" w:name="Costa2005"/>
      <w:bookmarkEnd w:id="787"/>
      <w:r w:rsidRPr="00A3204A">
        <w:rPr>
          <w:rFonts w:ascii="Times New Roman" w:hAnsi="Times New Roman" w:cs="Times New Roman"/>
          <w:bCs/>
          <w:sz w:val="24"/>
          <w:szCs w:val="24"/>
        </w:rPr>
        <w:t xml:space="preserve">Costa, J., Espírito-Santo, C. C., Borges, A. A., Ferreira, J., Coelho, M. M., Moore, P., &amp; Sampaio, C. (2005). Botulinum toxin type A therapy for cervical dystonia (Review). </w:t>
      </w:r>
      <w:r w:rsidRPr="00A3204A">
        <w:rPr>
          <w:rFonts w:ascii="Times New Roman" w:hAnsi="Times New Roman" w:cs="Times New Roman"/>
          <w:i/>
          <w:sz w:val="24"/>
          <w:szCs w:val="24"/>
        </w:rPr>
        <w:t>Cochrane Database of Systematic Reviews</w:t>
      </w:r>
      <w:r w:rsidRPr="00A3204A">
        <w:rPr>
          <w:rFonts w:ascii="Times New Roman" w:hAnsi="Times New Roman" w:cs="Times New Roman"/>
          <w:bCs/>
          <w:i/>
          <w:sz w:val="24"/>
          <w:szCs w:val="24"/>
        </w:rPr>
        <w:t xml:space="preserve">, 1, </w:t>
      </w:r>
      <w:r w:rsidRPr="00A3204A">
        <w:rPr>
          <w:rFonts w:ascii="Times New Roman" w:hAnsi="Times New Roman" w:cs="Times New Roman"/>
          <w:bCs/>
          <w:sz w:val="24"/>
          <w:szCs w:val="24"/>
        </w:rPr>
        <w:t xml:space="preserve">1-71. DOI: 10.1002/14651858.CD003633.pub2. </w:t>
      </w:r>
      <w:hyperlink r:id="rId37" w:history="1">
        <w:r w:rsidRPr="00A3204A">
          <w:rPr>
            <w:rFonts w:ascii="Times New Roman" w:hAnsi="Times New Roman" w:cs="Times New Roman"/>
            <w:bCs/>
            <w:color w:val="0000FF"/>
            <w:sz w:val="24"/>
            <w:szCs w:val="24"/>
            <w:u w:val="single"/>
          </w:rPr>
          <w:t>http://www.thecochranelibrary.com</w:t>
        </w:r>
      </w:hyperlink>
      <w:r w:rsidRPr="00A3204A">
        <w:rPr>
          <w:rFonts w:ascii="Times New Roman" w:hAnsi="Times New Roman" w:cs="Times New Roman"/>
          <w:bCs/>
          <w:sz w:val="24"/>
          <w:szCs w:val="24"/>
        </w:rPr>
        <w:t xml:space="preserve">.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r w:rsidRPr="00A3204A">
        <w:rPr>
          <w:rFonts w:ascii="Times New Roman" w:hAnsi="Times New Roman" w:cs="Times New Roman"/>
          <w:bCs/>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Coupar, F., Pollock, A., van Wijck, F., Morris, J., &amp; Langhorne, P. (2010). Simultaneous bilateral training for improving arm function after stroke. </w:t>
      </w:r>
      <w:r w:rsidRPr="00A3204A">
        <w:rPr>
          <w:rFonts w:ascii="Times New Roman" w:hAnsi="Times New Roman" w:cs="Times New Roman"/>
          <w:i/>
          <w:iCs/>
          <w:sz w:val="24"/>
          <w:szCs w:val="24"/>
        </w:rPr>
        <w:t xml:space="preserve">Cochrane Database of Systematic Reviews, 4, </w:t>
      </w:r>
      <w:r w:rsidRPr="00A3204A">
        <w:rPr>
          <w:rFonts w:ascii="Times New Roman" w:hAnsi="Times New Roman" w:cs="Times New Roman"/>
          <w:iCs/>
          <w:sz w:val="24"/>
          <w:szCs w:val="24"/>
        </w:rPr>
        <w:t xml:space="preserve">1-62. </w:t>
      </w:r>
      <w:r w:rsidRPr="00A3204A">
        <w:rPr>
          <w:rFonts w:ascii="Times New Roman" w:hAnsi="Times New Roman" w:cs="Times New Roman"/>
          <w:sz w:val="24"/>
          <w:szCs w:val="24"/>
        </w:rPr>
        <w:t>DOI: 10.1002/14651858.CD006432.pub2.</w:t>
      </w:r>
    </w:p>
    <w:p w:rsidR="00A3204A" w:rsidRPr="00A3204A" w:rsidRDefault="00A3204A" w:rsidP="009C3DC2">
      <w:pPr>
        <w:numPr>
          <w:ilvl w:val="0"/>
          <w:numId w:val="33"/>
        </w:numPr>
        <w:spacing w:before="0" w:after="120"/>
        <w:rPr>
          <w:rFonts w:ascii="Times New Roman" w:hAnsi="Times New Roman" w:cs="Times New Roman"/>
          <w:i/>
          <w:sz w:val="24"/>
          <w:szCs w:val="24"/>
        </w:rPr>
      </w:pPr>
      <w:r w:rsidRPr="00A3204A">
        <w:rPr>
          <w:rFonts w:ascii="Times New Roman" w:hAnsi="Times New Roman" w:cs="Times New Roman"/>
          <w:sz w:val="24"/>
          <w:szCs w:val="24"/>
        </w:rPr>
        <w:t xml:space="preserve">CRASH trial collaborators. (2004). Effect of intravenous corticosteroids on death within 14 days in 10,008 adults with clinically significant head injury (MRC CRASH trial): randomized placebo-controlled trial. </w:t>
      </w:r>
      <w:r w:rsidRPr="00A3204A">
        <w:rPr>
          <w:rFonts w:ascii="Times New Roman" w:hAnsi="Times New Roman" w:cs="Times New Roman"/>
          <w:i/>
          <w:sz w:val="24"/>
          <w:szCs w:val="24"/>
        </w:rPr>
        <w:t xml:space="preserve">The Lancet, 364, </w:t>
      </w:r>
      <w:r w:rsidRPr="00A3204A">
        <w:rPr>
          <w:rFonts w:ascii="Times New Roman" w:hAnsi="Times New Roman" w:cs="Times New Roman"/>
          <w:sz w:val="24"/>
          <w:szCs w:val="24"/>
        </w:rPr>
        <w:t xml:space="preserve">1321-1328.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r w:rsidRPr="00A3204A">
        <w:rPr>
          <w:rFonts w:ascii="Times New Roman" w:hAnsi="Times New Roman" w:cs="Times New Roman"/>
          <w:i/>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788" w:name="CRASH2005"/>
      <w:bookmarkEnd w:id="788"/>
      <w:r w:rsidRPr="00A3204A">
        <w:rPr>
          <w:rFonts w:ascii="Times New Roman" w:hAnsi="Times New Roman" w:cs="Times New Roman"/>
          <w:sz w:val="24"/>
          <w:szCs w:val="24"/>
        </w:rPr>
        <w:t xml:space="preserve">CRASH trial collaborators. (2005). Final results of MRC CRASH, a randomized placebo-controlled trial of intravenous corticosteroid in adults with head injury – outcomes at 6 months. </w:t>
      </w:r>
      <w:r w:rsidRPr="00A3204A">
        <w:rPr>
          <w:rFonts w:ascii="Times New Roman" w:hAnsi="Times New Roman" w:cs="Times New Roman"/>
          <w:i/>
          <w:sz w:val="24"/>
          <w:szCs w:val="24"/>
        </w:rPr>
        <w:t xml:space="preserve">The Lancet, 365, </w:t>
      </w:r>
      <w:r w:rsidRPr="00A3204A">
        <w:rPr>
          <w:rFonts w:ascii="Times New Roman" w:hAnsi="Times New Roman" w:cs="Times New Roman"/>
          <w:sz w:val="24"/>
          <w:szCs w:val="24"/>
        </w:rPr>
        <w:t xml:space="preserve">1957-1959. DOI:10.1016/50140-6736(05)6652X.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color w:val="231F20"/>
          <w:sz w:val="24"/>
          <w:szCs w:val="24"/>
        </w:rPr>
        <w:t xml:space="preserve">Cullen, N., Bayley, M., Bayona, N., Hilditch, M., &amp; Aubut, J. (2007). Management of heterotopic ossification and venous thromboembolism following acquired brain injury. </w:t>
      </w:r>
      <w:r w:rsidRPr="00A3204A">
        <w:rPr>
          <w:rFonts w:ascii="Times New Roman" w:hAnsi="Times New Roman" w:cs="Times New Roman"/>
          <w:i/>
          <w:color w:val="231F20"/>
          <w:sz w:val="24"/>
          <w:szCs w:val="24"/>
        </w:rPr>
        <w:t xml:space="preserve">Brain Injury, 21(2), </w:t>
      </w:r>
      <w:r w:rsidRPr="00A3204A">
        <w:rPr>
          <w:rFonts w:ascii="Times New Roman" w:hAnsi="Times New Roman" w:cs="Times New Roman"/>
          <w:color w:val="231F20"/>
          <w:sz w:val="24"/>
          <w:szCs w:val="24"/>
        </w:rPr>
        <w:t>215-230. DOI: 10.1080/02699050701202027.</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789" w:name="Currie2000"/>
      <w:bookmarkEnd w:id="789"/>
      <w:r w:rsidRPr="00A3204A">
        <w:rPr>
          <w:rFonts w:ascii="Times New Roman" w:hAnsi="Times New Roman"/>
          <w:sz w:val="24"/>
        </w:rPr>
        <w:lastRenderedPageBreak/>
        <w:t xml:space="preserve">Currie, SR, &amp; </w:t>
      </w:r>
      <w:smartTag w:uri="urn:schemas-microsoft-com:office:smarttags" w:element="place">
        <w:smartTag w:uri="urn:schemas-microsoft-com:office:smarttags" w:element="City">
          <w:r w:rsidRPr="00A3204A">
            <w:rPr>
              <w:rFonts w:ascii="Times New Roman" w:hAnsi="Times New Roman"/>
              <w:sz w:val="24"/>
            </w:rPr>
            <w:t>Wilson</w:t>
          </w:r>
        </w:smartTag>
      </w:smartTag>
      <w:r w:rsidRPr="00A3204A">
        <w:rPr>
          <w:rFonts w:ascii="Times New Roman" w:hAnsi="Times New Roman"/>
          <w:sz w:val="24"/>
        </w:rPr>
        <w:t xml:space="preserve">, KG. (2000). Cognitive-Behavioral Treatment of Insomnia Secondary to Chronic Pain. </w:t>
      </w:r>
      <w:r w:rsidRPr="00A3204A">
        <w:rPr>
          <w:rFonts w:ascii="Times New Roman" w:hAnsi="Times New Roman"/>
          <w:i/>
          <w:sz w:val="24"/>
        </w:rPr>
        <w:t xml:space="preserve"> Journal of Consulting and Clinical Psychology.  68</w:t>
      </w:r>
      <w:r w:rsidRPr="00A3204A">
        <w:rPr>
          <w:rFonts w:ascii="Times New Roman" w:hAnsi="Times New Roman"/>
          <w:sz w:val="24"/>
        </w:rPr>
        <w:t xml:space="preserve">; 3, 407-416.  Assessment: Adequate. </w:t>
      </w:r>
      <w:r w:rsidRPr="00A3204A">
        <w:rPr>
          <w:rFonts w:ascii="Times New Roman" w:hAnsi="Times New Roman"/>
          <w:i/>
          <w:sz w:val="24"/>
          <w:highlight w:val="yellow"/>
        </w:rPr>
        <w:t>***Used in Evidence Statement</w:t>
      </w:r>
    </w:p>
    <w:p w:rsidR="00A3204A" w:rsidRPr="00A3204A" w:rsidRDefault="00A3204A" w:rsidP="009C3DC2">
      <w:pPr>
        <w:numPr>
          <w:ilvl w:val="0"/>
          <w:numId w:val="33"/>
        </w:numPr>
        <w:spacing w:before="0" w:after="120"/>
        <w:rPr>
          <w:rFonts w:ascii="Times New Roman" w:hAnsi="Times New Roman" w:cs="Times New Roman"/>
          <w:i/>
          <w:sz w:val="24"/>
          <w:szCs w:val="24"/>
        </w:rPr>
      </w:pPr>
      <w:bookmarkStart w:id="790" w:name="Dahlberg2007"/>
      <w:bookmarkEnd w:id="790"/>
      <w:r w:rsidRPr="00A3204A">
        <w:rPr>
          <w:rFonts w:ascii="Times New Roman" w:hAnsi="Times New Roman" w:cs="Times New Roman"/>
          <w:sz w:val="24"/>
          <w:szCs w:val="24"/>
        </w:rPr>
        <w:t xml:space="preserve">Dahlberg, C., Cusick, C. P., Hawley, L. A., Newman, J. K., Morey, C. E. Harrison-Felix, C. L., Whiteneck, G. G., (2007). </w:t>
      </w:r>
      <w:r w:rsidRPr="00A3204A">
        <w:rPr>
          <w:rFonts w:ascii="Times New Roman" w:hAnsi="Times New Roman" w:cs="Times New Roman"/>
          <w:bCs/>
          <w:sz w:val="24"/>
          <w:szCs w:val="24"/>
        </w:rPr>
        <w:t xml:space="preserve">Treatment efficacy of social communication skills training after traumatic brain injury: A randomized treatment and deferred treatment controlled trial. </w:t>
      </w:r>
      <w:r w:rsidRPr="00A3204A">
        <w:rPr>
          <w:rFonts w:ascii="Times New Roman" w:hAnsi="Times New Roman" w:cs="Times New Roman"/>
          <w:bCs/>
          <w:i/>
          <w:sz w:val="24"/>
          <w:szCs w:val="24"/>
        </w:rPr>
        <w:t xml:space="preserve">Archives of Physical Medicine and Rehabilitation, 88, </w:t>
      </w:r>
      <w:r w:rsidRPr="00A3204A">
        <w:rPr>
          <w:rFonts w:ascii="Times New Roman" w:hAnsi="Times New Roman" w:cs="Times New Roman"/>
          <w:bCs/>
          <w:sz w:val="24"/>
          <w:szCs w:val="24"/>
        </w:rPr>
        <w:t xml:space="preserve">1561-1573. DOI: 10.1016/j.apmr.2007.07.033.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r w:rsidRPr="00A3204A">
        <w:rPr>
          <w:rFonts w:ascii="Times New Roman" w:hAnsi="Times New Roman" w:cs="Times New Roman"/>
          <w:i/>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Danish, S. F., Barone, D., Lega, B. C., &amp; Stein, S. C. (2009). Quality of life after hemicraniectomy for traumatic brain injury in adults. </w:t>
      </w:r>
      <w:r w:rsidRPr="00A3204A">
        <w:rPr>
          <w:rFonts w:ascii="Times New Roman" w:hAnsi="Times New Roman" w:cs="Times New Roman"/>
          <w:i/>
          <w:sz w:val="24"/>
          <w:szCs w:val="24"/>
        </w:rPr>
        <w:t>Journal of Neurosurgery, 26(6),</w:t>
      </w:r>
      <w:r w:rsidRPr="00A3204A">
        <w:rPr>
          <w:rFonts w:ascii="Times New Roman" w:hAnsi="Times New Roman" w:cs="Times New Roman"/>
          <w:sz w:val="24"/>
          <w:szCs w:val="24"/>
        </w:rPr>
        <w:t xml:space="preserve"> E2. DOI: 10.3171/2009.3FOCUS945.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das Nair, R., &amp; Lincoln, N. (2007). Cognitive rehabilitation for memory deficits following stroke. </w:t>
      </w:r>
      <w:r w:rsidRPr="00A3204A">
        <w:rPr>
          <w:rFonts w:ascii="Times New Roman" w:hAnsi="Times New Roman" w:cs="Times New Roman"/>
          <w:i/>
          <w:iCs/>
          <w:sz w:val="24"/>
          <w:szCs w:val="24"/>
        </w:rPr>
        <w:t>Cochrane Database of Systematic Reviews, 3,</w:t>
      </w:r>
      <w:r w:rsidRPr="00A3204A">
        <w:rPr>
          <w:rFonts w:ascii="Times New Roman" w:hAnsi="Times New Roman" w:cs="Times New Roman"/>
          <w:iCs/>
          <w:sz w:val="24"/>
          <w:szCs w:val="24"/>
        </w:rPr>
        <w:t xml:space="preserve"> 1-20. </w:t>
      </w:r>
      <w:r w:rsidRPr="00A3204A">
        <w:rPr>
          <w:rFonts w:ascii="Times New Roman" w:hAnsi="Times New Roman" w:cs="Times New Roman"/>
          <w:sz w:val="24"/>
          <w:szCs w:val="24"/>
        </w:rPr>
        <w:t>DOI: 10.1002/14651858.CD002293.pub2.</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Dash, P. K., Zhao, J., Hergenroeder, G., &amp; Moore, A. N. (2010). Biomarkers for the diagnosis, prognosis, and evaluation of treatment efficacy for traumatic brain injury. </w:t>
      </w:r>
      <w:r w:rsidRPr="00A3204A">
        <w:rPr>
          <w:rFonts w:ascii="Times New Roman" w:hAnsi="Times New Roman" w:cs="Times New Roman"/>
          <w:i/>
          <w:sz w:val="24"/>
          <w:szCs w:val="24"/>
        </w:rPr>
        <w:t xml:space="preserve">The American Society for Experimental Neurotherapeutics, Inc., 7, </w:t>
      </w:r>
      <w:r w:rsidRPr="00A3204A">
        <w:rPr>
          <w:rFonts w:ascii="Times New Roman" w:hAnsi="Times New Roman" w:cs="Times New Roman"/>
          <w:sz w:val="24"/>
          <w:szCs w:val="24"/>
        </w:rPr>
        <w:t xml:space="preserve">100-114.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AdvP418B97" w:hAnsi="AdvP418B97" w:cs="AdvP418B97"/>
          <w:sz w:val="22"/>
          <w:szCs w:val="22"/>
        </w:rPr>
        <w:t xml:space="preserve">Dean, P J. A., O’Neill, D., &amp; Sterr, A. (2012). </w:t>
      </w:r>
      <w:r w:rsidRPr="00A3204A">
        <w:rPr>
          <w:rFonts w:ascii="Times New Roman" w:hAnsi="Times New Roman" w:cs="Times New Roman"/>
          <w:sz w:val="24"/>
          <w:szCs w:val="24"/>
        </w:rPr>
        <w:t xml:space="preserve">Post-concussion syndrome: Prevalence after mild traumatic brain injury in comparison with a sample without head injury. </w:t>
      </w:r>
      <w:r w:rsidRPr="00A3204A">
        <w:rPr>
          <w:rFonts w:ascii="Times New Roman" w:hAnsi="Times New Roman" w:cs="Times New Roman"/>
          <w:i/>
          <w:sz w:val="24"/>
          <w:szCs w:val="24"/>
        </w:rPr>
        <w:t>Brain Injury, January, 26(1),</w:t>
      </w:r>
      <w:r w:rsidRPr="00A3204A">
        <w:rPr>
          <w:rFonts w:ascii="Times New Roman" w:hAnsi="Times New Roman" w:cs="Times New Roman"/>
          <w:sz w:val="24"/>
          <w:szCs w:val="24"/>
        </w:rPr>
        <w:t xml:space="preserve"> 14–26. DOI: 10.3109/02699052.2011.635354.</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Dean, C. M., Richards, C. L., &amp; Malhouin, F. (2001). Walking speed over 10 metres overestimates locomotor capacity after stroke. </w:t>
      </w:r>
      <w:r w:rsidRPr="00A3204A">
        <w:rPr>
          <w:rFonts w:ascii="Times New Roman" w:hAnsi="Times New Roman" w:cs="Times New Roman"/>
          <w:i/>
          <w:sz w:val="24"/>
          <w:szCs w:val="24"/>
        </w:rPr>
        <w:t xml:space="preserve">Clinical Rehabilitation, 15, </w:t>
      </w:r>
      <w:r w:rsidRPr="00A3204A">
        <w:rPr>
          <w:rFonts w:ascii="Times New Roman" w:hAnsi="Times New Roman" w:cs="Times New Roman"/>
          <w:sz w:val="24"/>
          <w:szCs w:val="24"/>
        </w:rPr>
        <w:t>415-421.</w:t>
      </w:r>
      <w:r w:rsidRPr="00A3204A">
        <w:t xml:space="preserve"> </w:t>
      </w:r>
      <w:r w:rsidRPr="00A3204A">
        <w:rPr>
          <w:rFonts w:ascii="Times New Roman" w:hAnsi="Times New Roman" w:cs="Times New Roman"/>
          <w:sz w:val="24"/>
          <w:szCs w:val="24"/>
        </w:rPr>
        <w:t>DOI: 10.1191/026921501678310216.</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791" w:name="DefandVetsTBIctr2008"/>
      <w:bookmarkEnd w:id="791"/>
      <w:r w:rsidRPr="00A3204A">
        <w:rPr>
          <w:rFonts w:ascii="Times New Roman" w:hAnsi="Times New Roman" w:cs="Times New Roman"/>
          <w:sz w:val="24"/>
          <w:szCs w:val="24"/>
        </w:rPr>
        <w:t xml:space="preserve">Defense and </w:t>
      </w:r>
      <w:smartTag w:uri="urn:schemas-microsoft-com:office:smarttags" w:element="place">
        <w:smartTag w:uri="urn:schemas-microsoft-com:office:smarttags" w:element="PlaceName">
          <w:r w:rsidRPr="00A3204A">
            <w:rPr>
              <w:rFonts w:ascii="Times New Roman" w:hAnsi="Times New Roman" w:cs="Times New Roman"/>
              <w:sz w:val="24"/>
              <w:szCs w:val="24"/>
            </w:rPr>
            <w:t>Veterans</w:t>
          </w:r>
        </w:smartTag>
        <w:r w:rsidRPr="00A3204A">
          <w:rPr>
            <w:rFonts w:ascii="Times New Roman" w:hAnsi="Times New Roman" w:cs="Times New Roman"/>
            <w:sz w:val="24"/>
            <w:szCs w:val="24"/>
          </w:rPr>
          <w:t xml:space="preserve"> </w:t>
        </w:r>
        <w:smartTag w:uri="urn:schemas-microsoft-com:office:smarttags" w:element="PlaceName">
          <w:r w:rsidRPr="00A3204A">
            <w:rPr>
              <w:rFonts w:ascii="Times New Roman" w:hAnsi="Times New Roman" w:cs="Times New Roman"/>
              <w:sz w:val="24"/>
              <w:szCs w:val="24"/>
            </w:rPr>
            <w:t>Brain</w:t>
          </w:r>
        </w:smartTag>
        <w:r w:rsidRPr="00A3204A">
          <w:rPr>
            <w:rFonts w:ascii="Times New Roman" w:hAnsi="Times New Roman" w:cs="Times New Roman"/>
            <w:sz w:val="24"/>
            <w:szCs w:val="24"/>
          </w:rPr>
          <w:t xml:space="preserve"> </w:t>
        </w:r>
        <w:smartTag w:uri="urn:schemas-microsoft-com:office:smarttags" w:element="PlaceName">
          <w:r w:rsidRPr="00A3204A">
            <w:rPr>
              <w:rFonts w:ascii="Times New Roman" w:hAnsi="Times New Roman" w:cs="Times New Roman"/>
              <w:sz w:val="24"/>
              <w:szCs w:val="24"/>
            </w:rPr>
            <w:t>Injury</w:t>
          </w:r>
        </w:smartTag>
        <w:r w:rsidRPr="00A3204A">
          <w:rPr>
            <w:rFonts w:ascii="Times New Roman" w:hAnsi="Times New Roman" w:cs="Times New Roman"/>
            <w:sz w:val="24"/>
            <w:szCs w:val="24"/>
          </w:rPr>
          <w:t xml:space="preserve"> </w:t>
        </w:r>
        <w:smartTag w:uri="urn:schemas-microsoft-com:office:smarttags" w:element="PlaceType">
          <w:r w:rsidRPr="00A3204A">
            <w:rPr>
              <w:rFonts w:ascii="Times New Roman" w:hAnsi="Times New Roman" w:cs="Times New Roman"/>
              <w:sz w:val="24"/>
              <w:szCs w:val="24"/>
            </w:rPr>
            <w:t>Center</w:t>
          </w:r>
        </w:smartTag>
      </w:smartTag>
      <w:r w:rsidRPr="00A3204A">
        <w:rPr>
          <w:rFonts w:ascii="Times New Roman" w:hAnsi="Times New Roman" w:cs="Times New Roman"/>
          <w:sz w:val="24"/>
          <w:szCs w:val="24"/>
        </w:rPr>
        <w:t xml:space="preserve">. (2008). Defense and Veterans Brain Injury Center Consensus Conference on the acute management of concussion/mild traumatic brain injury (mTBI) in the deployed setting. 1-10.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792" w:name="DefCtrforExPsych2009"/>
      <w:bookmarkEnd w:id="792"/>
      <w:r w:rsidRPr="00A3204A">
        <w:rPr>
          <w:rFonts w:ascii="Times New Roman" w:hAnsi="Times New Roman" w:cs="Times New Roman"/>
          <w:sz w:val="24"/>
          <w:szCs w:val="24"/>
        </w:rPr>
        <w:t xml:space="preserve">Defense Centers for Excellence for Psychological Health and Traumatic Brain Injury. (2010a). Case management of concussion/mild TBI: Guidance document. </w:t>
      </w:r>
      <w:hyperlink r:id="rId38" w:history="1">
        <w:r w:rsidRPr="00A3204A">
          <w:rPr>
            <w:rFonts w:ascii="Times New Roman" w:hAnsi="Times New Roman" w:cs="Times New Roman"/>
            <w:color w:val="0000FF"/>
            <w:sz w:val="24"/>
            <w:szCs w:val="24"/>
            <w:u w:val="single"/>
          </w:rPr>
          <w:t>http://www.dcoe.health.mil.ForHealthPros/TBIInformation.aspx</w:t>
        </w:r>
      </w:hyperlink>
      <w:r w:rsidRPr="00A3204A">
        <w:rPr>
          <w:rFonts w:ascii="Times New Roman" w:hAnsi="Times New Roman" w:cs="Times New Roman"/>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Defense Centers for Excellence for Psychological Health and Traumatic Brain Injury. (2010b). Portable, field-based devices for the early diagnosis of mild traumatic brain injury. </w:t>
      </w:r>
      <w:hyperlink r:id="rId39" w:history="1">
        <w:r w:rsidRPr="00A3204A">
          <w:rPr>
            <w:rFonts w:ascii="Times New Roman" w:hAnsi="Times New Roman" w:cs="Times New Roman"/>
            <w:i/>
            <w:color w:val="0000FF"/>
            <w:sz w:val="24"/>
            <w:szCs w:val="24"/>
            <w:u w:val="single"/>
          </w:rPr>
          <w:t>http://www.dcoe.health.mil.ForHealthPros/TBIInformation.aspx</w:t>
        </w:r>
      </w:hyperlink>
      <w:r w:rsidRPr="00A3204A">
        <w:rPr>
          <w:rFonts w:ascii="Times New Roman" w:hAnsi="Times New Roman" w:cs="Times New Roman"/>
          <w:i/>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Defense Centers for Excellence for Psychological Health and Traumatic Brain Injury. (2009). Driving following traumatic brain injury: Clinical recommendations. </w:t>
      </w:r>
      <w:hyperlink r:id="rId40" w:history="1">
        <w:r w:rsidRPr="00A3204A">
          <w:rPr>
            <w:rFonts w:ascii="Times New Roman" w:hAnsi="Times New Roman" w:cs="Times New Roman"/>
            <w:i/>
            <w:color w:val="0000FF"/>
            <w:sz w:val="24"/>
            <w:szCs w:val="24"/>
            <w:u w:val="single"/>
          </w:rPr>
          <w:t>http://www.dcoe.health.mil.ForHealthPros/TBIInformation.aspx</w:t>
        </w:r>
      </w:hyperlink>
      <w:r w:rsidRPr="00A3204A">
        <w:rPr>
          <w:rFonts w:ascii="Times New Roman" w:hAnsi="Times New Roman" w:cs="Times New Roman"/>
          <w:i/>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Den Hertog, H. M., van der Worp, H. B., Tseng, M. C., &amp; Dippel, D. W. J. (2009). Cooling therapy for acute stroke. </w:t>
      </w:r>
      <w:r w:rsidRPr="00A3204A">
        <w:rPr>
          <w:rFonts w:ascii="Times New Roman" w:hAnsi="Times New Roman" w:cs="Times New Roman"/>
          <w:i/>
          <w:iCs/>
          <w:sz w:val="24"/>
          <w:szCs w:val="24"/>
        </w:rPr>
        <w:t>Cochrane Database of Systematic Reviews, 1,</w:t>
      </w:r>
      <w:r w:rsidRPr="00A3204A">
        <w:rPr>
          <w:rFonts w:ascii="Times New Roman" w:hAnsi="Times New Roman" w:cs="Times New Roman"/>
          <w:iCs/>
          <w:sz w:val="24"/>
          <w:szCs w:val="24"/>
        </w:rPr>
        <w:t xml:space="preserve"> 1-38. </w:t>
      </w:r>
      <w:r w:rsidRPr="00A3204A">
        <w:rPr>
          <w:rFonts w:ascii="Times New Roman" w:hAnsi="Times New Roman" w:cs="Times New Roman"/>
          <w:sz w:val="24"/>
          <w:szCs w:val="24"/>
        </w:rPr>
        <w:t>DOI: 10.1002/14651858.CD001247.pub2.</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lastRenderedPageBreak/>
        <w:t xml:space="preserve">Denise, P., Vouriot, A., Normand, H., Golding, J. F., &amp; Gresty, J. A. (2009). Effect of temporal relationship between respiration and body motion on motion sickness. </w:t>
      </w:r>
      <w:r w:rsidRPr="00A3204A">
        <w:rPr>
          <w:rFonts w:ascii="Times New Roman" w:hAnsi="Times New Roman" w:cs="Times New Roman"/>
          <w:i/>
          <w:sz w:val="24"/>
          <w:szCs w:val="24"/>
        </w:rPr>
        <w:t>Autonomic Neuroscience: Basic and Clinical, 151,</w:t>
      </w:r>
      <w:r w:rsidRPr="00A3204A">
        <w:rPr>
          <w:rFonts w:ascii="Times New Roman" w:hAnsi="Times New Roman" w:cs="Times New Roman"/>
          <w:sz w:val="24"/>
          <w:szCs w:val="24"/>
        </w:rPr>
        <w:t xml:space="preserve">142-146. DOI:10.1016/j. autney.209.06.007.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793" w:name="Derry2010"/>
      <w:bookmarkEnd w:id="793"/>
      <w:smartTag w:uri="urn:schemas-microsoft-com:office:smarttags" w:element="place">
        <w:r w:rsidRPr="00A3204A">
          <w:rPr>
            <w:rFonts w:ascii="Times New Roman" w:hAnsi="Times New Roman" w:cs="Times New Roman"/>
            <w:sz w:val="24"/>
            <w:szCs w:val="24"/>
          </w:rPr>
          <w:t>Derry</w:t>
        </w:r>
      </w:smartTag>
      <w:r w:rsidRPr="00A3204A">
        <w:rPr>
          <w:rFonts w:ascii="Times New Roman" w:hAnsi="Times New Roman" w:cs="Times New Roman"/>
          <w:sz w:val="24"/>
          <w:szCs w:val="24"/>
        </w:rPr>
        <w:t xml:space="preserve">, S., Moore, R. A., &amp; McQuay, H. J. (2010). Paracetamol (acetaminophen) with or without an antiemetic for acute migraine headaches in adults. </w:t>
      </w:r>
      <w:r w:rsidRPr="00A3204A">
        <w:rPr>
          <w:rFonts w:ascii="Times New Roman" w:hAnsi="Times New Roman" w:cs="Times New Roman"/>
          <w:i/>
          <w:sz w:val="24"/>
          <w:szCs w:val="24"/>
        </w:rPr>
        <w:t xml:space="preserve">Cochrane Database of Systematic Reviews, 11, </w:t>
      </w:r>
      <w:r w:rsidRPr="00A3204A">
        <w:rPr>
          <w:rFonts w:ascii="Times New Roman" w:hAnsi="Times New Roman" w:cs="Times New Roman"/>
          <w:sz w:val="24"/>
          <w:szCs w:val="24"/>
        </w:rPr>
        <w:t xml:space="preserve">1-55. DOI:10.1002/14651858. CD008040. pub2.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Diener, H. C., Dodick, D. W., Aurora, S. K., Turkel, C. C., DeGryse, R. E., Lipton, R. B., …Brin, M. F.,</w:t>
      </w:r>
      <w:r w:rsidRPr="00A3204A">
        <w:rPr>
          <w:rFonts w:ascii="Times New Roman" w:hAnsi="Times New Roman" w:cs="Times New Roman"/>
          <w:bCs/>
          <w:sz w:val="24"/>
          <w:szCs w:val="24"/>
        </w:rPr>
        <w:t xml:space="preserve"> (2010) OnabotulinumtoxinA for treatment of chronic migraine: Results from the double-blind, randomized, placebo-controlled phase of the PREEMPT 2 trial. </w:t>
      </w:r>
      <w:r w:rsidRPr="00A3204A">
        <w:rPr>
          <w:rFonts w:ascii="Times New Roman" w:hAnsi="Times New Roman" w:cs="Times New Roman"/>
          <w:i/>
          <w:iCs/>
          <w:sz w:val="24"/>
          <w:szCs w:val="24"/>
        </w:rPr>
        <w:t xml:space="preserve">Cephalalgia, </w:t>
      </w:r>
      <w:r w:rsidRPr="00A3204A">
        <w:rPr>
          <w:rFonts w:ascii="Times New Roman" w:hAnsi="Times New Roman" w:cs="Times New Roman"/>
          <w:i/>
          <w:sz w:val="24"/>
          <w:szCs w:val="24"/>
        </w:rPr>
        <w:t xml:space="preserve">30(7), </w:t>
      </w:r>
      <w:r w:rsidRPr="00A3204A">
        <w:rPr>
          <w:rFonts w:ascii="Times New Roman" w:hAnsi="Times New Roman" w:cs="Times New Roman"/>
          <w:sz w:val="24"/>
          <w:szCs w:val="24"/>
        </w:rPr>
        <w:t>804-814.</w:t>
      </w:r>
      <w:r w:rsidRPr="00A3204A">
        <w:rPr>
          <w:rFonts w:ascii="Times New Roman" w:hAnsi="Times New Roman" w:cs="Times New Roman"/>
          <w:i/>
          <w:sz w:val="24"/>
          <w:szCs w:val="24"/>
        </w:rPr>
        <w:t xml:space="preserve"> </w:t>
      </w:r>
      <w:r w:rsidRPr="00A3204A">
        <w:rPr>
          <w:rFonts w:ascii="Times New Roman" w:hAnsi="Times New Roman" w:cs="Times New Roman"/>
          <w:sz w:val="24"/>
          <w:szCs w:val="24"/>
        </w:rPr>
        <w:t>DOI: 10.1177/0333102410364677.</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Dietrich, W. D., &amp; Bramlett, H. M. (2010). The evidence for hypothermia as a neuroprotectant in traumatic brain injury</w:t>
      </w:r>
      <w:r w:rsidRPr="00A3204A">
        <w:rPr>
          <w:rFonts w:ascii="Times New Roman" w:hAnsi="Times New Roman" w:cs="Times New Roman"/>
          <w:i/>
          <w:sz w:val="24"/>
          <w:szCs w:val="24"/>
        </w:rPr>
        <w:t xml:space="preserve">. Neurotherapeutics, 7(1), </w:t>
      </w:r>
      <w:r w:rsidRPr="00A3204A">
        <w:rPr>
          <w:rFonts w:ascii="Times New Roman" w:hAnsi="Times New Roman" w:cs="Times New Roman"/>
          <w:sz w:val="24"/>
          <w:szCs w:val="24"/>
        </w:rPr>
        <w:t xml:space="preserve">1-13. DOI:10.1016/j.nurt.2009.10.015.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DiFabio, R. (1995). Sensitivity and specificity of platform posturography for identifying patients with vestibular dysfunction. </w:t>
      </w:r>
      <w:r w:rsidRPr="00A3204A">
        <w:rPr>
          <w:rFonts w:ascii="Times New Roman" w:hAnsi="Times New Roman" w:cs="Times New Roman"/>
          <w:i/>
          <w:sz w:val="24"/>
          <w:szCs w:val="24"/>
        </w:rPr>
        <w:t xml:space="preserve">Physical Therapy, 75(4), </w:t>
      </w:r>
      <w:r w:rsidRPr="00A3204A">
        <w:rPr>
          <w:rFonts w:ascii="Times New Roman" w:hAnsi="Times New Roman" w:cs="Times New Roman"/>
          <w:sz w:val="24"/>
          <w:szCs w:val="24"/>
        </w:rPr>
        <w:t xml:space="preserve">290-305.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Ditunno, Jr. J. F. (1992). Functional assessment measures in CNS trauma. </w:t>
      </w:r>
      <w:r w:rsidRPr="00A3204A">
        <w:rPr>
          <w:rFonts w:ascii="Times New Roman" w:hAnsi="Times New Roman" w:cs="Times New Roman"/>
          <w:i/>
          <w:sz w:val="24"/>
          <w:szCs w:val="24"/>
        </w:rPr>
        <w:t xml:space="preserve">Journal of Neurotrauma, 9(1), </w:t>
      </w:r>
      <w:r w:rsidRPr="00A3204A">
        <w:rPr>
          <w:rFonts w:ascii="Times New Roman" w:hAnsi="Times New Roman" w:cs="Times New Roman"/>
          <w:sz w:val="24"/>
          <w:szCs w:val="24"/>
        </w:rPr>
        <w:t xml:space="preserve">S301-305.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Dobie, R. A. (1997). Does computerized dynamic posturography help us care for our patients? </w:t>
      </w:r>
      <w:r w:rsidRPr="00A3204A">
        <w:rPr>
          <w:rFonts w:ascii="Times New Roman" w:hAnsi="Times New Roman" w:cs="Times New Roman"/>
          <w:i/>
          <w:sz w:val="24"/>
          <w:szCs w:val="24"/>
        </w:rPr>
        <w:t xml:space="preserve">The American Journal of Otology, 18, </w:t>
      </w:r>
      <w:r w:rsidRPr="00A3204A">
        <w:rPr>
          <w:rFonts w:ascii="Times New Roman" w:hAnsi="Times New Roman" w:cs="Times New Roman"/>
          <w:sz w:val="24"/>
          <w:szCs w:val="24"/>
        </w:rPr>
        <w:t xml:space="preserve">108-112.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Doble, J. E., Feinberg, D. L., Rosner, M. S., &amp; Rosner, A. J. (2010). Identification of binocular vision dysfunction (vertical heterophoria) in traumatic brain injury patients and effects of individualized prismatic spectacle lenses in the treatment of postconcussive symptoms: a retrospective analysis. </w:t>
      </w:r>
      <w:r w:rsidRPr="00A3204A">
        <w:rPr>
          <w:rFonts w:ascii="Times New Roman" w:hAnsi="Times New Roman" w:cs="Times New Roman"/>
          <w:i/>
          <w:sz w:val="24"/>
          <w:szCs w:val="24"/>
        </w:rPr>
        <w:t xml:space="preserve">American </w:t>
      </w:r>
      <w:smartTag w:uri="urn:schemas-microsoft-com:office:smarttags" w:element="place">
        <w:smartTag w:uri="urn:schemas-microsoft-com:office:smarttags" w:element="PlaceType">
          <w:r w:rsidRPr="00A3204A">
            <w:rPr>
              <w:rFonts w:ascii="Times New Roman" w:hAnsi="Times New Roman" w:cs="Times New Roman"/>
              <w:i/>
              <w:sz w:val="24"/>
              <w:szCs w:val="24"/>
            </w:rPr>
            <w:t>Academy</w:t>
          </w:r>
        </w:smartTag>
        <w:r w:rsidRPr="00A3204A">
          <w:rPr>
            <w:rFonts w:ascii="Times New Roman" w:hAnsi="Times New Roman" w:cs="Times New Roman"/>
            <w:i/>
            <w:sz w:val="24"/>
            <w:szCs w:val="24"/>
          </w:rPr>
          <w:t xml:space="preserve"> of </w:t>
        </w:r>
        <w:smartTag w:uri="urn:schemas-microsoft-com:office:smarttags" w:element="PlaceName">
          <w:r w:rsidRPr="00A3204A">
            <w:rPr>
              <w:rFonts w:ascii="Times New Roman" w:hAnsi="Times New Roman" w:cs="Times New Roman"/>
              <w:i/>
              <w:sz w:val="24"/>
              <w:szCs w:val="24"/>
            </w:rPr>
            <w:t>Physical Medicine</w:t>
          </w:r>
        </w:smartTag>
      </w:smartTag>
      <w:r w:rsidRPr="00A3204A">
        <w:rPr>
          <w:rFonts w:ascii="Times New Roman" w:hAnsi="Times New Roman" w:cs="Times New Roman"/>
          <w:i/>
          <w:sz w:val="24"/>
          <w:szCs w:val="24"/>
        </w:rPr>
        <w:t xml:space="preserve"> and Rehabilitation, 2, </w:t>
      </w:r>
      <w:r w:rsidRPr="00A3204A">
        <w:rPr>
          <w:rFonts w:ascii="Times New Roman" w:hAnsi="Times New Roman" w:cs="Times New Roman"/>
          <w:sz w:val="24"/>
          <w:szCs w:val="24"/>
        </w:rPr>
        <w:t xml:space="preserve">244-253. DOI: 10:1016/j.pmrj-2010.01.011.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Donaldson, C. J., Hoffer, M. E., Balough, B. J., &amp; Gottshall, K. R. (2010). Prognostic assessments of medical therapy and vestibular testing in post-traumatic migraine-associated dizziness patients. </w:t>
      </w:r>
      <w:r w:rsidRPr="00A3204A">
        <w:rPr>
          <w:rFonts w:ascii="Times New Roman" w:hAnsi="Times New Roman" w:cs="Times New Roman"/>
          <w:i/>
          <w:sz w:val="24"/>
          <w:szCs w:val="24"/>
        </w:rPr>
        <w:t xml:space="preserve">Otolaryngology-Head and Neck Surgery, 143, </w:t>
      </w:r>
      <w:r w:rsidRPr="00A3204A">
        <w:rPr>
          <w:rFonts w:ascii="Times New Roman" w:hAnsi="Times New Roman" w:cs="Times New Roman"/>
          <w:sz w:val="24"/>
          <w:szCs w:val="24"/>
        </w:rPr>
        <w:t xml:space="preserve">820-825. DOI:10.1016/j. otohns.2010.09.024.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Doyle, S., Bennett, S., Fasoli, S. E., &amp; McKenna, K. T. (2010). Interventions for sensory impairment in the upper limb after stroke. </w:t>
      </w:r>
      <w:r w:rsidRPr="00A3204A">
        <w:rPr>
          <w:rFonts w:ascii="Times New Roman" w:hAnsi="Times New Roman" w:cs="Times New Roman"/>
          <w:i/>
          <w:iCs/>
          <w:sz w:val="24"/>
          <w:szCs w:val="24"/>
        </w:rPr>
        <w:t>Cochrane Database of Systematic Reviews, 6,</w:t>
      </w:r>
      <w:r w:rsidRPr="00A3204A">
        <w:rPr>
          <w:rFonts w:ascii="Times New Roman" w:hAnsi="Times New Roman" w:cs="Times New Roman"/>
          <w:iCs/>
          <w:sz w:val="24"/>
          <w:szCs w:val="24"/>
        </w:rPr>
        <w:t xml:space="preserve"> 1-57. </w:t>
      </w:r>
      <w:r w:rsidRPr="00A3204A">
        <w:rPr>
          <w:rFonts w:ascii="Times New Roman" w:hAnsi="Times New Roman" w:cs="Times New Roman"/>
          <w:sz w:val="24"/>
          <w:szCs w:val="24"/>
        </w:rPr>
        <w:t>DOI: 10.1002/14651858.CD006331.pub2.</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794" w:name="Dutton2011"/>
      <w:bookmarkEnd w:id="794"/>
      <w:r w:rsidRPr="00A3204A">
        <w:rPr>
          <w:rFonts w:ascii="Times New Roman" w:hAnsi="Times New Roman" w:cs="Times New Roman"/>
          <w:sz w:val="24"/>
          <w:szCs w:val="24"/>
        </w:rPr>
        <w:t xml:space="preserve">Dutton, R. P., Prior, K., Cohen, R., Wade, C., Sewell, J., Fouche, Y.,…&amp; Scalea, T. M. (2011). Diagnosing mild traumatic brain injury: Where are we now? </w:t>
      </w:r>
      <w:r w:rsidRPr="00A3204A">
        <w:rPr>
          <w:rFonts w:ascii="Times New Roman" w:hAnsi="Times New Roman" w:cs="Times New Roman"/>
          <w:i/>
          <w:sz w:val="24"/>
          <w:szCs w:val="24"/>
        </w:rPr>
        <w:t>Journal of</w:t>
      </w:r>
      <w:r w:rsidRPr="00A3204A">
        <w:rPr>
          <w:rFonts w:ascii="Times New Roman" w:hAnsi="Times New Roman" w:cs="Times New Roman"/>
          <w:sz w:val="24"/>
          <w:szCs w:val="24"/>
        </w:rPr>
        <w:t xml:space="preserve"> </w:t>
      </w:r>
      <w:r w:rsidRPr="00A3204A">
        <w:rPr>
          <w:rFonts w:ascii="Times New Roman" w:hAnsi="Times New Roman" w:cs="Times New Roman"/>
          <w:i/>
          <w:sz w:val="24"/>
          <w:szCs w:val="24"/>
        </w:rPr>
        <w:t xml:space="preserve">Trauma, 70, </w:t>
      </w:r>
      <w:r w:rsidRPr="00A3204A">
        <w:rPr>
          <w:rFonts w:ascii="Times New Roman" w:hAnsi="Times New Roman" w:cs="Times New Roman"/>
          <w:sz w:val="24"/>
          <w:szCs w:val="24"/>
        </w:rPr>
        <w:t xml:space="preserve">554-559. DOI:10.97/ta.0B013e3 1820d1062.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r w:rsidRPr="00A3204A">
        <w:rPr>
          <w:rFonts w:ascii="Times New Roman" w:hAnsi="Times New Roman" w:cs="Times New Roman"/>
          <w:i/>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795" w:name="Eby2010"/>
      <w:bookmarkEnd w:id="795"/>
      <w:r w:rsidRPr="00A3204A">
        <w:rPr>
          <w:rFonts w:ascii="Times New Roman" w:hAnsi="Times New Roman" w:cs="Times New Roman"/>
          <w:sz w:val="24"/>
          <w:szCs w:val="24"/>
        </w:rPr>
        <w:t xml:space="preserve">Eby, D. W., Molnar, L. J., &amp; Shope, J. T. (2010) Driving decisions workbook. </w:t>
      </w:r>
      <w:r w:rsidRPr="00A3204A">
        <w:rPr>
          <w:rFonts w:ascii="Times New Roman" w:hAnsi="Times New Roman" w:cs="Times New Roman"/>
          <w:i/>
          <w:sz w:val="24"/>
          <w:szCs w:val="24"/>
        </w:rPr>
        <w:t xml:space="preserve">Social and Behavioral Analysis Division. </w:t>
      </w:r>
      <w:smartTag w:uri="urn:schemas-microsoft-com:office:smarttags" w:element="place">
        <w:smartTag w:uri="urn:schemas-microsoft-com:office:smarttags" w:element="PlaceType">
          <w:r w:rsidRPr="00A3204A">
            <w:rPr>
              <w:rFonts w:ascii="Times New Roman" w:hAnsi="Times New Roman" w:cs="Times New Roman"/>
              <w:i/>
              <w:sz w:val="24"/>
              <w:szCs w:val="24"/>
            </w:rPr>
            <w:t>University</w:t>
          </w:r>
        </w:smartTag>
        <w:r w:rsidRPr="00A3204A">
          <w:rPr>
            <w:rFonts w:ascii="Times New Roman" w:hAnsi="Times New Roman" w:cs="Times New Roman"/>
            <w:i/>
            <w:sz w:val="24"/>
            <w:szCs w:val="24"/>
          </w:rPr>
          <w:t xml:space="preserve"> of </w:t>
        </w:r>
        <w:smartTag w:uri="urn:schemas-microsoft-com:office:smarttags" w:element="PlaceName">
          <w:r w:rsidRPr="00A3204A">
            <w:rPr>
              <w:rFonts w:ascii="Times New Roman" w:hAnsi="Times New Roman" w:cs="Times New Roman"/>
              <w:i/>
              <w:sz w:val="24"/>
              <w:szCs w:val="24"/>
            </w:rPr>
            <w:t>Michigan</w:t>
          </w:r>
        </w:smartTag>
      </w:smartTag>
      <w:r w:rsidRPr="00A3204A">
        <w:rPr>
          <w:rFonts w:ascii="Times New Roman" w:hAnsi="Times New Roman" w:cs="Times New Roman"/>
          <w:i/>
          <w:sz w:val="24"/>
          <w:szCs w:val="24"/>
        </w:rPr>
        <w:t xml:space="preserve">. Transportation Research Institute. </w:t>
      </w:r>
      <w:r w:rsidRPr="00A3204A">
        <w:rPr>
          <w:rFonts w:ascii="Times New Roman" w:hAnsi="Times New Roman" w:cs="Times New Roman"/>
          <w:sz w:val="24"/>
          <w:szCs w:val="24"/>
        </w:rPr>
        <w:t>Retrieved October 2012, from www.umtri.umich.edu/library/pdf/2000-14.pdf.</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lastRenderedPageBreak/>
        <w:t xml:space="preserve">Eicher, V., Murphy, M. P., Murphy, T. F., &amp; Malec, J. F. (2012). Progress assessed with the Mayo-Portland adaptability inventory in 604 participants in 4 types of post-inpatient rehabilitation brain injury programs. </w:t>
      </w:r>
      <w:r w:rsidRPr="00A3204A">
        <w:rPr>
          <w:rFonts w:ascii="Times New Roman" w:hAnsi="Times New Roman" w:cs="Times New Roman"/>
          <w:i/>
          <w:sz w:val="24"/>
          <w:szCs w:val="24"/>
        </w:rPr>
        <w:t xml:space="preserve">Arch Phys Med Rehabil, 93, </w:t>
      </w:r>
      <w:r w:rsidRPr="00A3204A">
        <w:rPr>
          <w:rFonts w:ascii="Times New Roman" w:hAnsi="Times New Roman" w:cs="Times New Roman"/>
          <w:sz w:val="24"/>
          <w:szCs w:val="24"/>
        </w:rPr>
        <w:t>100-107. DOI: 10.1016/j.apmr.2011.06.038.</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El-Kashlan, H. K., Shepard, N. T., Asher, A. M., Smith-Wheelock, M., &amp; Telian, S. A. (1998). Evaluation of clinical measures of equilibrium. </w:t>
      </w:r>
      <w:r w:rsidRPr="00A3204A">
        <w:rPr>
          <w:rFonts w:ascii="Times New Roman" w:hAnsi="Times New Roman" w:cs="Times New Roman"/>
          <w:i/>
          <w:sz w:val="24"/>
          <w:szCs w:val="24"/>
        </w:rPr>
        <w:t xml:space="preserve">The Laryngoscope, 108, </w:t>
      </w:r>
      <w:r w:rsidRPr="00A3204A">
        <w:rPr>
          <w:rFonts w:ascii="Times New Roman" w:hAnsi="Times New Roman" w:cs="Times New Roman"/>
          <w:sz w:val="24"/>
          <w:szCs w:val="24"/>
        </w:rPr>
        <w:t xml:space="preserve">311-319. </w:t>
      </w:r>
      <w:hyperlink r:id="rId41" w:history="1">
        <w:r w:rsidRPr="00A3204A">
          <w:rPr>
            <w:rFonts w:ascii="Times New Roman" w:hAnsi="Times New Roman" w:cs="Times New Roman"/>
            <w:color w:val="0000FF"/>
            <w:sz w:val="24"/>
            <w:szCs w:val="24"/>
            <w:u w:val="single"/>
          </w:rPr>
          <w:t>http://www.laryngoscope.com</w:t>
        </w:r>
      </w:hyperlink>
      <w:r w:rsidRPr="00A3204A">
        <w:rPr>
          <w:rFonts w:ascii="Times New Roman" w:hAnsi="Times New Roman" w:cs="Times New Roman"/>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Elkind, A. H., O’Carroll, P., Blumenfeld, A., DeGryse, R., &amp; Dimitrova, Rozalina. (2006). A series of three sequential, randomized, controlled studies of repeated treatments with botulinum toxin type A for migraine prophylaxis. </w:t>
      </w:r>
      <w:r w:rsidRPr="00A3204A">
        <w:rPr>
          <w:rFonts w:ascii="Times New Roman" w:hAnsi="Times New Roman" w:cs="Times New Roman"/>
          <w:i/>
          <w:sz w:val="24"/>
          <w:szCs w:val="24"/>
        </w:rPr>
        <w:t>Journal of Pain, 7(10),</w:t>
      </w:r>
      <w:r w:rsidRPr="00A3204A">
        <w:rPr>
          <w:rFonts w:ascii="Times New Roman" w:hAnsi="Times New Roman" w:cs="Times New Roman"/>
          <w:sz w:val="24"/>
          <w:szCs w:val="24"/>
        </w:rPr>
        <w:t xml:space="preserve"> 688-696.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Ellemberg, D., Henry, L. C., Macciocchi, K. M., &amp; Broglio, S. P. (2009). Advances in sport concussion assessment: From behavioral to brain imaging measures. </w:t>
      </w:r>
      <w:r w:rsidRPr="00A3204A">
        <w:rPr>
          <w:rFonts w:ascii="Times New Roman" w:hAnsi="Times New Roman" w:cs="Times New Roman"/>
          <w:i/>
          <w:sz w:val="24"/>
          <w:szCs w:val="24"/>
        </w:rPr>
        <w:t xml:space="preserve">Journal of Neurotrauma, 26, </w:t>
      </w:r>
      <w:r w:rsidRPr="00A3204A">
        <w:rPr>
          <w:rFonts w:ascii="Times New Roman" w:hAnsi="Times New Roman" w:cs="Times New Roman"/>
          <w:sz w:val="24"/>
          <w:szCs w:val="24"/>
        </w:rPr>
        <w:t>2365-2382. DOI: 10.1089/neu.2009.0906.</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Engberg, A. W.,  Liebach, A., &amp; Nordenbo, A. (2006). Centralized rehabilitation after severe traumatic brain injury – a population-based study. </w:t>
      </w:r>
      <w:r w:rsidRPr="00A3204A">
        <w:rPr>
          <w:rFonts w:ascii="Times New Roman" w:hAnsi="Times New Roman" w:cs="Times New Roman"/>
          <w:i/>
          <w:sz w:val="24"/>
          <w:szCs w:val="24"/>
        </w:rPr>
        <w:t>Acta Neurol Scand, 113,</w:t>
      </w:r>
      <w:r w:rsidRPr="00A3204A">
        <w:rPr>
          <w:rFonts w:ascii="Times New Roman" w:hAnsi="Times New Roman" w:cs="Times New Roman"/>
          <w:sz w:val="24"/>
          <w:szCs w:val="24"/>
        </w:rPr>
        <w:t xml:space="preserve"> 178–184. DOI: 10.1111/j.1600-0404.2005.00570.x.</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English, C., &amp; Hillier, S. L. (2010). Circuit class therapy for improving mobility after stroke. </w:t>
      </w:r>
      <w:r w:rsidRPr="00A3204A">
        <w:rPr>
          <w:rFonts w:ascii="Times New Roman" w:hAnsi="Times New Roman" w:cs="Times New Roman"/>
          <w:i/>
          <w:iCs/>
          <w:sz w:val="24"/>
          <w:szCs w:val="24"/>
        </w:rPr>
        <w:t>Cochrane Database of Systematic Reviews, 7,</w:t>
      </w:r>
      <w:r w:rsidRPr="00A3204A">
        <w:rPr>
          <w:rFonts w:ascii="Times New Roman" w:hAnsi="Times New Roman" w:cs="Times New Roman"/>
          <w:iCs/>
          <w:sz w:val="24"/>
          <w:szCs w:val="24"/>
        </w:rPr>
        <w:t xml:space="preserve"> 1-29. </w:t>
      </w:r>
      <w:r w:rsidRPr="00A3204A">
        <w:rPr>
          <w:rFonts w:ascii="Times New Roman" w:hAnsi="Times New Roman" w:cs="Times New Roman"/>
          <w:sz w:val="24"/>
          <w:szCs w:val="24"/>
        </w:rPr>
        <w:t>DOI: 10.1002/14651858.CD007513.pub2.</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Erickson, K. I., Voss, M. W., Shaurya Prakash, R., Basake, C., Szabo, A., Chaddock, L., …Kramer, A. F., (2011). Exercise training increases size of hippocampus and improves memory. </w:t>
      </w:r>
      <w:r w:rsidRPr="00A3204A">
        <w:rPr>
          <w:rFonts w:ascii="Times New Roman" w:hAnsi="Times New Roman" w:cs="Times New Roman"/>
          <w:i/>
          <w:sz w:val="24"/>
          <w:szCs w:val="24"/>
        </w:rPr>
        <w:t xml:space="preserve">PNAS, 108(7), </w:t>
      </w:r>
      <w:r w:rsidRPr="00A3204A">
        <w:rPr>
          <w:rFonts w:ascii="Times New Roman" w:hAnsi="Times New Roman" w:cs="Times New Roman"/>
          <w:sz w:val="24"/>
          <w:szCs w:val="24"/>
        </w:rPr>
        <w:t>3017-3022. DOI: 10.1073/pnas.1015950108.</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Evans, M. K., &amp; Krebs, D. E. (1999). Posturography does not test vestibulospinal function. </w:t>
      </w:r>
      <w:r w:rsidRPr="00A3204A">
        <w:rPr>
          <w:rFonts w:ascii="Times New Roman" w:hAnsi="Times New Roman" w:cs="Times New Roman"/>
          <w:i/>
          <w:sz w:val="24"/>
          <w:szCs w:val="24"/>
        </w:rPr>
        <w:t>Otolaryngology Head Neck Surgery, 120,</w:t>
      </w:r>
      <w:r w:rsidRPr="00A3204A">
        <w:rPr>
          <w:rFonts w:ascii="Times New Roman" w:hAnsi="Times New Roman" w:cs="Times New Roman"/>
          <w:sz w:val="24"/>
          <w:szCs w:val="24"/>
        </w:rPr>
        <w:t xml:space="preserve">1640173.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Evers, S., Afra, J., Frese, A., Goadsby, P.,. . . Sandor, P. S. (2009). EFNS guideline on the drug treatment of migraine – revised report of an EFNS task force. </w:t>
      </w:r>
      <w:r w:rsidRPr="00A3204A">
        <w:rPr>
          <w:rFonts w:ascii="Times New Roman" w:hAnsi="Times New Roman" w:cs="Times New Roman"/>
          <w:i/>
          <w:sz w:val="24"/>
          <w:szCs w:val="24"/>
        </w:rPr>
        <w:t xml:space="preserve">European Journal of Neurology, 16, </w:t>
      </w:r>
      <w:r w:rsidRPr="00A3204A">
        <w:rPr>
          <w:rFonts w:ascii="Times New Roman" w:hAnsi="Times New Roman" w:cs="Times New Roman"/>
          <w:sz w:val="24"/>
          <w:szCs w:val="24"/>
        </w:rPr>
        <w:t>968-981 DOI:10.1111/j.1468-1331.2009.02748. x</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Evers, S., Goadsby, P., Jensen, R., May, A., Pascual, J., &amp; Sixt, G. (2011). Treatment of miscellaneous idiopathic headache disorders (group 4 of the HIS classification) – Report of an EFNS task force. </w:t>
      </w:r>
      <w:r w:rsidRPr="00A3204A">
        <w:rPr>
          <w:rFonts w:ascii="Times New Roman" w:hAnsi="Times New Roman" w:cs="Times New Roman"/>
          <w:i/>
          <w:sz w:val="24"/>
          <w:szCs w:val="24"/>
        </w:rPr>
        <w:t xml:space="preserve">European Journal of Neurology, 18, </w:t>
      </w:r>
      <w:r w:rsidRPr="00A3204A">
        <w:rPr>
          <w:rFonts w:ascii="Times New Roman" w:hAnsi="Times New Roman" w:cs="Times New Roman"/>
          <w:sz w:val="24"/>
          <w:szCs w:val="24"/>
        </w:rPr>
        <w:t xml:space="preserve">803-812. DOI:1111/j.1468-1331.2011.03389. x.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Evers, S., Goadsby, P., Jensen, R., May, A., Pascual, J., &amp; Sixt, G. (2012). Treatment of miscellaneous idiopathic headache disorders. </w:t>
      </w:r>
      <w:r w:rsidRPr="00A3204A">
        <w:rPr>
          <w:rFonts w:ascii="Times New Roman" w:hAnsi="Times New Roman" w:cs="Times New Roman"/>
          <w:i/>
          <w:sz w:val="24"/>
          <w:szCs w:val="24"/>
        </w:rPr>
        <w:t>European Handbook of Neurological Management, 2, second edition,</w:t>
      </w:r>
      <w:r w:rsidRPr="00A3204A">
        <w:rPr>
          <w:rFonts w:ascii="Times New Roman" w:hAnsi="Times New Roman" w:cs="Times New Roman"/>
          <w:sz w:val="24"/>
          <w:szCs w:val="24"/>
        </w:rPr>
        <w:t xml:space="preserve"> 321-335.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796" w:name="Fann2009"/>
      <w:bookmarkEnd w:id="796"/>
      <w:r w:rsidRPr="00A3204A">
        <w:rPr>
          <w:rFonts w:ascii="Times New Roman" w:hAnsi="Times New Roman" w:cs="Times New Roman"/>
          <w:sz w:val="24"/>
          <w:szCs w:val="24"/>
        </w:rPr>
        <w:t xml:space="preserve">Fann, J. R., Hart, T., &amp; Schomer, K. G. (2009). Treatment for depression after traumatic brain injury: A systematic review. </w:t>
      </w:r>
      <w:r w:rsidRPr="00A3204A">
        <w:rPr>
          <w:rFonts w:ascii="Times New Roman" w:hAnsi="Times New Roman" w:cs="Times New Roman"/>
          <w:i/>
          <w:sz w:val="24"/>
          <w:szCs w:val="24"/>
        </w:rPr>
        <w:t xml:space="preserve">Journal of Neurotrauma, 26, </w:t>
      </w:r>
      <w:r w:rsidRPr="00A3204A">
        <w:rPr>
          <w:rFonts w:ascii="Times New Roman" w:hAnsi="Times New Roman" w:cs="Times New Roman"/>
          <w:sz w:val="24"/>
          <w:szCs w:val="24"/>
        </w:rPr>
        <w:t>2383-2402. DOI: 10.1089/neu.2009.1091</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797" w:name="Ferris2007"/>
      <w:bookmarkEnd w:id="797"/>
      <w:r w:rsidRPr="00A3204A">
        <w:rPr>
          <w:rFonts w:ascii="Times New Roman" w:hAnsi="Times New Roman" w:cs="Times New Roman"/>
          <w:sz w:val="24"/>
          <w:szCs w:val="24"/>
        </w:rPr>
        <w:t xml:space="preserve">Ferris, L. T., Williams, J. S., &amp; Shen, C. –L. (2007). The Effect of acute exercise on serum brain-derived neurotrophic factor levels and cognitive function. </w:t>
      </w:r>
      <w:r w:rsidRPr="00A3204A">
        <w:rPr>
          <w:rFonts w:ascii="Times New Roman" w:hAnsi="Times New Roman" w:cs="Times New Roman"/>
          <w:i/>
          <w:sz w:val="24"/>
          <w:szCs w:val="24"/>
        </w:rPr>
        <w:t xml:space="preserve">Journal of the </w:t>
      </w:r>
      <w:smartTag w:uri="urn:schemas-microsoft-com:office:smarttags" w:element="place">
        <w:smartTag w:uri="urn:schemas-microsoft-com:office:smarttags" w:element="PlaceName">
          <w:r w:rsidRPr="00A3204A">
            <w:rPr>
              <w:rFonts w:ascii="Times New Roman" w:hAnsi="Times New Roman" w:cs="Times New Roman"/>
              <w:i/>
              <w:sz w:val="24"/>
              <w:szCs w:val="24"/>
            </w:rPr>
            <w:t>American</w:t>
          </w:r>
        </w:smartTag>
        <w:r w:rsidRPr="00A3204A">
          <w:rPr>
            <w:rFonts w:ascii="Times New Roman" w:hAnsi="Times New Roman" w:cs="Times New Roman"/>
            <w:i/>
            <w:sz w:val="24"/>
            <w:szCs w:val="24"/>
          </w:rPr>
          <w:t xml:space="preserve"> </w:t>
        </w:r>
        <w:smartTag w:uri="urn:schemas-microsoft-com:office:smarttags" w:element="PlaceType">
          <w:r w:rsidRPr="00A3204A">
            <w:rPr>
              <w:rFonts w:ascii="Times New Roman" w:hAnsi="Times New Roman" w:cs="Times New Roman"/>
              <w:i/>
              <w:sz w:val="24"/>
              <w:szCs w:val="24"/>
            </w:rPr>
            <w:t>College</w:t>
          </w:r>
        </w:smartTag>
      </w:smartTag>
      <w:r w:rsidRPr="00A3204A">
        <w:rPr>
          <w:rFonts w:ascii="Times New Roman" w:hAnsi="Times New Roman" w:cs="Times New Roman"/>
          <w:i/>
          <w:sz w:val="24"/>
          <w:szCs w:val="24"/>
        </w:rPr>
        <w:t xml:space="preserve"> of Sports Medicine,</w:t>
      </w:r>
      <w:r w:rsidRPr="00A3204A">
        <w:rPr>
          <w:rFonts w:ascii="Times New Roman" w:hAnsi="Times New Roman" w:cs="Times New Roman"/>
          <w:sz w:val="24"/>
          <w:szCs w:val="24"/>
        </w:rPr>
        <w:t xml:space="preserve"> 728-734. DOI: 10.1249/mss.0b013e31802f04c7.</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smartTag w:uri="urn:schemas-microsoft-com:office:smarttags" w:element="place">
        <w:r w:rsidRPr="00A3204A">
          <w:rPr>
            <w:rFonts w:ascii="Times New Roman" w:hAnsi="Times New Roman" w:cs="Times New Roman"/>
            <w:sz w:val="24"/>
            <w:szCs w:val="24"/>
          </w:rPr>
          <w:lastRenderedPageBreak/>
          <w:t>Fife</w:t>
        </w:r>
      </w:smartTag>
      <w:r w:rsidRPr="00A3204A">
        <w:rPr>
          <w:rFonts w:ascii="Times New Roman" w:hAnsi="Times New Roman" w:cs="Times New Roman"/>
          <w:sz w:val="24"/>
          <w:szCs w:val="24"/>
        </w:rPr>
        <w:t xml:space="preserve">, T. D., Iverson, D. J., Lempert, T., et. al (2008). Practice parameter: Thereapies for benign paroxysmal positional vertigo (an evidence-based review): Report of the Quality Standards Subcommittee of the </w:t>
      </w:r>
      <w:smartTag w:uri="urn:schemas-microsoft-com:office:smarttags" w:element="place">
        <w:smartTag w:uri="urn:schemas-microsoft-com:office:smarttags" w:element="PlaceName">
          <w:r w:rsidRPr="00A3204A">
            <w:rPr>
              <w:rFonts w:ascii="Times New Roman" w:hAnsi="Times New Roman" w:cs="Times New Roman"/>
              <w:sz w:val="24"/>
              <w:szCs w:val="24"/>
            </w:rPr>
            <w:t>American</w:t>
          </w:r>
        </w:smartTag>
        <w:r w:rsidRPr="00A3204A">
          <w:rPr>
            <w:rFonts w:ascii="Times New Roman" w:hAnsi="Times New Roman" w:cs="Times New Roman"/>
            <w:sz w:val="24"/>
            <w:szCs w:val="24"/>
          </w:rPr>
          <w:t xml:space="preserve"> </w:t>
        </w:r>
        <w:smartTag w:uri="urn:schemas-microsoft-com:office:smarttags" w:element="PlaceType">
          <w:r w:rsidRPr="00A3204A">
            <w:rPr>
              <w:rFonts w:ascii="Times New Roman" w:hAnsi="Times New Roman" w:cs="Times New Roman"/>
              <w:sz w:val="24"/>
              <w:szCs w:val="24"/>
            </w:rPr>
            <w:t>Academy</w:t>
          </w:r>
        </w:smartTag>
      </w:smartTag>
      <w:r w:rsidRPr="00A3204A">
        <w:rPr>
          <w:rFonts w:ascii="Times New Roman" w:hAnsi="Times New Roman" w:cs="Times New Roman"/>
          <w:sz w:val="24"/>
          <w:szCs w:val="24"/>
        </w:rPr>
        <w:t xml:space="preserve"> of Neurology. </w:t>
      </w:r>
      <w:r w:rsidRPr="00A3204A">
        <w:rPr>
          <w:rFonts w:ascii="Times New Roman" w:hAnsi="Times New Roman" w:cs="Times New Roman"/>
          <w:i/>
          <w:sz w:val="24"/>
          <w:szCs w:val="24"/>
        </w:rPr>
        <w:t xml:space="preserve">Neurology, 70, </w:t>
      </w:r>
      <w:r w:rsidRPr="00A3204A">
        <w:rPr>
          <w:rFonts w:ascii="Times New Roman" w:hAnsi="Times New Roman" w:cs="Times New Roman"/>
          <w:sz w:val="24"/>
          <w:szCs w:val="24"/>
        </w:rPr>
        <w:t xml:space="preserve">2067. DOI 10l.0000313378.77444. ac.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i/>
          <w:sz w:val="24"/>
          <w:szCs w:val="24"/>
          <w:u w:val="single"/>
        </w:rPr>
      </w:pPr>
      <w:bookmarkStart w:id="798" w:name="Fife2000"/>
      <w:bookmarkEnd w:id="798"/>
      <w:smartTag w:uri="urn:schemas-microsoft-com:office:smarttags" w:element="place">
        <w:r w:rsidRPr="00A3204A">
          <w:rPr>
            <w:rFonts w:ascii="Times New Roman" w:hAnsi="Times New Roman" w:cs="Times New Roman"/>
            <w:sz w:val="24"/>
            <w:szCs w:val="24"/>
          </w:rPr>
          <w:t>Fife</w:t>
        </w:r>
      </w:smartTag>
      <w:r w:rsidRPr="00A3204A">
        <w:rPr>
          <w:rFonts w:ascii="Times New Roman" w:hAnsi="Times New Roman" w:cs="Times New Roman"/>
          <w:sz w:val="24"/>
          <w:szCs w:val="24"/>
        </w:rPr>
        <w:t xml:space="preserve">, T. D., Tusa, R. J., Furman, J. M., Zee, D. S., Frohman, E., Baloh, R. W., …Eviatar, L. (2000). Assessment: Vestibular testing techniques in adults and children: Report of the Therapeutics and Technology Assessment Subcommittee of the </w:t>
      </w:r>
      <w:smartTag w:uri="urn:schemas-microsoft-com:office:smarttags" w:element="place">
        <w:smartTag w:uri="urn:schemas-microsoft-com:office:smarttags" w:element="PlaceName">
          <w:r w:rsidRPr="00A3204A">
            <w:rPr>
              <w:rFonts w:ascii="Times New Roman" w:hAnsi="Times New Roman" w:cs="Times New Roman"/>
              <w:sz w:val="24"/>
              <w:szCs w:val="24"/>
            </w:rPr>
            <w:t>American</w:t>
          </w:r>
        </w:smartTag>
        <w:r w:rsidRPr="00A3204A">
          <w:rPr>
            <w:rFonts w:ascii="Times New Roman" w:hAnsi="Times New Roman" w:cs="Times New Roman"/>
            <w:sz w:val="24"/>
            <w:szCs w:val="24"/>
          </w:rPr>
          <w:t xml:space="preserve"> </w:t>
        </w:r>
        <w:smartTag w:uri="urn:schemas-microsoft-com:office:smarttags" w:element="PlaceType">
          <w:r w:rsidRPr="00A3204A">
            <w:rPr>
              <w:rFonts w:ascii="Times New Roman" w:hAnsi="Times New Roman" w:cs="Times New Roman"/>
              <w:sz w:val="24"/>
              <w:szCs w:val="24"/>
            </w:rPr>
            <w:t>Academy</w:t>
          </w:r>
        </w:smartTag>
      </w:smartTag>
      <w:r w:rsidRPr="00A3204A">
        <w:rPr>
          <w:rFonts w:ascii="Times New Roman" w:hAnsi="Times New Roman" w:cs="Times New Roman"/>
          <w:sz w:val="24"/>
          <w:szCs w:val="24"/>
        </w:rPr>
        <w:t xml:space="preserve"> of Neurology. </w:t>
      </w:r>
      <w:r w:rsidRPr="00A3204A">
        <w:rPr>
          <w:rFonts w:ascii="Times New Roman" w:hAnsi="Times New Roman" w:cs="Times New Roman"/>
          <w:i/>
          <w:sz w:val="24"/>
          <w:szCs w:val="24"/>
        </w:rPr>
        <w:t>Neurology, 55,</w:t>
      </w:r>
      <w:r w:rsidRPr="00A3204A">
        <w:rPr>
          <w:rFonts w:ascii="Times New Roman" w:hAnsi="Times New Roman" w:cs="Times New Roman"/>
          <w:sz w:val="24"/>
          <w:szCs w:val="24"/>
        </w:rPr>
        <w:t xml:space="preserve"> 1-12. </w:t>
      </w:r>
      <w:hyperlink r:id="rId42" w:history="1">
        <w:r w:rsidRPr="00A3204A">
          <w:rPr>
            <w:rFonts w:ascii="Times New Roman" w:hAnsi="Times New Roman" w:cs="Times New Roman"/>
            <w:color w:val="0000FF"/>
            <w:sz w:val="24"/>
            <w:szCs w:val="24"/>
            <w:u w:val="single"/>
          </w:rPr>
          <w:t>http://www.neurology.org/content/55/10/1431.full.html</w:t>
        </w:r>
      </w:hyperlink>
      <w:r w:rsidRPr="00A3204A">
        <w:rPr>
          <w:rFonts w:ascii="Times New Roman" w:hAnsi="Times New Roman" w:cs="Times New Roman"/>
          <w:sz w:val="24"/>
          <w:szCs w:val="24"/>
          <w:u w:val="single"/>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Finnoff, J. T., Jelsing, E. J., &amp; Smith, J. (2011). Biomarkers, genetics, and risk factors for concussion. </w:t>
      </w:r>
      <w:r w:rsidRPr="00A3204A">
        <w:rPr>
          <w:rFonts w:ascii="Times New Roman" w:hAnsi="Times New Roman" w:cs="Times New Roman"/>
          <w:i/>
          <w:sz w:val="24"/>
          <w:szCs w:val="24"/>
        </w:rPr>
        <w:t xml:space="preserve">American </w:t>
      </w:r>
      <w:smartTag w:uri="urn:schemas-microsoft-com:office:smarttags" w:element="place">
        <w:smartTag w:uri="urn:schemas-microsoft-com:office:smarttags" w:element="PlaceType">
          <w:r w:rsidRPr="00A3204A">
            <w:rPr>
              <w:rFonts w:ascii="Times New Roman" w:hAnsi="Times New Roman" w:cs="Times New Roman"/>
              <w:i/>
              <w:sz w:val="24"/>
              <w:szCs w:val="24"/>
            </w:rPr>
            <w:t>Academy</w:t>
          </w:r>
        </w:smartTag>
        <w:r w:rsidRPr="00A3204A">
          <w:rPr>
            <w:rFonts w:ascii="Times New Roman" w:hAnsi="Times New Roman" w:cs="Times New Roman"/>
            <w:i/>
            <w:sz w:val="24"/>
            <w:szCs w:val="24"/>
          </w:rPr>
          <w:t xml:space="preserve"> of </w:t>
        </w:r>
        <w:smartTag w:uri="urn:schemas-microsoft-com:office:smarttags" w:element="PlaceName">
          <w:r w:rsidRPr="00A3204A">
            <w:rPr>
              <w:rFonts w:ascii="Times New Roman" w:hAnsi="Times New Roman" w:cs="Times New Roman"/>
              <w:i/>
              <w:sz w:val="24"/>
              <w:szCs w:val="24"/>
            </w:rPr>
            <w:t>Physical Medicine</w:t>
          </w:r>
        </w:smartTag>
      </w:smartTag>
      <w:r w:rsidRPr="00A3204A">
        <w:rPr>
          <w:rFonts w:ascii="Times New Roman" w:hAnsi="Times New Roman" w:cs="Times New Roman"/>
          <w:i/>
          <w:sz w:val="24"/>
          <w:szCs w:val="24"/>
        </w:rPr>
        <w:t xml:space="preserve"> and Rehabilitation, 3,</w:t>
      </w:r>
      <w:r w:rsidRPr="00A3204A">
        <w:rPr>
          <w:rFonts w:ascii="Times New Roman" w:hAnsi="Times New Roman" w:cs="Times New Roman"/>
          <w:sz w:val="24"/>
          <w:szCs w:val="24"/>
        </w:rPr>
        <w:t xml:space="preserve"> S452-S459. DOI: 10.1016/j. pmrj.2011.07.014.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799" w:name="Flint2010"/>
      <w:bookmarkEnd w:id="799"/>
      <w:smartTag w:uri="urn:schemas-microsoft-com:office:smarttags" w:element="City">
        <w:r w:rsidRPr="00A3204A">
          <w:rPr>
            <w:rFonts w:ascii="Times New Roman" w:hAnsi="Times New Roman" w:cs="Times New Roman"/>
            <w:sz w:val="24"/>
            <w:szCs w:val="24"/>
          </w:rPr>
          <w:t>Flint</w:t>
        </w:r>
      </w:smartTag>
      <w:r w:rsidRPr="00A3204A">
        <w:rPr>
          <w:rFonts w:ascii="Times New Roman" w:hAnsi="Times New Roman" w:cs="Times New Roman"/>
          <w:sz w:val="24"/>
          <w:szCs w:val="24"/>
        </w:rPr>
        <w:t xml:space="preserve">, P. W., Haughey, B. H., </w:t>
      </w:r>
      <w:smartTag w:uri="urn:schemas-microsoft-com:office:smarttags" w:element="place">
        <w:smartTag w:uri="urn:schemas-microsoft-com:office:smarttags" w:element="City">
          <w:r w:rsidRPr="00A3204A">
            <w:rPr>
              <w:rFonts w:ascii="Times New Roman" w:hAnsi="Times New Roman" w:cs="Times New Roman"/>
              <w:sz w:val="24"/>
              <w:szCs w:val="24"/>
            </w:rPr>
            <w:t>Lund</w:t>
          </w:r>
        </w:smartTag>
      </w:smartTag>
      <w:r w:rsidRPr="00A3204A">
        <w:rPr>
          <w:rFonts w:ascii="Times New Roman" w:hAnsi="Times New Roman" w:cs="Times New Roman"/>
          <w:sz w:val="24"/>
          <w:szCs w:val="24"/>
        </w:rPr>
        <w:t xml:space="preserve">, V. J., Niparko, J. K., Richardson, M. A., Robbins, K. T., &amp; Thomas, J. R. (2010). Surgery for vestibular disorders. In S. A. Telian (Ed.), </w:t>
      </w:r>
      <w:r w:rsidRPr="00A3204A">
        <w:rPr>
          <w:rFonts w:ascii="Times New Roman" w:hAnsi="Times New Roman" w:cs="Times New Roman"/>
          <w:i/>
          <w:sz w:val="24"/>
          <w:szCs w:val="24"/>
        </w:rPr>
        <w:t>Cummings Otolaryngology: Head &amp; Neck Surgery, 5</w:t>
      </w:r>
      <w:r w:rsidRPr="00A3204A">
        <w:rPr>
          <w:rFonts w:ascii="Times New Roman" w:hAnsi="Times New Roman" w:cs="Times New Roman"/>
          <w:i/>
          <w:sz w:val="24"/>
          <w:szCs w:val="24"/>
          <w:vertAlign w:val="superscript"/>
        </w:rPr>
        <w:t>th</w:t>
      </w:r>
      <w:r w:rsidRPr="00A3204A">
        <w:rPr>
          <w:rFonts w:ascii="Times New Roman" w:hAnsi="Times New Roman" w:cs="Times New Roman"/>
          <w:i/>
          <w:sz w:val="24"/>
          <w:szCs w:val="24"/>
        </w:rPr>
        <w:t xml:space="preserve"> edition, </w:t>
      </w:r>
      <w:r w:rsidRPr="00A3204A">
        <w:rPr>
          <w:rFonts w:ascii="Times New Roman" w:hAnsi="Times New Roman" w:cs="Times New Roman"/>
          <w:sz w:val="24"/>
          <w:szCs w:val="24"/>
        </w:rPr>
        <w:t xml:space="preserve">(ch 176). Retrieved from </w:t>
      </w:r>
      <w:hyperlink r:id="rId43" w:history="1">
        <w:r w:rsidRPr="00A3204A">
          <w:rPr>
            <w:rFonts w:ascii="Times New Roman" w:hAnsi="Times New Roman" w:cs="Times New Roman"/>
            <w:color w:val="0000FF"/>
            <w:sz w:val="24"/>
            <w:szCs w:val="24"/>
            <w:u w:val="single"/>
          </w:rPr>
          <w:t>http://www.mdconsult.com</w:t>
        </w:r>
      </w:hyperlink>
      <w:r w:rsidRPr="00A3204A">
        <w:rPr>
          <w:rFonts w:ascii="Times New Roman" w:hAnsi="Times New Roman" w:cs="Times New Roman"/>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Ford-Smith, C. D., Wyman, J. F., Elswick, Jr., R. K., Frenandez, T., &amp; </w:t>
      </w:r>
      <w:smartTag w:uri="urn:schemas-microsoft-com:office:smarttags" w:element="place">
        <w:smartTag w:uri="urn:schemas-microsoft-com:office:smarttags" w:element="City">
          <w:r w:rsidRPr="00A3204A">
            <w:rPr>
              <w:rFonts w:ascii="Times New Roman" w:hAnsi="Times New Roman" w:cs="Times New Roman"/>
              <w:sz w:val="24"/>
              <w:szCs w:val="24"/>
            </w:rPr>
            <w:t>Newton</w:t>
          </w:r>
        </w:smartTag>
      </w:smartTag>
      <w:r w:rsidRPr="00A3204A">
        <w:rPr>
          <w:rFonts w:ascii="Times New Roman" w:hAnsi="Times New Roman" w:cs="Times New Roman"/>
          <w:sz w:val="24"/>
          <w:szCs w:val="24"/>
        </w:rPr>
        <w:t xml:space="preserve">, R. A. (1995). Test-retest reliability of the sensory qrganization test in noninstitutionalized older adults. </w:t>
      </w:r>
      <w:r w:rsidRPr="00A3204A">
        <w:rPr>
          <w:rFonts w:ascii="Times New Roman" w:hAnsi="Times New Roman" w:cs="Times New Roman"/>
          <w:i/>
          <w:sz w:val="24"/>
          <w:szCs w:val="24"/>
        </w:rPr>
        <w:t xml:space="preserve">Archives of Physical Medicine and Rehabilitation, 76, </w:t>
      </w:r>
      <w:r w:rsidRPr="00A3204A">
        <w:rPr>
          <w:rFonts w:ascii="Times New Roman" w:hAnsi="Times New Roman" w:cs="Times New Roman"/>
          <w:sz w:val="24"/>
          <w:szCs w:val="24"/>
        </w:rPr>
        <w:t xml:space="preserve">76-81.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u w:val="single"/>
        </w:rPr>
      </w:pPr>
      <w:r w:rsidRPr="00A3204A">
        <w:rPr>
          <w:rFonts w:ascii="Times New Roman" w:hAnsi="Times New Roman" w:cs="Times New Roman"/>
          <w:sz w:val="24"/>
          <w:szCs w:val="24"/>
        </w:rPr>
        <w:t xml:space="preserve">Forsyth, R. J., Jayamoni, B., Paine, T. C., Mascarenas, S. (2006). </w:t>
      </w:r>
      <w:r w:rsidRPr="00A3204A">
        <w:rPr>
          <w:rFonts w:ascii="Times New Roman" w:hAnsi="Times New Roman" w:cs="Times New Roman"/>
          <w:bCs/>
          <w:sz w:val="24"/>
          <w:szCs w:val="24"/>
        </w:rPr>
        <w:t xml:space="preserve">Monoaminergic agonists for acute traumatic brain injury (Review). </w:t>
      </w:r>
      <w:r w:rsidRPr="00A3204A">
        <w:rPr>
          <w:rFonts w:ascii="Times New Roman" w:hAnsi="Times New Roman" w:cs="Times New Roman"/>
          <w:bCs/>
          <w:i/>
          <w:sz w:val="24"/>
          <w:szCs w:val="24"/>
        </w:rPr>
        <w:t xml:space="preserve">Cochrane Database of Systematic Reviews, 4, </w:t>
      </w:r>
      <w:r w:rsidRPr="00A3204A">
        <w:rPr>
          <w:rFonts w:ascii="Times New Roman" w:hAnsi="Times New Roman" w:cs="Times New Roman"/>
          <w:bCs/>
          <w:sz w:val="24"/>
          <w:szCs w:val="24"/>
        </w:rPr>
        <w:t xml:space="preserve">1-17. </w:t>
      </w:r>
      <w:hyperlink r:id="rId44" w:history="1">
        <w:r w:rsidRPr="00A3204A">
          <w:rPr>
            <w:rFonts w:ascii="Times New Roman" w:hAnsi="Times New Roman" w:cs="Times New Roman"/>
            <w:bCs/>
            <w:color w:val="0000FF"/>
            <w:sz w:val="24"/>
            <w:szCs w:val="24"/>
            <w:u w:val="single"/>
          </w:rPr>
          <w:t>http://www.thecochranelibrary.com</w:t>
        </w:r>
      </w:hyperlink>
      <w:r w:rsidRPr="00A3204A">
        <w:rPr>
          <w:rFonts w:ascii="Times New Roman" w:hAnsi="Times New Roman" w:cs="Times New Roman"/>
          <w:bCs/>
          <w:sz w:val="24"/>
          <w:szCs w:val="24"/>
          <w:u w:val="single"/>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u w:val="single"/>
        </w:rPr>
      </w:pPr>
      <w:r w:rsidRPr="00A3204A">
        <w:rPr>
          <w:rFonts w:ascii="Times New Roman" w:hAnsi="Times New Roman" w:cs="Times New Roman"/>
          <w:sz w:val="24"/>
          <w:szCs w:val="24"/>
        </w:rPr>
        <w:t xml:space="preserve">Forsyth, R. J., Wolny, S., &amp; Rodrigues, B. (2010), Routine intracranial pressure monitoring in acute coma. </w:t>
      </w:r>
      <w:r w:rsidRPr="00A3204A">
        <w:rPr>
          <w:rFonts w:ascii="Times New Roman" w:hAnsi="Times New Roman" w:cs="Times New Roman"/>
          <w:i/>
          <w:iCs/>
          <w:sz w:val="24"/>
          <w:szCs w:val="24"/>
        </w:rPr>
        <w:t xml:space="preserve">Cochrane Database of Systematic Reviews, 2, </w:t>
      </w:r>
      <w:r w:rsidRPr="00A3204A">
        <w:rPr>
          <w:rFonts w:ascii="Times New Roman" w:hAnsi="Times New Roman" w:cs="Times New Roman"/>
          <w:iCs/>
          <w:sz w:val="24"/>
          <w:szCs w:val="24"/>
        </w:rPr>
        <w:t xml:space="preserve">1-13. </w:t>
      </w:r>
      <w:r w:rsidRPr="00A3204A">
        <w:rPr>
          <w:rFonts w:ascii="Times New Roman" w:hAnsi="Times New Roman" w:cs="Times New Roman"/>
          <w:sz w:val="24"/>
          <w:szCs w:val="24"/>
        </w:rPr>
        <w:t>DOI: 10.1002/14651858.CD002043.pub2.</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Freed, S., &amp; Hellerstein, L. F. (1997). Visual electrodiagnostic findings in mild traumatic brain injury. </w:t>
      </w:r>
      <w:r w:rsidRPr="00A3204A">
        <w:rPr>
          <w:rFonts w:ascii="Times New Roman" w:hAnsi="Times New Roman" w:cs="Times New Roman"/>
          <w:i/>
          <w:sz w:val="24"/>
          <w:szCs w:val="24"/>
        </w:rPr>
        <w:t xml:space="preserve">Brain Injury, 11(1), </w:t>
      </w:r>
      <w:r w:rsidRPr="00A3204A">
        <w:rPr>
          <w:rFonts w:ascii="Times New Roman" w:hAnsi="Times New Roman" w:cs="Times New Roman"/>
          <w:sz w:val="24"/>
          <w:szCs w:val="24"/>
        </w:rPr>
        <w:t xml:space="preserve">25-36.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French, B., Thomas, L. H., Leathley, M. J., Sutton, C. J., McAdam, J., Forster, A.,… Watkins, C. L. (2007). Repetitive task training for improving functional ability after stroke. </w:t>
      </w:r>
      <w:r w:rsidRPr="00A3204A">
        <w:rPr>
          <w:rFonts w:ascii="Times New Roman" w:hAnsi="Times New Roman" w:cs="Times New Roman"/>
          <w:i/>
          <w:iCs/>
          <w:sz w:val="24"/>
          <w:szCs w:val="24"/>
        </w:rPr>
        <w:t xml:space="preserve">Cochrane Database of Systematic Reviews, 4, </w:t>
      </w:r>
      <w:r w:rsidRPr="00A3204A">
        <w:rPr>
          <w:rFonts w:ascii="Times New Roman" w:hAnsi="Times New Roman" w:cs="Times New Roman"/>
          <w:iCs/>
          <w:sz w:val="24"/>
          <w:szCs w:val="24"/>
        </w:rPr>
        <w:t xml:space="preserve"> 1-77. </w:t>
      </w:r>
      <w:r w:rsidRPr="00A3204A">
        <w:rPr>
          <w:rFonts w:ascii="Times New Roman" w:hAnsi="Times New Roman" w:cs="Times New Roman"/>
          <w:sz w:val="24"/>
          <w:szCs w:val="24"/>
        </w:rPr>
        <w:t>DOI: 10.1002/14651858.CD006073.pub2.</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800" w:name="Frey2009"/>
      <w:bookmarkEnd w:id="800"/>
      <w:r w:rsidRPr="00A3204A">
        <w:rPr>
          <w:rFonts w:ascii="Times New Roman" w:hAnsi="Times New Roman" w:cs="Times New Roman"/>
          <w:sz w:val="24"/>
          <w:szCs w:val="24"/>
        </w:rPr>
        <w:t xml:space="preserve">Frey, W. F., Savage, R. C., &amp; O’Shanick, G. (2009). The road to rehabilitation part 8: Journey toward understanding: Concussion &amp; mild brain injury. </w:t>
      </w:r>
      <w:r w:rsidRPr="00A3204A">
        <w:rPr>
          <w:rFonts w:ascii="Times New Roman" w:hAnsi="Times New Roman" w:cs="Times New Roman"/>
          <w:i/>
          <w:sz w:val="24"/>
          <w:szCs w:val="24"/>
        </w:rPr>
        <w:t xml:space="preserve">Brain Injury Association of America.The Voice of Brain Injury. </w:t>
      </w:r>
      <w:hyperlink r:id="rId45" w:history="1">
        <w:r w:rsidRPr="00A3204A">
          <w:rPr>
            <w:rFonts w:ascii="Times New Roman" w:hAnsi="Times New Roman" w:cs="Times New Roman"/>
            <w:color w:val="0000FF"/>
            <w:sz w:val="24"/>
            <w:szCs w:val="24"/>
            <w:u w:val="single"/>
          </w:rPr>
          <w:t>http://www.biausa.org</w:t>
        </w:r>
      </w:hyperlink>
      <w:r w:rsidRPr="00A3204A">
        <w:rPr>
          <w:rFonts w:ascii="Times New Roman" w:hAnsi="Times New Roman" w:cs="Times New Roman"/>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Furman, J. M. (1994). Posturography: Uses and limitations. </w:t>
      </w:r>
      <w:r w:rsidRPr="00A3204A">
        <w:rPr>
          <w:rFonts w:ascii="Times New Roman" w:hAnsi="Times New Roman" w:cs="Times New Roman"/>
          <w:i/>
          <w:sz w:val="24"/>
          <w:szCs w:val="24"/>
        </w:rPr>
        <w:t>Bailli</w:t>
      </w:r>
      <w:r w:rsidRPr="00A3204A">
        <w:rPr>
          <w:rFonts w:ascii="Times New Roman" w:hAnsi="Times New Roman" w:cs="Times New Roman"/>
          <w:sz w:val="24"/>
          <w:szCs w:val="24"/>
        </w:rPr>
        <w:t>ẻ</w:t>
      </w:r>
      <w:r w:rsidRPr="00A3204A">
        <w:rPr>
          <w:rFonts w:ascii="Times New Roman" w:hAnsi="Times New Roman" w:cs="Times New Roman"/>
          <w:i/>
          <w:sz w:val="24"/>
          <w:szCs w:val="24"/>
        </w:rPr>
        <w:t xml:space="preserve">re’s Clinical Neurology, 3, </w:t>
      </w:r>
      <w:r w:rsidRPr="00A3204A">
        <w:rPr>
          <w:rFonts w:ascii="Times New Roman" w:hAnsi="Times New Roman" w:cs="Times New Roman"/>
          <w:sz w:val="24"/>
          <w:szCs w:val="24"/>
        </w:rPr>
        <w:t xml:space="preserve">501-513. ISBN 0-7020-1951-8.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Furman, J. M. (1995). </w:t>
      </w:r>
      <w:r w:rsidRPr="00A3204A">
        <w:rPr>
          <w:rFonts w:ascii="Times New Roman" w:hAnsi="Times New Roman" w:cs="Times New Roman"/>
          <w:bCs/>
          <w:sz w:val="24"/>
          <w:szCs w:val="24"/>
        </w:rPr>
        <w:t>Role of posturography in the management of vestibular patients. O</w:t>
      </w:r>
      <w:r w:rsidRPr="00A3204A">
        <w:rPr>
          <w:rFonts w:ascii="Times New Roman" w:hAnsi="Times New Roman" w:cs="Times New Roman"/>
          <w:i/>
          <w:sz w:val="24"/>
          <w:szCs w:val="24"/>
        </w:rPr>
        <w:t>tolaryngolog</w:t>
      </w:r>
      <w:r w:rsidRPr="00A3204A">
        <w:rPr>
          <w:rFonts w:ascii="Times New Roman" w:hAnsi="Times New Roman" w:cs="Times New Roman"/>
          <w:bCs/>
          <w:i/>
          <w:sz w:val="24"/>
          <w:szCs w:val="24"/>
        </w:rPr>
        <w:t>y Head Neck Surgery,</w:t>
      </w:r>
      <w:r w:rsidRPr="00A3204A">
        <w:rPr>
          <w:rFonts w:ascii="Times New Roman" w:hAnsi="Times New Roman" w:cs="Times New Roman"/>
          <w:i/>
          <w:sz w:val="24"/>
          <w:szCs w:val="24"/>
        </w:rPr>
        <w:t xml:space="preserve"> 112,</w:t>
      </w:r>
      <w:r w:rsidRPr="00A3204A">
        <w:rPr>
          <w:rFonts w:ascii="Times New Roman" w:hAnsi="Times New Roman" w:cs="Times New Roman"/>
          <w:sz w:val="24"/>
          <w:szCs w:val="24"/>
        </w:rPr>
        <w:t xml:space="preserve"> 8-15.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Gallagher, C. N., Hutchinson, P. J., &amp; Pickard, J. D. (2007). Neuroimaging in trauma. </w:t>
      </w:r>
      <w:r w:rsidRPr="00A3204A">
        <w:rPr>
          <w:rFonts w:ascii="Times New Roman" w:hAnsi="Times New Roman" w:cs="Times New Roman"/>
          <w:i/>
          <w:sz w:val="24"/>
          <w:szCs w:val="24"/>
        </w:rPr>
        <w:t xml:space="preserve">Curr Opin Neurol, 20, </w:t>
      </w:r>
      <w:r w:rsidRPr="00A3204A">
        <w:rPr>
          <w:rFonts w:ascii="Times New Roman" w:hAnsi="Times New Roman" w:cs="Times New Roman"/>
          <w:sz w:val="24"/>
          <w:szCs w:val="24"/>
        </w:rPr>
        <w:t xml:space="preserve">403-409. </w:t>
      </w:r>
      <w:hyperlink r:id="rId46" w:history="1">
        <w:r w:rsidRPr="00A3204A">
          <w:rPr>
            <w:rFonts w:ascii="Times New Roman" w:hAnsi="Times New Roman" w:cs="Times New Roman"/>
            <w:color w:val="0000FF"/>
            <w:sz w:val="24"/>
            <w:szCs w:val="24"/>
            <w:u w:val="single"/>
          </w:rPr>
          <w:t>galclare@gmail.com</w:t>
        </w:r>
      </w:hyperlink>
      <w:r w:rsidRPr="00A3204A">
        <w:rPr>
          <w:rFonts w:ascii="Times New Roman" w:hAnsi="Times New Roman" w:cs="Times New Roman"/>
          <w:sz w:val="24"/>
          <w:szCs w:val="24"/>
        </w:rPr>
        <w:t xml:space="preserve">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bCs/>
          <w:color w:val="292526"/>
          <w:sz w:val="24"/>
          <w:szCs w:val="24"/>
        </w:rPr>
      </w:pPr>
      <w:r w:rsidRPr="00A3204A">
        <w:rPr>
          <w:rFonts w:ascii="Times New Roman" w:hAnsi="Times New Roman" w:cs="Times New Roman"/>
          <w:sz w:val="24"/>
          <w:szCs w:val="24"/>
        </w:rPr>
        <w:lastRenderedPageBreak/>
        <w:t xml:space="preserve">Garcia, A. N., Shah, M. A., Dixon, C. E., Wagner, A. K., &amp; Kline, A. E. (2011). </w:t>
      </w:r>
      <w:r w:rsidRPr="00A3204A">
        <w:rPr>
          <w:rFonts w:ascii="Times New Roman" w:hAnsi="Times New Roman" w:cs="Times New Roman"/>
          <w:bCs/>
          <w:sz w:val="24"/>
          <w:szCs w:val="24"/>
        </w:rPr>
        <w:t xml:space="preserve">Biologic and plastic effects of experimental traumatic brain injury treatment paradigms and their relevance to clinical rehabilitation. </w:t>
      </w:r>
      <w:r w:rsidRPr="00A3204A">
        <w:rPr>
          <w:rFonts w:ascii="Times New Roman" w:hAnsi="Times New Roman" w:cs="Times New Roman"/>
          <w:bCs/>
          <w:i/>
          <w:sz w:val="24"/>
          <w:szCs w:val="24"/>
        </w:rPr>
        <w:t xml:space="preserve">Physical Medicine and Rehabiliation, 3(6 Suppl), </w:t>
      </w:r>
      <w:r w:rsidRPr="00A3204A">
        <w:rPr>
          <w:rFonts w:ascii="Times New Roman" w:hAnsi="Times New Roman" w:cs="Times New Roman"/>
          <w:bCs/>
          <w:sz w:val="24"/>
          <w:szCs w:val="24"/>
        </w:rPr>
        <w:t>S18–S27. DOI:10.1016/j.pmrj.2011.03.017.</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801" w:name="Gates2004"/>
      <w:bookmarkEnd w:id="801"/>
      <w:r w:rsidRPr="00A3204A">
        <w:rPr>
          <w:rFonts w:ascii="Times New Roman" w:hAnsi="Times New Roman" w:cs="Times New Roman"/>
          <w:bCs/>
          <w:sz w:val="24"/>
          <w:szCs w:val="24"/>
        </w:rPr>
        <w:t xml:space="preserve">Gates, G. A., Green, J. D., Tucci, D. L., &amp; Telian, S. A. (2004). </w:t>
      </w:r>
      <w:r w:rsidRPr="00A3204A">
        <w:rPr>
          <w:rFonts w:ascii="Times New Roman" w:hAnsi="Times New Roman" w:cs="Times New Roman"/>
          <w:bCs/>
          <w:color w:val="292526"/>
          <w:sz w:val="24"/>
          <w:szCs w:val="24"/>
        </w:rPr>
        <w:t xml:space="preserve">The effects of transtympanic micropressure treatment in people with unilateral meniere’s disease. </w:t>
      </w:r>
      <w:r w:rsidRPr="00A3204A">
        <w:rPr>
          <w:rFonts w:ascii="Times New Roman" w:hAnsi="Times New Roman" w:cs="Times New Roman"/>
          <w:bCs/>
          <w:i/>
          <w:color w:val="292526"/>
          <w:sz w:val="24"/>
          <w:szCs w:val="24"/>
        </w:rPr>
        <w:t xml:space="preserve">Arch Otolaryngol Head Neck Surg.,130, </w:t>
      </w:r>
      <w:r w:rsidRPr="00A3204A">
        <w:rPr>
          <w:rFonts w:ascii="Times New Roman" w:hAnsi="Times New Roman" w:cs="Times New Roman"/>
          <w:bCs/>
          <w:color w:val="292526"/>
          <w:sz w:val="24"/>
          <w:szCs w:val="24"/>
        </w:rPr>
        <w:t xml:space="preserve">718-725. </w:t>
      </w:r>
      <w:hyperlink r:id="rId47" w:history="1">
        <w:r w:rsidRPr="00A3204A">
          <w:rPr>
            <w:rFonts w:ascii="Times New Roman" w:hAnsi="Times New Roman" w:cs="Times New Roman"/>
            <w:bCs/>
            <w:color w:val="0000FF"/>
            <w:sz w:val="24"/>
            <w:szCs w:val="24"/>
            <w:u w:val="single"/>
          </w:rPr>
          <w:t>http://www.archoto.com</w:t>
        </w:r>
      </w:hyperlink>
      <w:r w:rsidRPr="00A3204A">
        <w:rPr>
          <w:rFonts w:ascii="Times New Roman" w:hAnsi="Times New Roman" w:cs="Times New Roman"/>
          <w:bCs/>
          <w:color w:val="292526"/>
          <w:sz w:val="24"/>
          <w:szCs w:val="24"/>
        </w:rPr>
        <w:t xml:space="preserve">.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Gates, G. A., Verrall, A., Green, Jr, J. D., Tucci, D. L., &amp; Telian, S. A. (2006). Meniett clinical trial: Long-term follow-up. </w:t>
      </w:r>
      <w:r w:rsidRPr="00A3204A">
        <w:rPr>
          <w:rFonts w:ascii="Times New Roman" w:hAnsi="Times New Roman" w:cs="Times New Roman"/>
          <w:i/>
          <w:sz w:val="24"/>
          <w:szCs w:val="24"/>
        </w:rPr>
        <w:t xml:space="preserve">Arch Otolaryngol Head Neck Surg., 132, </w:t>
      </w:r>
      <w:r w:rsidRPr="00A3204A">
        <w:rPr>
          <w:rFonts w:ascii="Times New Roman" w:hAnsi="Times New Roman" w:cs="Times New Roman"/>
          <w:sz w:val="24"/>
          <w:szCs w:val="24"/>
        </w:rPr>
        <w:t xml:space="preserve">1311-1316. </w:t>
      </w:r>
      <w:hyperlink r:id="rId48" w:history="1">
        <w:r w:rsidRPr="00A3204A">
          <w:rPr>
            <w:rFonts w:ascii="Times New Roman" w:hAnsi="Times New Roman" w:cs="Times New Roman"/>
            <w:bCs/>
            <w:color w:val="0000FF"/>
            <w:sz w:val="24"/>
            <w:szCs w:val="24"/>
            <w:u w:val="single"/>
          </w:rPr>
          <w:t>http://www.archoto.com</w:t>
        </w:r>
      </w:hyperlink>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Gavett, B. E., Cantua, R. C., Shentonb, M., Linb, A. P., Nowinskia, C. J., McKeea, A., C., &amp; Sterna, R. A. (2011). Clinical appraisal of chronic traumatic encephalopathy: current perspectives and future directions. </w:t>
      </w:r>
      <w:r w:rsidRPr="00A3204A">
        <w:rPr>
          <w:rFonts w:ascii="Times New Roman" w:hAnsi="Times New Roman" w:cs="Times New Roman"/>
          <w:i/>
          <w:sz w:val="24"/>
          <w:szCs w:val="24"/>
        </w:rPr>
        <w:t xml:space="preserve">Current Opinion in Neurology, 24, </w:t>
      </w:r>
      <w:r w:rsidRPr="00A3204A">
        <w:rPr>
          <w:rFonts w:ascii="Times New Roman" w:hAnsi="Times New Roman" w:cs="Times New Roman"/>
          <w:sz w:val="24"/>
          <w:szCs w:val="24"/>
        </w:rPr>
        <w:t>525–531.</w:t>
      </w:r>
      <w:r w:rsidRPr="00A3204A">
        <w:t xml:space="preserve"> </w:t>
      </w:r>
      <w:r w:rsidRPr="00A3204A">
        <w:rPr>
          <w:rFonts w:ascii="Times New Roman" w:hAnsi="Times New Roman" w:cs="Times New Roman"/>
          <w:sz w:val="24"/>
          <w:szCs w:val="24"/>
        </w:rPr>
        <w:t>DOI:10.1097/WCO.0b013e32834cd477</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Gennarelli, T. A., &amp; Graham, </w:t>
      </w:r>
      <w:smartTag w:uri="urn:schemas-microsoft-com:office:smarttags" w:element="place">
        <w:smartTag w:uri="urn:schemas:contacts" w:element="middlename">
          <w:r w:rsidRPr="00A3204A">
            <w:rPr>
              <w:rFonts w:ascii="Times New Roman" w:hAnsi="Times New Roman" w:cs="Times New Roman"/>
              <w:sz w:val="24"/>
              <w:szCs w:val="24"/>
            </w:rPr>
            <w:t>D.</w:t>
          </w:r>
        </w:smartTag>
        <w:r w:rsidRPr="00A3204A">
          <w:rPr>
            <w:rFonts w:ascii="Times New Roman" w:hAnsi="Times New Roman" w:cs="Times New Roman"/>
            <w:sz w:val="24"/>
            <w:szCs w:val="24"/>
          </w:rPr>
          <w:t xml:space="preserve"> </w:t>
        </w:r>
        <w:smartTag w:uri="urn:schemas:contacts" w:element="middlename">
          <w:r w:rsidRPr="00A3204A">
            <w:rPr>
              <w:rFonts w:ascii="Times New Roman" w:hAnsi="Times New Roman" w:cs="Times New Roman"/>
              <w:sz w:val="24"/>
              <w:szCs w:val="24"/>
            </w:rPr>
            <w:t>I.</w:t>
          </w:r>
        </w:smartTag>
      </w:smartTag>
      <w:r w:rsidRPr="00A3204A">
        <w:rPr>
          <w:rFonts w:ascii="Times New Roman" w:hAnsi="Times New Roman" w:cs="Times New Roman"/>
          <w:sz w:val="24"/>
          <w:szCs w:val="24"/>
        </w:rPr>
        <w:t xml:space="preserve"> (1998). Neuropathology of the head injuries. </w:t>
      </w:r>
      <w:r w:rsidRPr="00A3204A">
        <w:rPr>
          <w:rFonts w:ascii="Times New Roman" w:hAnsi="Times New Roman" w:cs="Times New Roman"/>
          <w:i/>
          <w:sz w:val="24"/>
          <w:szCs w:val="24"/>
        </w:rPr>
        <w:t xml:space="preserve">Seminars in Clinical Neuropsychiatry, 3, </w:t>
      </w:r>
      <w:r w:rsidRPr="00A3204A">
        <w:rPr>
          <w:rFonts w:ascii="Times New Roman" w:hAnsi="Times New Roman" w:cs="Times New Roman"/>
          <w:sz w:val="24"/>
          <w:szCs w:val="24"/>
        </w:rPr>
        <w:t xml:space="preserve">160-175. </w:t>
      </w:r>
    </w:p>
    <w:p w:rsidR="00A3204A" w:rsidRPr="00A3204A" w:rsidRDefault="00A3204A" w:rsidP="009C3DC2">
      <w:pPr>
        <w:numPr>
          <w:ilvl w:val="0"/>
          <w:numId w:val="33"/>
        </w:numPr>
        <w:spacing w:before="0" w:after="120"/>
        <w:rPr>
          <w:rFonts w:ascii="Times New Roman" w:hAnsi="Times New Roman" w:cs="Times New Roman"/>
          <w:i/>
          <w:sz w:val="24"/>
          <w:szCs w:val="24"/>
        </w:rPr>
      </w:pPr>
      <w:bookmarkStart w:id="802" w:name="Ghaffar2006"/>
      <w:bookmarkEnd w:id="802"/>
      <w:r w:rsidRPr="00A3204A">
        <w:rPr>
          <w:rFonts w:ascii="Times New Roman" w:hAnsi="Times New Roman" w:cs="Times New Roman"/>
          <w:sz w:val="24"/>
          <w:szCs w:val="24"/>
        </w:rPr>
        <w:t xml:space="preserve">Ghaffar, O., McCullagh, S., Ouchterlony, D., &amp; Feinstein, A. (2006). Randomized treatment trial in mild traumatic brain injury. </w:t>
      </w:r>
      <w:r w:rsidRPr="00A3204A">
        <w:rPr>
          <w:rFonts w:ascii="Times New Roman" w:hAnsi="Times New Roman" w:cs="Times New Roman"/>
          <w:i/>
          <w:sz w:val="24"/>
          <w:szCs w:val="24"/>
        </w:rPr>
        <w:t>Journal of Psychosomatic Research, 61,</w:t>
      </w:r>
      <w:r w:rsidRPr="00A3204A">
        <w:rPr>
          <w:rFonts w:ascii="Times New Roman" w:hAnsi="Times New Roman" w:cs="Times New Roman"/>
          <w:sz w:val="24"/>
          <w:szCs w:val="24"/>
        </w:rPr>
        <w:t xml:space="preserve"> 153–160. DOI:10.1016/j.jpsychores.2005.07.018.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r w:rsidRPr="00A3204A">
        <w:rPr>
          <w:rFonts w:ascii="Times New Roman" w:hAnsi="Times New Roman" w:cs="Times New Roman"/>
          <w:i/>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Ghigo, E., Masel, B., Aimaretti, G.,  Leon-Carrion, J., Casaneuva, F. F., Dominguez-Morales, M. R.,… Urban, R. (2005). Consensus guidelines on screening for hypopituitarism following traumatic brain injury. </w:t>
      </w:r>
      <w:r w:rsidRPr="00A3204A">
        <w:rPr>
          <w:rFonts w:ascii="Times New Roman" w:hAnsi="Times New Roman" w:cs="Times New Roman"/>
          <w:i/>
          <w:sz w:val="24"/>
          <w:szCs w:val="24"/>
        </w:rPr>
        <w:t xml:space="preserve">Brain Injury, 19(9), </w:t>
      </w:r>
      <w:r w:rsidRPr="00A3204A">
        <w:rPr>
          <w:rFonts w:ascii="Times New Roman" w:hAnsi="Times New Roman" w:cs="Times New Roman"/>
          <w:sz w:val="24"/>
          <w:szCs w:val="24"/>
        </w:rPr>
        <w:t>711-724. DOI: 10.1080/02699050400025315.</w:t>
      </w:r>
    </w:p>
    <w:p w:rsidR="00A3204A" w:rsidRPr="00A3204A" w:rsidRDefault="00A3204A" w:rsidP="009C3DC2">
      <w:pPr>
        <w:numPr>
          <w:ilvl w:val="0"/>
          <w:numId w:val="33"/>
        </w:numPr>
        <w:spacing w:before="0" w:after="120"/>
        <w:rPr>
          <w:rFonts w:ascii="Times New Roman" w:hAnsi="Times New Roman" w:cs="Times New Roman"/>
          <w:i/>
          <w:sz w:val="24"/>
          <w:szCs w:val="24"/>
        </w:rPr>
      </w:pPr>
      <w:bookmarkStart w:id="803" w:name="Giacino2012a"/>
      <w:bookmarkEnd w:id="803"/>
      <w:r w:rsidRPr="00A3204A">
        <w:rPr>
          <w:rFonts w:ascii="Times New Roman" w:hAnsi="Times New Roman" w:cs="Times New Roman"/>
          <w:sz w:val="24"/>
          <w:szCs w:val="24"/>
        </w:rPr>
        <w:t xml:space="preserve">Giacino, J. T., Whyte, J., Bagiella, E., </w:t>
      </w:r>
      <w:smartTag w:uri="urn:schemas-microsoft-com:office:smarttags" w:element="place">
        <w:smartTag w:uri="urn:schemas-microsoft-com:office:smarttags" w:element="City">
          <w:r w:rsidRPr="00A3204A">
            <w:rPr>
              <w:rFonts w:ascii="Times New Roman" w:hAnsi="Times New Roman" w:cs="Times New Roman"/>
              <w:sz w:val="24"/>
              <w:szCs w:val="24"/>
            </w:rPr>
            <w:t>Kalmar</w:t>
          </w:r>
        </w:smartTag>
      </w:smartTag>
      <w:r w:rsidRPr="00A3204A">
        <w:rPr>
          <w:rFonts w:ascii="Times New Roman" w:hAnsi="Times New Roman" w:cs="Times New Roman"/>
          <w:sz w:val="24"/>
          <w:szCs w:val="24"/>
        </w:rPr>
        <w:t xml:space="preserve">, K., Childs, N., Khademi, A.,… Sherer, M. (2012a). </w:t>
      </w:r>
      <w:r w:rsidRPr="00A3204A">
        <w:rPr>
          <w:rFonts w:ascii="Times New Roman" w:eastAsia="OTNEJMQuadraat" w:hAnsi="Times New Roman" w:cs="Times New Roman"/>
          <w:sz w:val="24"/>
          <w:szCs w:val="24"/>
        </w:rPr>
        <w:t xml:space="preserve">Placebo-controlled trial of amantadine for severe traumatic brain injury. </w:t>
      </w:r>
      <w:r w:rsidRPr="00A3204A">
        <w:rPr>
          <w:rFonts w:ascii="Times New Roman" w:eastAsia="OTNEJMQuadraat" w:hAnsi="Times New Roman" w:cs="Times New Roman"/>
          <w:i/>
          <w:sz w:val="24"/>
          <w:szCs w:val="24"/>
        </w:rPr>
        <w:t xml:space="preserve">The </w:t>
      </w:r>
      <w:smartTag w:uri="urn:schemas-microsoft-com:office:smarttags" w:element="place">
        <w:r w:rsidRPr="00A3204A">
          <w:rPr>
            <w:rFonts w:ascii="Times New Roman" w:eastAsia="OTNEJMQuadraat" w:hAnsi="Times New Roman" w:cs="Times New Roman"/>
            <w:i/>
            <w:sz w:val="24"/>
            <w:szCs w:val="24"/>
          </w:rPr>
          <w:t>New England</w:t>
        </w:r>
      </w:smartTag>
      <w:r w:rsidRPr="00A3204A">
        <w:rPr>
          <w:rFonts w:ascii="Times New Roman" w:eastAsia="OTNEJMQuadraat" w:hAnsi="Times New Roman" w:cs="Times New Roman"/>
          <w:i/>
          <w:sz w:val="24"/>
          <w:szCs w:val="24"/>
        </w:rPr>
        <w:t xml:space="preserve"> Journal of Medicine, 366(9), </w:t>
      </w:r>
      <w:r w:rsidRPr="00A3204A">
        <w:rPr>
          <w:rFonts w:ascii="Times New Roman" w:eastAsia="OTNEJMQuadraat" w:hAnsi="Times New Roman" w:cs="Times New Roman"/>
          <w:sz w:val="24"/>
          <w:szCs w:val="24"/>
        </w:rPr>
        <w:t xml:space="preserve">819-826. </w:t>
      </w:r>
      <w:hyperlink r:id="rId49" w:history="1">
        <w:r w:rsidRPr="00A3204A">
          <w:rPr>
            <w:rFonts w:ascii="Times New Roman" w:eastAsia="OTNEJMQuadraat" w:hAnsi="Times New Roman" w:cs="Times New Roman"/>
            <w:color w:val="0000FF"/>
            <w:sz w:val="24"/>
            <w:szCs w:val="24"/>
            <w:u w:val="single"/>
          </w:rPr>
          <w:t>http://www.nejm.org</w:t>
        </w:r>
      </w:hyperlink>
      <w:r w:rsidRPr="00A3204A">
        <w:rPr>
          <w:rFonts w:ascii="Times New Roman" w:eastAsia="OTNEJMQuadraat" w:hAnsi="Times New Roman" w:cs="Times New Roman"/>
          <w:sz w:val="24"/>
          <w:szCs w:val="24"/>
        </w:rPr>
        <w:t xml:space="preserve">.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r w:rsidRPr="00A3204A">
        <w:rPr>
          <w:rFonts w:ascii="Times New Roman" w:hAnsi="Times New Roman" w:cs="Times New Roman"/>
          <w:i/>
          <w:sz w:val="24"/>
          <w:szCs w:val="24"/>
        </w:rPr>
        <w:t xml:space="preserve">. </w:t>
      </w:r>
    </w:p>
    <w:p w:rsidR="00A3204A" w:rsidRPr="00A3204A" w:rsidRDefault="00A3204A" w:rsidP="009C3DC2">
      <w:pPr>
        <w:numPr>
          <w:ilvl w:val="0"/>
          <w:numId w:val="33"/>
        </w:numPr>
        <w:spacing w:before="0" w:after="120"/>
        <w:rPr>
          <w:rFonts w:ascii="Times New Roman" w:hAnsi="Times New Roman" w:cs="Times New Roman"/>
          <w:i/>
          <w:sz w:val="24"/>
          <w:szCs w:val="24"/>
        </w:rPr>
      </w:pPr>
      <w:bookmarkStart w:id="804" w:name="Giacino2012b"/>
      <w:bookmarkEnd w:id="804"/>
      <w:r w:rsidRPr="00A3204A">
        <w:rPr>
          <w:rFonts w:ascii="Times New Roman" w:hAnsi="Times New Roman" w:cs="Times New Roman"/>
          <w:sz w:val="24"/>
          <w:szCs w:val="24"/>
        </w:rPr>
        <w:t xml:space="preserve">Giacino, J. T., Whyte, J., Bagiella, E., </w:t>
      </w:r>
      <w:smartTag w:uri="urn:schemas-microsoft-com:office:smarttags" w:element="place">
        <w:smartTag w:uri="urn:schemas-microsoft-com:office:smarttags" w:element="City">
          <w:r w:rsidRPr="00A3204A">
            <w:rPr>
              <w:rFonts w:ascii="Times New Roman" w:hAnsi="Times New Roman" w:cs="Times New Roman"/>
              <w:sz w:val="24"/>
              <w:szCs w:val="24"/>
            </w:rPr>
            <w:t>Kalmar</w:t>
          </w:r>
        </w:smartTag>
      </w:smartTag>
      <w:r w:rsidRPr="00A3204A">
        <w:rPr>
          <w:rFonts w:ascii="Times New Roman" w:hAnsi="Times New Roman" w:cs="Times New Roman"/>
          <w:sz w:val="24"/>
          <w:szCs w:val="24"/>
        </w:rPr>
        <w:t>, K., Childs, N., Khademi, A.,… Sherer, M. (2012b).</w:t>
      </w:r>
      <w:r w:rsidRPr="00A3204A">
        <w:rPr>
          <w:rFonts w:ascii="OTNEJMQuadraat" w:eastAsia="OTNEJMQuadraat" w:hAnsi="Times New Roman" w:cs="OTNEJMQuadraat"/>
        </w:rPr>
        <w:t xml:space="preserve"> </w:t>
      </w:r>
      <w:r w:rsidRPr="00A3204A">
        <w:rPr>
          <w:rFonts w:ascii="Times New Roman" w:eastAsia="OTNEJMQuadraat" w:hAnsi="Times New Roman" w:cs="Times New Roman"/>
          <w:sz w:val="24"/>
          <w:szCs w:val="24"/>
        </w:rPr>
        <w:t>Protocol for: Placebo-controlled trial of amantadine for severe traumatic brain injury.</w:t>
      </w:r>
      <w:r w:rsidRPr="00A3204A">
        <w:rPr>
          <w:rFonts w:ascii="Times New Roman" w:hAnsi="Times New Roman" w:cs="Times New Roman"/>
          <w:sz w:val="24"/>
          <w:szCs w:val="24"/>
        </w:rPr>
        <w:t xml:space="preserve"> </w:t>
      </w:r>
      <w:r w:rsidRPr="00A3204A">
        <w:rPr>
          <w:rFonts w:ascii="Times New Roman" w:eastAsia="OTNEJMQuadraat" w:hAnsi="Times New Roman" w:cs="Times New Roman"/>
          <w:i/>
          <w:sz w:val="24"/>
          <w:szCs w:val="24"/>
        </w:rPr>
        <w:t xml:space="preserve">The </w:t>
      </w:r>
      <w:smartTag w:uri="urn:schemas-microsoft-com:office:smarttags" w:element="place">
        <w:r w:rsidRPr="00A3204A">
          <w:rPr>
            <w:rFonts w:ascii="Times New Roman" w:eastAsia="OTNEJMQuadraat" w:hAnsi="Times New Roman" w:cs="Times New Roman"/>
            <w:i/>
            <w:sz w:val="24"/>
            <w:szCs w:val="24"/>
          </w:rPr>
          <w:t>New England</w:t>
        </w:r>
      </w:smartTag>
      <w:r w:rsidRPr="00A3204A">
        <w:rPr>
          <w:rFonts w:ascii="Times New Roman" w:eastAsia="OTNEJMQuadraat" w:hAnsi="Times New Roman" w:cs="Times New Roman"/>
          <w:i/>
          <w:sz w:val="24"/>
          <w:szCs w:val="24"/>
        </w:rPr>
        <w:t xml:space="preserve"> Journal of Medicine, 366(9), </w:t>
      </w:r>
      <w:r w:rsidRPr="00A3204A">
        <w:rPr>
          <w:rFonts w:ascii="Times New Roman" w:eastAsia="OTNEJMQuadraat" w:hAnsi="Times New Roman" w:cs="Times New Roman"/>
          <w:sz w:val="24"/>
          <w:szCs w:val="24"/>
        </w:rPr>
        <w:t xml:space="preserve">1-70. </w:t>
      </w:r>
      <w:hyperlink r:id="rId50" w:history="1">
        <w:r w:rsidRPr="00A3204A">
          <w:rPr>
            <w:rFonts w:ascii="Times New Roman" w:eastAsia="OTNEJMQuadraat" w:hAnsi="Times New Roman" w:cs="Times New Roman"/>
            <w:color w:val="0000FF"/>
            <w:sz w:val="24"/>
            <w:szCs w:val="24"/>
            <w:u w:val="single"/>
          </w:rPr>
          <w:t>http://www.nejm.org</w:t>
        </w:r>
      </w:hyperlink>
      <w:r w:rsidRPr="00A3204A">
        <w:rPr>
          <w:rFonts w:ascii="Times New Roman" w:eastAsia="OTNEJMQuadraat" w:hAnsi="Times New Roman" w:cs="Times New Roman"/>
          <w:sz w:val="24"/>
          <w:szCs w:val="24"/>
        </w:rPr>
        <w:t xml:space="preserve">.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r w:rsidRPr="00A3204A">
        <w:rPr>
          <w:rFonts w:ascii="Times New Roman" w:hAnsi="Times New Roman" w:cs="Times New Roman"/>
          <w:i/>
          <w:sz w:val="24"/>
          <w:szCs w:val="24"/>
        </w:rPr>
        <w:t xml:space="preserve">. </w:t>
      </w:r>
    </w:p>
    <w:p w:rsidR="00A3204A" w:rsidRPr="00A3204A" w:rsidRDefault="00A3204A" w:rsidP="009C3DC2">
      <w:pPr>
        <w:numPr>
          <w:ilvl w:val="0"/>
          <w:numId w:val="33"/>
        </w:numPr>
        <w:spacing w:before="0" w:after="120"/>
        <w:rPr>
          <w:rFonts w:ascii="Times New Roman" w:hAnsi="Times New Roman" w:cs="Times New Roman"/>
          <w:i/>
          <w:sz w:val="24"/>
          <w:szCs w:val="24"/>
        </w:rPr>
      </w:pPr>
      <w:bookmarkStart w:id="805" w:name="Giacino2012c"/>
      <w:bookmarkEnd w:id="805"/>
      <w:r w:rsidRPr="00A3204A">
        <w:rPr>
          <w:rFonts w:ascii="Times New Roman" w:hAnsi="Times New Roman" w:cs="Times New Roman"/>
          <w:sz w:val="24"/>
          <w:szCs w:val="24"/>
        </w:rPr>
        <w:t xml:space="preserve">Giacino, J. T., Whyte, J., Bagiella, E., </w:t>
      </w:r>
      <w:smartTag w:uri="urn:schemas-microsoft-com:office:smarttags" w:element="place">
        <w:smartTag w:uri="urn:schemas-microsoft-com:office:smarttags" w:element="City">
          <w:r w:rsidRPr="00A3204A">
            <w:rPr>
              <w:rFonts w:ascii="Times New Roman" w:hAnsi="Times New Roman" w:cs="Times New Roman"/>
              <w:sz w:val="24"/>
              <w:szCs w:val="24"/>
            </w:rPr>
            <w:t>Kalmar</w:t>
          </w:r>
        </w:smartTag>
      </w:smartTag>
      <w:r w:rsidRPr="00A3204A">
        <w:rPr>
          <w:rFonts w:ascii="Times New Roman" w:hAnsi="Times New Roman" w:cs="Times New Roman"/>
          <w:sz w:val="24"/>
          <w:szCs w:val="24"/>
        </w:rPr>
        <w:t>, K., Childs, N., Khademi, A.,… Sherer, M. (2012c). Supplementary material for: Placebo controlled trial of amantadine for traumatic brain injury (MS# 11-</w:t>
      </w:r>
      <w:r w:rsidRPr="00A3204A">
        <w:rPr>
          <w:rFonts w:ascii="MS Gothic" w:eastAsia="MS Gothic" w:hAnsi="MS Gothic" w:cs="MS Gothic" w:hint="eastAsia"/>
          <w:sz w:val="24"/>
          <w:szCs w:val="24"/>
        </w:rPr>
        <w:t>ｭ</w:t>
      </w:r>
      <w:r w:rsidRPr="00A3204A">
        <w:rPr>
          <w:rFonts w:ascii="Calibri" w:hAnsi="Calibri" w:cs="Calibri"/>
          <w:sz w:val="24"/>
          <w:szCs w:val="24"/>
        </w:rPr>
        <w:t>‐</w:t>
      </w:r>
      <w:r w:rsidRPr="00A3204A">
        <w:rPr>
          <w:rFonts w:ascii="Times New Roman" w:hAnsi="Times New Roman" w:cs="Times New Roman"/>
          <w:sz w:val="24"/>
          <w:szCs w:val="24"/>
        </w:rPr>
        <w:t>02609.R1).</w:t>
      </w:r>
      <w:r w:rsidRPr="00A3204A">
        <w:rPr>
          <w:rFonts w:ascii="Times New Roman" w:eastAsia="OTNEJMQuadraat" w:hAnsi="Times New Roman" w:cs="Times New Roman"/>
          <w:sz w:val="24"/>
          <w:szCs w:val="24"/>
        </w:rPr>
        <w:t xml:space="preserve"> </w:t>
      </w:r>
      <w:r w:rsidRPr="00A3204A">
        <w:rPr>
          <w:rFonts w:ascii="Times New Roman" w:eastAsia="OTNEJMQuadraat" w:hAnsi="Times New Roman" w:cs="Times New Roman"/>
          <w:i/>
          <w:sz w:val="24"/>
          <w:szCs w:val="24"/>
        </w:rPr>
        <w:t xml:space="preserve">The </w:t>
      </w:r>
      <w:smartTag w:uri="urn:schemas-microsoft-com:office:smarttags" w:element="place">
        <w:r w:rsidRPr="00A3204A">
          <w:rPr>
            <w:rFonts w:ascii="Times New Roman" w:eastAsia="OTNEJMQuadraat" w:hAnsi="Times New Roman" w:cs="Times New Roman"/>
            <w:i/>
            <w:sz w:val="24"/>
            <w:szCs w:val="24"/>
          </w:rPr>
          <w:t>New England</w:t>
        </w:r>
      </w:smartTag>
      <w:r w:rsidRPr="00A3204A">
        <w:rPr>
          <w:rFonts w:ascii="Times New Roman" w:eastAsia="OTNEJMQuadraat" w:hAnsi="Times New Roman" w:cs="Times New Roman"/>
          <w:i/>
          <w:sz w:val="24"/>
          <w:szCs w:val="24"/>
        </w:rPr>
        <w:t xml:space="preserve"> Journal of Medicine, 366(9), </w:t>
      </w:r>
      <w:r w:rsidRPr="00A3204A">
        <w:rPr>
          <w:rFonts w:ascii="Times New Roman" w:eastAsia="OTNEJMQuadraat" w:hAnsi="Times New Roman" w:cs="Times New Roman"/>
          <w:sz w:val="24"/>
          <w:szCs w:val="24"/>
        </w:rPr>
        <w:t xml:space="preserve">1-13. </w:t>
      </w:r>
      <w:hyperlink r:id="rId51" w:history="1">
        <w:r w:rsidRPr="00A3204A">
          <w:rPr>
            <w:rFonts w:ascii="Times New Roman" w:eastAsia="OTNEJMQuadraat" w:hAnsi="Times New Roman" w:cs="Times New Roman"/>
            <w:color w:val="0000FF"/>
            <w:sz w:val="24"/>
            <w:szCs w:val="24"/>
            <w:u w:val="single"/>
          </w:rPr>
          <w:t>http://www.nejm.org</w:t>
        </w:r>
      </w:hyperlink>
      <w:r w:rsidRPr="00A3204A">
        <w:rPr>
          <w:rFonts w:ascii="Times New Roman" w:eastAsia="OTNEJMQuadraat" w:hAnsi="Times New Roman" w:cs="Times New Roman"/>
          <w:sz w:val="24"/>
          <w:szCs w:val="24"/>
        </w:rPr>
        <w:t xml:space="preserve">.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r w:rsidRPr="00A3204A">
        <w:rPr>
          <w:rFonts w:ascii="Times New Roman" w:hAnsi="Times New Roman" w:cs="Times New Roman"/>
          <w:i/>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Gianoli, G., Mcwilliams, S., Soileau, J., &amp; Belafsky, (2000). Posturographic performance in patients with the potential for secondary gain. </w:t>
      </w:r>
      <w:r w:rsidRPr="00A3204A">
        <w:rPr>
          <w:rFonts w:ascii="Times New Roman" w:hAnsi="Times New Roman" w:cs="Times New Roman"/>
          <w:i/>
          <w:sz w:val="24"/>
          <w:szCs w:val="24"/>
        </w:rPr>
        <w:t xml:space="preserve">Otolaryngology -- Head and Neck Surgery, 122, </w:t>
      </w:r>
      <w:r w:rsidRPr="00A3204A">
        <w:rPr>
          <w:rFonts w:ascii="Times New Roman" w:hAnsi="Times New Roman" w:cs="Times New Roman"/>
          <w:sz w:val="24"/>
          <w:szCs w:val="24"/>
        </w:rPr>
        <w:t xml:space="preserve">11-18. DOI:10.1016/SO194-5998(00)70137-9.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Gilman, S. (2002). Joint position sense and vibration sense: anatomical organization and assessment</w:t>
      </w:r>
      <w:r w:rsidRPr="00A3204A">
        <w:rPr>
          <w:rFonts w:ascii="Times New Roman" w:hAnsi="Times New Roman" w:cs="Times New Roman"/>
          <w:i/>
          <w:sz w:val="24"/>
          <w:szCs w:val="24"/>
        </w:rPr>
        <w:t xml:space="preserve">. Journal of Neurol Neurosurg Psychiatry, 72, </w:t>
      </w:r>
      <w:r w:rsidRPr="00A3204A">
        <w:rPr>
          <w:rFonts w:ascii="Times New Roman" w:hAnsi="Times New Roman" w:cs="Times New Roman"/>
          <w:sz w:val="24"/>
          <w:szCs w:val="24"/>
        </w:rPr>
        <w:t xml:space="preserve">473-477. </w:t>
      </w:r>
      <w:hyperlink r:id="rId52" w:history="1">
        <w:r w:rsidRPr="00A3204A">
          <w:rPr>
            <w:rFonts w:ascii="Times New Roman" w:hAnsi="Times New Roman" w:cs="Times New Roman"/>
            <w:color w:val="0000FF"/>
            <w:sz w:val="24"/>
            <w:szCs w:val="24"/>
            <w:u w:val="single"/>
          </w:rPr>
          <w:t>http://www.jnnp.com</w:t>
        </w:r>
      </w:hyperlink>
      <w:r w:rsidRPr="00A3204A">
        <w:rPr>
          <w:rFonts w:ascii="Times New Roman" w:hAnsi="Times New Roman" w:cs="Times New Roman"/>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smartTag w:uri="urn:schemas-microsoft-com:office:smarttags" w:element="place">
        <w:smartTag w:uri="urn:schemas-microsoft-com:office:smarttags" w:element="City">
          <w:r w:rsidRPr="00A3204A">
            <w:rPr>
              <w:rFonts w:ascii="Times New Roman" w:hAnsi="Times New Roman" w:cs="Times New Roman"/>
              <w:sz w:val="24"/>
              <w:szCs w:val="24"/>
            </w:rPr>
            <w:lastRenderedPageBreak/>
            <w:t>Giza</w:t>
          </w:r>
        </w:smartTag>
      </w:smartTag>
      <w:r w:rsidRPr="00A3204A">
        <w:rPr>
          <w:rFonts w:ascii="Times New Roman" w:hAnsi="Times New Roman" w:cs="Times New Roman"/>
          <w:sz w:val="24"/>
          <w:szCs w:val="24"/>
        </w:rPr>
        <w:t xml:space="preserve">, C. C., Griesbach, G. S., Hovda, D. A. (2005). Experience-dependent behavioral plasticity is disturbed following traumatic injury to the immature brain. </w:t>
      </w:r>
      <w:r w:rsidRPr="00A3204A">
        <w:rPr>
          <w:rFonts w:ascii="Times New Roman" w:hAnsi="Times New Roman" w:cs="Times New Roman"/>
          <w:i/>
          <w:sz w:val="24"/>
          <w:szCs w:val="24"/>
        </w:rPr>
        <w:t>Behavioural Brain Research, 157,</w:t>
      </w:r>
      <w:r w:rsidRPr="00A3204A">
        <w:rPr>
          <w:rFonts w:ascii="Times New Roman" w:hAnsi="Times New Roman" w:cs="Times New Roman"/>
          <w:sz w:val="24"/>
          <w:szCs w:val="24"/>
        </w:rPr>
        <w:t xml:space="preserve"> 11–22. DOI:10.1016/j.bbr.2004.06.003.</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Goebel, J. A., Sataloff, R., Hanson, J. M., Nashner, L. M.,…Sokolow, C. (1997). Posturographic evidence of nonorganic sway patterns in normal subjects, patients, and suspected malingerers. </w:t>
      </w:r>
      <w:r w:rsidRPr="00A3204A">
        <w:rPr>
          <w:rFonts w:ascii="Times New Roman" w:hAnsi="Times New Roman" w:cs="Times New Roman"/>
          <w:i/>
          <w:sz w:val="24"/>
          <w:szCs w:val="24"/>
        </w:rPr>
        <w:t>Otolaryngology-Head and Neck Surgery, 117(4)</w:t>
      </w:r>
      <w:r w:rsidRPr="00A3204A">
        <w:rPr>
          <w:rFonts w:ascii="Times New Roman" w:hAnsi="Times New Roman" w:cs="Times New Roman"/>
          <w:sz w:val="24"/>
          <w:szCs w:val="24"/>
        </w:rPr>
        <w:t xml:space="preserve">, 293-302.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Gonzalez, P. G., &amp; Walker, M. T. (2011). Imaging modalities in mild traumatic brain injury and sports concussion. </w:t>
      </w:r>
      <w:r w:rsidRPr="00A3204A">
        <w:rPr>
          <w:rFonts w:ascii="Times New Roman" w:hAnsi="Times New Roman" w:cs="Times New Roman"/>
          <w:i/>
          <w:sz w:val="24"/>
          <w:szCs w:val="24"/>
        </w:rPr>
        <w:t xml:space="preserve">American </w:t>
      </w:r>
      <w:smartTag w:uri="urn:schemas-microsoft-com:office:smarttags" w:element="place">
        <w:smartTag w:uri="urn:schemas-microsoft-com:office:smarttags" w:element="PlaceType">
          <w:r w:rsidRPr="00A3204A">
            <w:rPr>
              <w:rFonts w:ascii="Times New Roman" w:hAnsi="Times New Roman" w:cs="Times New Roman"/>
              <w:i/>
              <w:sz w:val="24"/>
              <w:szCs w:val="24"/>
            </w:rPr>
            <w:t>Academy</w:t>
          </w:r>
        </w:smartTag>
        <w:r w:rsidRPr="00A3204A">
          <w:rPr>
            <w:rFonts w:ascii="Times New Roman" w:hAnsi="Times New Roman" w:cs="Times New Roman"/>
            <w:i/>
            <w:sz w:val="24"/>
            <w:szCs w:val="24"/>
          </w:rPr>
          <w:t xml:space="preserve"> of </w:t>
        </w:r>
        <w:smartTag w:uri="urn:schemas-microsoft-com:office:smarttags" w:element="PlaceName">
          <w:r w:rsidRPr="00A3204A">
            <w:rPr>
              <w:rFonts w:ascii="Times New Roman" w:hAnsi="Times New Roman" w:cs="Times New Roman"/>
              <w:i/>
              <w:sz w:val="24"/>
              <w:szCs w:val="24"/>
            </w:rPr>
            <w:t>Physical Medicine</w:t>
          </w:r>
        </w:smartTag>
      </w:smartTag>
      <w:r w:rsidRPr="00A3204A">
        <w:rPr>
          <w:rFonts w:ascii="Times New Roman" w:hAnsi="Times New Roman" w:cs="Times New Roman"/>
          <w:i/>
          <w:sz w:val="24"/>
          <w:szCs w:val="24"/>
        </w:rPr>
        <w:t xml:space="preserve"> and Rehabilitation, 3, </w:t>
      </w:r>
      <w:r w:rsidRPr="00A3204A">
        <w:rPr>
          <w:rFonts w:ascii="Times New Roman" w:hAnsi="Times New Roman" w:cs="Times New Roman"/>
          <w:sz w:val="24"/>
          <w:szCs w:val="24"/>
        </w:rPr>
        <w:t xml:space="preserve">S413-S424. DOI: 10.1016/j. pmrj.2011.08.536.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Gonzalez-Frenandez, M., Gil-Gomez, J., Alcaniz, M., Noe, E. &amp; Colomer, C. (2010). eBaViR, easy balance virtual rehabilitation system: a Study with patients. </w:t>
      </w:r>
      <w:r w:rsidRPr="00A3204A">
        <w:rPr>
          <w:rFonts w:ascii="Times New Roman" w:hAnsi="Times New Roman" w:cs="Times New Roman"/>
          <w:i/>
          <w:sz w:val="24"/>
          <w:szCs w:val="24"/>
        </w:rPr>
        <w:t>Annual Review of</w:t>
      </w:r>
      <w:r w:rsidRPr="00A3204A">
        <w:rPr>
          <w:rFonts w:ascii="Times New Roman" w:hAnsi="Times New Roman" w:cs="Times New Roman"/>
          <w:sz w:val="24"/>
          <w:szCs w:val="24"/>
        </w:rPr>
        <w:t xml:space="preserve"> </w:t>
      </w:r>
      <w:r w:rsidRPr="00A3204A">
        <w:rPr>
          <w:rFonts w:ascii="Times New Roman" w:hAnsi="Times New Roman" w:cs="Times New Roman"/>
          <w:i/>
          <w:sz w:val="24"/>
          <w:szCs w:val="24"/>
        </w:rPr>
        <w:t>Cybertherapy and Telemedicine,</w:t>
      </w:r>
      <w:r w:rsidRPr="00A3204A">
        <w:rPr>
          <w:rFonts w:ascii="Times New Roman" w:hAnsi="Times New Roman" w:cs="Times New Roman"/>
          <w:sz w:val="24"/>
          <w:szCs w:val="24"/>
        </w:rPr>
        <w:t>61-66</w:t>
      </w:r>
      <w:r w:rsidRPr="00A3204A">
        <w:rPr>
          <w:rFonts w:ascii="Times New Roman" w:hAnsi="Times New Roman" w:cs="Times New Roman"/>
          <w:i/>
          <w:sz w:val="24"/>
          <w:szCs w:val="24"/>
        </w:rPr>
        <w:t xml:space="preserve">. </w:t>
      </w:r>
      <w:r w:rsidRPr="00A3204A">
        <w:rPr>
          <w:rFonts w:ascii="Times New Roman" w:hAnsi="Times New Roman" w:cs="Times New Roman"/>
          <w:sz w:val="24"/>
          <w:szCs w:val="24"/>
        </w:rPr>
        <w:t xml:space="preserve">DOI:10.3233/978-1-60750-561-7-61.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06" w:name="Gooch2009"/>
      <w:bookmarkEnd w:id="806"/>
      <w:r w:rsidRPr="00A3204A">
        <w:rPr>
          <w:rFonts w:ascii="Times New Roman" w:hAnsi="Times New Roman" w:cs="Times New Roman"/>
          <w:sz w:val="24"/>
          <w:szCs w:val="24"/>
        </w:rPr>
        <w:t xml:space="preserve">Gooch, M. R., Gin, G. E., Kenning, T. J., &amp; German, J. W. (2009). Complications of cranioplasty following decompressive craniectomy: analysis of 62 cases. </w:t>
      </w:r>
      <w:r w:rsidRPr="00A3204A">
        <w:rPr>
          <w:rFonts w:ascii="Times New Roman" w:hAnsi="Times New Roman" w:cs="Times New Roman"/>
          <w:i/>
          <w:sz w:val="24"/>
          <w:szCs w:val="24"/>
        </w:rPr>
        <w:t>Journal of Neurosurgery, 26(6),</w:t>
      </w:r>
      <w:r w:rsidRPr="00A3204A">
        <w:rPr>
          <w:rFonts w:ascii="Times New Roman" w:hAnsi="Times New Roman" w:cs="Times New Roman"/>
          <w:sz w:val="24"/>
          <w:szCs w:val="24"/>
        </w:rPr>
        <w:t xml:space="preserve"> E9. DOI: 10.3171/2009.3. FOCUS0962.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Gordon, W.A., Zafonte, R., Cicerone, K., Cantor, J., Brown, M., Lombard, L.,… Chandna, T., (2006). Traumatic brain injury rehabilitation: State of the science. </w:t>
      </w:r>
      <w:r w:rsidRPr="00A3204A">
        <w:rPr>
          <w:rFonts w:ascii="Times New Roman" w:hAnsi="Times New Roman" w:cs="Times New Roman"/>
          <w:i/>
          <w:sz w:val="24"/>
          <w:szCs w:val="24"/>
        </w:rPr>
        <w:t>American Journal of Physical Medice and Rehabilitation, 85,</w:t>
      </w:r>
      <w:r w:rsidRPr="00A3204A">
        <w:rPr>
          <w:rFonts w:ascii="Times New Roman" w:hAnsi="Times New Roman" w:cs="Times New Roman"/>
          <w:sz w:val="24"/>
          <w:szCs w:val="24"/>
        </w:rPr>
        <w:t xml:space="preserve"> 343-382. DOI: 10.1097/01.phm.0000202106.01654.61.</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Gottshall, K. (2011). Vestibular rehabilitation after mild traumatic brain injury with vestibular pathology. </w:t>
      </w:r>
      <w:r w:rsidRPr="00A3204A">
        <w:rPr>
          <w:rFonts w:ascii="Times New Roman" w:hAnsi="Times New Roman" w:cs="Times New Roman"/>
          <w:i/>
          <w:sz w:val="24"/>
          <w:szCs w:val="24"/>
        </w:rPr>
        <w:t xml:space="preserve">NeuroRehabilitation, 29, </w:t>
      </w:r>
      <w:r w:rsidRPr="00A3204A">
        <w:rPr>
          <w:rFonts w:ascii="Times New Roman" w:hAnsi="Times New Roman" w:cs="Times New Roman"/>
          <w:sz w:val="24"/>
          <w:szCs w:val="24"/>
        </w:rPr>
        <w:t xml:space="preserve">167-171. DOI: 10.3233/NRE-2011-0691.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807" w:name="Gowda2006"/>
      <w:bookmarkEnd w:id="807"/>
      <w:r w:rsidRPr="00A3204A">
        <w:rPr>
          <w:rFonts w:ascii="Times New Roman" w:hAnsi="Times New Roman" w:cs="Times New Roman"/>
          <w:sz w:val="24"/>
          <w:szCs w:val="24"/>
        </w:rPr>
        <w:t xml:space="preserve">Gowda, N. K., Agrawal, D., Bal, C., Chandrashekar, N., Tripati, M., Bandopadhyaya, G. P.,… Mahapatra, A. K. (2006). </w:t>
      </w:r>
      <w:r w:rsidRPr="00A3204A">
        <w:rPr>
          <w:rFonts w:ascii="Times New Roman" w:hAnsi="Times New Roman" w:cs="Times New Roman"/>
          <w:bCs/>
          <w:sz w:val="24"/>
          <w:szCs w:val="24"/>
        </w:rPr>
        <w:t xml:space="preserve">Technetium Tc-99m ethyl cysteinate dimer brain single-photon emission CT in mild traumatic brain injury: A prospective study. </w:t>
      </w:r>
      <w:r w:rsidRPr="00A3204A">
        <w:rPr>
          <w:rFonts w:ascii="Times New Roman" w:hAnsi="Times New Roman" w:cs="Times New Roman"/>
          <w:bCs/>
          <w:i/>
          <w:sz w:val="24"/>
          <w:szCs w:val="24"/>
        </w:rPr>
        <w:t xml:space="preserve">American Journal of Neuroradiology 27, </w:t>
      </w:r>
      <w:r w:rsidRPr="00A3204A">
        <w:rPr>
          <w:rFonts w:ascii="Times New Roman" w:hAnsi="Times New Roman" w:cs="Times New Roman"/>
          <w:bCs/>
          <w:sz w:val="24"/>
          <w:szCs w:val="24"/>
        </w:rPr>
        <w:t xml:space="preserve">447– 451. </w:t>
      </w:r>
      <w:hyperlink r:id="rId53" w:history="1">
        <w:r w:rsidRPr="00A3204A">
          <w:rPr>
            <w:rFonts w:ascii="Times New Roman" w:hAnsi="Times New Roman" w:cs="Times New Roman"/>
            <w:bCs/>
            <w:color w:val="0000FF"/>
            <w:sz w:val="24"/>
            <w:szCs w:val="24"/>
            <w:u w:val="single"/>
          </w:rPr>
          <w:t>http://www.ajnr.org</w:t>
        </w:r>
      </w:hyperlink>
      <w:r w:rsidRPr="00A3204A">
        <w:rPr>
          <w:rFonts w:ascii="Times New Roman" w:hAnsi="Times New Roman" w:cs="Times New Roman"/>
          <w:bCs/>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Granacher, R. P. Jr. (2008). Commentary: Applications of functional neuroimaging to civil litigation of mild traumatic brain injury. </w:t>
      </w:r>
      <w:smartTag w:uri="urn:schemas-microsoft-com:office:smarttags" w:element="place">
        <w:smartTag w:uri="urn:schemas-microsoft-com:office:smarttags" w:element="PlaceName">
          <w:r w:rsidRPr="00A3204A">
            <w:rPr>
              <w:rFonts w:ascii="Times New Roman" w:hAnsi="Times New Roman" w:cs="Times New Roman"/>
              <w:i/>
              <w:sz w:val="24"/>
              <w:szCs w:val="24"/>
            </w:rPr>
            <w:t>Journal</w:t>
          </w:r>
        </w:smartTag>
        <w:r w:rsidRPr="00A3204A">
          <w:rPr>
            <w:rFonts w:ascii="Times New Roman" w:hAnsi="Times New Roman" w:cs="Times New Roman"/>
            <w:i/>
            <w:sz w:val="24"/>
            <w:szCs w:val="24"/>
          </w:rPr>
          <w:t xml:space="preserve"> </w:t>
        </w:r>
        <w:smartTag w:uri="urn:schemas-microsoft-com:office:smarttags" w:element="PlaceName">
          <w:r w:rsidRPr="00A3204A">
            <w:rPr>
              <w:rFonts w:ascii="Times New Roman" w:hAnsi="Times New Roman" w:cs="Times New Roman"/>
              <w:i/>
              <w:sz w:val="24"/>
              <w:szCs w:val="24"/>
            </w:rPr>
            <w:t>American</w:t>
          </w:r>
        </w:smartTag>
        <w:r w:rsidRPr="00A3204A">
          <w:rPr>
            <w:rFonts w:ascii="Times New Roman" w:hAnsi="Times New Roman" w:cs="Times New Roman"/>
            <w:i/>
            <w:sz w:val="24"/>
            <w:szCs w:val="24"/>
          </w:rPr>
          <w:t xml:space="preserve"> </w:t>
        </w:r>
        <w:smartTag w:uri="urn:schemas-microsoft-com:office:smarttags" w:element="PlaceType">
          <w:r w:rsidRPr="00A3204A">
            <w:rPr>
              <w:rFonts w:ascii="Times New Roman" w:hAnsi="Times New Roman" w:cs="Times New Roman"/>
              <w:i/>
              <w:sz w:val="24"/>
              <w:szCs w:val="24"/>
            </w:rPr>
            <w:t>Academy</w:t>
          </w:r>
        </w:smartTag>
      </w:smartTag>
      <w:r w:rsidRPr="00A3204A">
        <w:rPr>
          <w:rFonts w:ascii="Times New Roman" w:hAnsi="Times New Roman" w:cs="Times New Roman"/>
          <w:i/>
          <w:sz w:val="24"/>
          <w:szCs w:val="24"/>
        </w:rPr>
        <w:t xml:space="preserve"> of Psychiatry Law, 36(3), </w:t>
      </w:r>
      <w:r w:rsidRPr="00A3204A">
        <w:rPr>
          <w:rFonts w:ascii="Times New Roman" w:hAnsi="Times New Roman" w:cs="Times New Roman"/>
          <w:sz w:val="24"/>
          <w:szCs w:val="24"/>
        </w:rPr>
        <w:t xml:space="preserve">323-328.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Gray, J. M., Robertson, I., Pentland, B., &amp; </w:t>
      </w:r>
      <w:smartTag w:uri="urn:schemas-microsoft-com:office:smarttags" w:element="City">
        <w:smartTag w:uri="urn:schemas-microsoft-com:office:smarttags" w:element="place">
          <w:r w:rsidRPr="00A3204A">
            <w:rPr>
              <w:rFonts w:ascii="Times New Roman" w:hAnsi="Times New Roman" w:cs="Times New Roman"/>
              <w:sz w:val="24"/>
              <w:szCs w:val="24"/>
            </w:rPr>
            <w:t>Anderson</w:t>
          </w:r>
        </w:smartTag>
      </w:smartTag>
      <w:r w:rsidRPr="00A3204A">
        <w:rPr>
          <w:rFonts w:ascii="Times New Roman" w:hAnsi="Times New Roman" w:cs="Times New Roman"/>
          <w:sz w:val="24"/>
          <w:szCs w:val="24"/>
        </w:rPr>
        <w:t xml:space="preserve">, S. (1992). Microcomputer-based attentional retraining after brain damage: A randomized group controlled trial. </w:t>
      </w:r>
      <w:r w:rsidRPr="00A3204A">
        <w:rPr>
          <w:rFonts w:ascii="Times New Roman" w:hAnsi="Times New Roman" w:cs="Times New Roman"/>
          <w:i/>
          <w:sz w:val="24"/>
          <w:szCs w:val="24"/>
        </w:rPr>
        <w:t xml:space="preserve">Neuropsychological Rehabilitation, 2(2), </w:t>
      </w:r>
      <w:r w:rsidRPr="00A3204A">
        <w:rPr>
          <w:rFonts w:ascii="Times New Roman" w:hAnsi="Times New Roman" w:cs="Times New Roman"/>
          <w:sz w:val="24"/>
          <w:szCs w:val="24"/>
        </w:rPr>
        <w:t xml:space="preserve">97-115. </w:t>
      </w:r>
    </w:p>
    <w:p w:rsidR="00A3204A" w:rsidRPr="00A3204A" w:rsidRDefault="00A3204A" w:rsidP="009C3DC2">
      <w:pPr>
        <w:numPr>
          <w:ilvl w:val="0"/>
          <w:numId w:val="33"/>
        </w:numPr>
        <w:tabs>
          <w:tab w:val="clear" w:pos="360"/>
          <w:tab w:val="num" w:pos="540"/>
          <w:tab w:val="left" w:pos="77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Green, W., Ciuffreda, K. J., Thiagarajan, P., Optom, B. S.,…Kapoor, N. (2010a). Accommodation in mild traumatic brain injury. </w:t>
      </w:r>
      <w:r w:rsidRPr="00A3204A">
        <w:rPr>
          <w:rFonts w:ascii="Times New Roman" w:hAnsi="Times New Roman" w:cs="Times New Roman"/>
          <w:i/>
          <w:sz w:val="24"/>
          <w:szCs w:val="24"/>
        </w:rPr>
        <w:t xml:space="preserve">Journal of Rehabilitation Research &amp; Development, 47(3), </w:t>
      </w:r>
      <w:r w:rsidRPr="00A3204A">
        <w:rPr>
          <w:rFonts w:ascii="Times New Roman" w:hAnsi="Times New Roman" w:cs="Times New Roman"/>
          <w:sz w:val="24"/>
          <w:szCs w:val="24"/>
        </w:rPr>
        <w:t xml:space="preserve">183-200. </w:t>
      </w:r>
    </w:p>
    <w:p w:rsidR="00A3204A" w:rsidRPr="00A3204A" w:rsidRDefault="00A3204A" w:rsidP="009C3DC2">
      <w:pPr>
        <w:numPr>
          <w:ilvl w:val="0"/>
          <w:numId w:val="33"/>
        </w:numPr>
        <w:tabs>
          <w:tab w:val="clear" w:pos="360"/>
          <w:tab w:val="num" w:pos="540"/>
          <w:tab w:val="left" w:pos="77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Green, W., Ciuffreda, K. J., Thiagarajan, P., Optom, B. S.,. . . Kapoor, N. (2010b). Static and dynamic aspects of accommodation in mild traumatic brain injury: A review</w:t>
      </w:r>
      <w:r w:rsidRPr="00A3204A">
        <w:rPr>
          <w:rFonts w:ascii="Times New Roman" w:hAnsi="Times New Roman" w:cs="Times New Roman"/>
          <w:i/>
          <w:sz w:val="24"/>
          <w:szCs w:val="24"/>
        </w:rPr>
        <w:t xml:space="preserve">. Optometry, 81, </w:t>
      </w:r>
      <w:r w:rsidRPr="00A3204A">
        <w:rPr>
          <w:rFonts w:ascii="Times New Roman" w:hAnsi="Times New Roman" w:cs="Times New Roman"/>
          <w:sz w:val="24"/>
          <w:szCs w:val="24"/>
        </w:rPr>
        <w:t xml:space="preserve">129-136. DOI:10.1016/j. optm.2009.07.015. </w:t>
      </w:r>
    </w:p>
    <w:p w:rsidR="00A3204A" w:rsidRPr="00A3204A" w:rsidRDefault="00A3204A" w:rsidP="009C3DC2">
      <w:pPr>
        <w:numPr>
          <w:ilvl w:val="0"/>
          <w:numId w:val="33"/>
        </w:numPr>
        <w:tabs>
          <w:tab w:val="clear" w:pos="360"/>
          <w:tab w:val="num" w:pos="540"/>
          <w:tab w:val="left" w:pos="77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Greener, J., Enderby, P., &amp; Whurr, R. (2010). </w:t>
      </w:r>
      <w:r w:rsidRPr="00A3204A">
        <w:rPr>
          <w:rFonts w:ascii="Times New Roman" w:hAnsi="Times New Roman" w:cs="Times New Roman"/>
          <w:bCs/>
          <w:sz w:val="24"/>
          <w:szCs w:val="24"/>
        </w:rPr>
        <w:t xml:space="preserve">Pharmacological treatment for aphasia following stroke (Review). </w:t>
      </w:r>
      <w:r w:rsidRPr="00A3204A">
        <w:rPr>
          <w:rFonts w:ascii="Times New Roman" w:hAnsi="Times New Roman" w:cs="Times New Roman"/>
          <w:i/>
          <w:iCs/>
          <w:sz w:val="24"/>
          <w:szCs w:val="24"/>
        </w:rPr>
        <w:t>Cochrane Database of Systematic Reviews</w:t>
      </w:r>
      <w:r w:rsidRPr="00A3204A">
        <w:rPr>
          <w:rFonts w:ascii="Times New Roman" w:hAnsi="Times New Roman" w:cs="Times New Roman"/>
          <w:bCs/>
          <w:i/>
          <w:sz w:val="24"/>
          <w:szCs w:val="24"/>
        </w:rPr>
        <w:t xml:space="preserve">, 5, </w:t>
      </w:r>
      <w:r w:rsidRPr="00A3204A">
        <w:rPr>
          <w:rFonts w:ascii="Times New Roman" w:hAnsi="Times New Roman" w:cs="Times New Roman"/>
          <w:bCs/>
          <w:sz w:val="24"/>
          <w:szCs w:val="24"/>
        </w:rPr>
        <w:t xml:space="preserve">1-59. DOI: 10.1002/14651858.CD000424. </w:t>
      </w:r>
      <w:hyperlink r:id="rId54" w:history="1">
        <w:r w:rsidRPr="00A3204A">
          <w:rPr>
            <w:rFonts w:ascii="Times New Roman" w:hAnsi="Times New Roman" w:cs="Times New Roman"/>
            <w:bCs/>
            <w:color w:val="0000FF"/>
            <w:sz w:val="24"/>
            <w:szCs w:val="24"/>
            <w:u w:val="single"/>
          </w:rPr>
          <w:t>http://www.thecochranelibrary.com</w:t>
        </w:r>
      </w:hyperlink>
      <w:r w:rsidRPr="00A3204A">
        <w:rPr>
          <w:rFonts w:ascii="Times New Roman" w:hAnsi="Times New Roman" w:cs="Times New Roman"/>
          <w:bCs/>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lastRenderedPageBreak/>
        <w:t xml:space="preserve">Griesbach, G. S. (2011a). Exercise after traumatic brain injury: Is it a double-edged sword? </w:t>
      </w:r>
      <w:r w:rsidRPr="00A3204A">
        <w:rPr>
          <w:rFonts w:ascii="Times New Roman" w:hAnsi="Times New Roman" w:cs="Times New Roman"/>
          <w:i/>
          <w:sz w:val="24"/>
          <w:szCs w:val="24"/>
        </w:rPr>
        <w:t>Physical Medicine and Rehabilitation, 3,</w:t>
      </w:r>
      <w:r w:rsidRPr="00A3204A">
        <w:rPr>
          <w:rFonts w:ascii="Times New Roman" w:hAnsi="Times New Roman" w:cs="Times New Roman"/>
          <w:sz w:val="24"/>
          <w:szCs w:val="24"/>
        </w:rPr>
        <w:t xml:space="preserve"> S64-S72. DOI: 10.1016/j.pmrj.2011.02.008</w:t>
      </w:r>
    </w:p>
    <w:p w:rsidR="00A3204A" w:rsidRPr="00A3204A" w:rsidRDefault="00A3204A" w:rsidP="009C3DC2">
      <w:pPr>
        <w:numPr>
          <w:ilvl w:val="0"/>
          <w:numId w:val="33"/>
        </w:numPr>
        <w:tabs>
          <w:tab w:val="clear" w:pos="360"/>
          <w:tab w:val="num" w:pos="540"/>
          <w:tab w:val="left" w:pos="7740"/>
        </w:tabs>
        <w:spacing w:before="0" w:after="120"/>
        <w:ind w:left="900" w:hanging="900"/>
        <w:rPr>
          <w:rFonts w:ascii="Times New Roman" w:hAnsi="Times New Roman" w:cs="Times New Roman"/>
          <w:i/>
          <w:sz w:val="24"/>
          <w:szCs w:val="24"/>
        </w:rPr>
      </w:pPr>
      <w:bookmarkStart w:id="808" w:name="Graesbach2004a"/>
      <w:bookmarkEnd w:id="808"/>
      <w:r w:rsidRPr="00A3204A">
        <w:rPr>
          <w:rFonts w:ascii="Times New Roman" w:hAnsi="Times New Roman" w:cs="Times New Roman"/>
          <w:sz w:val="24"/>
          <w:szCs w:val="24"/>
        </w:rPr>
        <w:t xml:space="preserve">Griesbach, G. S., Gomez-Pinilla, F., &amp; Hovda, D. A. (2004a). The upregulation of plasticity-related proteins following TBI is disrupted with acute voluntary exercise. </w:t>
      </w:r>
      <w:r w:rsidRPr="00A3204A">
        <w:rPr>
          <w:rFonts w:ascii="Times New Roman" w:hAnsi="Times New Roman" w:cs="Times New Roman"/>
          <w:i/>
          <w:sz w:val="24"/>
          <w:szCs w:val="24"/>
        </w:rPr>
        <w:t>Brain Research, 1016,</w:t>
      </w:r>
      <w:r w:rsidRPr="00A3204A">
        <w:rPr>
          <w:rFonts w:ascii="Times New Roman" w:hAnsi="Times New Roman" w:cs="Times New Roman"/>
          <w:sz w:val="24"/>
          <w:szCs w:val="24"/>
        </w:rPr>
        <w:t xml:space="preserve"> 154–162. DOI:10.1016/j.brainres.2004.04.079</w:t>
      </w:r>
    </w:p>
    <w:p w:rsidR="00A3204A" w:rsidRPr="00A3204A" w:rsidRDefault="00A3204A" w:rsidP="009C3DC2">
      <w:pPr>
        <w:numPr>
          <w:ilvl w:val="0"/>
          <w:numId w:val="33"/>
        </w:numPr>
        <w:tabs>
          <w:tab w:val="clear" w:pos="360"/>
          <w:tab w:val="num" w:pos="540"/>
          <w:tab w:val="left" w:pos="77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Griesbach, G. S., Gomez-Pinilla, F., &amp; Hovda, D. A. (2007). Time window for voluntary exercise–induced increases in hippocampal neuroplasticity molecules after traumatic brain injury is severity dependent. </w:t>
      </w:r>
      <w:r w:rsidRPr="00A3204A">
        <w:rPr>
          <w:rFonts w:ascii="Times New Roman" w:hAnsi="Times New Roman" w:cs="Times New Roman"/>
          <w:i/>
          <w:sz w:val="24"/>
          <w:szCs w:val="24"/>
        </w:rPr>
        <w:t xml:space="preserve">Journal of Neurotrauma, 24(7), </w:t>
      </w:r>
      <w:r w:rsidRPr="00A3204A">
        <w:rPr>
          <w:rFonts w:ascii="Times New Roman" w:hAnsi="Times New Roman" w:cs="Times New Roman"/>
          <w:sz w:val="24"/>
          <w:szCs w:val="24"/>
        </w:rPr>
        <w:t>1161-1171. DOI: 10.1089/neu.2006.0255.</w:t>
      </w:r>
    </w:p>
    <w:p w:rsidR="00A3204A" w:rsidRPr="00A3204A" w:rsidRDefault="00A3204A" w:rsidP="009C3DC2">
      <w:pPr>
        <w:keepLines/>
        <w:numPr>
          <w:ilvl w:val="0"/>
          <w:numId w:val="33"/>
        </w:numPr>
        <w:tabs>
          <w:tab w:val="clear" w:pos="360"/>
          <w:tab w:val="num" w:pos="540"/>
          <w:tab w:val="left" w:pos="77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Griesbach, G. S., Hovda, D. A., &amp; Gomez-Pinilla, F. (2009). </w:t>
      </w:r>
      <w:r w:rsidRPr="00A3204A">
        <w:rPr>
          <w:rFonts w:ascii="Times New Roman" w:hAnsi="Times New Roman" w:cs="Times New Roman"/>
          <w:bCs/>
          <w:sz w:val="24"/>
          <w:szCs w:val="24"/>
        </w:rPr>
        <w:t xml:space="preserve">Exercise-induced improvement in cognitive performance after traumatic brain-injury in rats is dependent on BDNF Activation. </w:t>
      </w:r>
      <w:r w:rsidRPr="00A3204A">
        <w:rPr>
          <w:rFonts w:ascii="Times New Roman" w:hAnsi="Times New Roman" w:cs="Times New Roman"/>
          <w:bCs/>
          <w:i/>
          <w:iCs/>
          <w:sz w:val="24"/>
          <w:szCs w:val="24"/>
        </w:rPr>
        <w:t>Brain Research</w:t>
      </w:r>
      <w:r w:rsidRPr="00A3204A">
        <w:rPr>
          <w:rFonts w:ascii="Times New Roman" w:hAnsi="Times New Roman" w:cs="Times New Roman"/>
          <w:bCs/>
          <w:sz w:val="24"/>
          <w:szCs w:val="24"/>
        </w:rPr>
        <w:t>,</w:t>
      </w:r>
      <w:r w:rsidRPr="00A3204A">
        <w:rPr>
          <w:rFonts w:ascii="Times New Roman" w:hAnsi="Times New Roman" w:cs="Times New Roman"/>
          <w:bCs/>
          <w:i/>
          <w:sz w:val="24"/>
          <w:szCs w:val="24"/>
        </w:rPr>
        <w:t xml:space="preserve"> 1288</w:t>
      </w:r>
      <w:r w:rsidRPr="00A3204A">
        <w:rPr>
          <w:rFonts w:ascii="Times New Roman" w:hAnsi="Times New Roman" w:cs="Times New Roman"/>
          <w:bCs/>
          <w:sz w:val="24"/>
          <w:szCs w:val="24"/>
        </w:rPr>
        <w:t>, 105–115. DOI:10.1016/j.brainres.2009.06.045.</w:t>
      </w:r>
    </w:p>
    <w:p w:rsidR="00A3204A" w:rsidRPr="00A3204A" w:rsidRDefault="00A3204A" w:rsidP="009C3DC2">
      <w:pPr>
        <w:keepLines/>
        <w:numPr>
          <w:ilvl w:val="0"/>
          <w:numId w:val="33"/>
        </w:numPr>
        <w:tabs>
          <w:tab w:val="clear" w:pos="360"/>
          <w:tab w:val="num" w:pos="540"/>
          <w:tab w:val="left" w:pos="7740"/>
        </w:tabs>
        <w:spacing w:before="0" w:after="120"/>
        <w:ind w:left="900" w:hanging="900"/>
        <w:rPr>
          <w:rFonts w:ascii="Times New Roman" w:hAnsi="Times New Roman" w:cs="Times New Roman"/>
          <w:i/>
          <w:sz w:val="24"/>
          <w:szCs w:val="24"/>
        </w:rPr>
      </w:pPr>
      <w:bookmarkStart w:id="809" w:name="Graesbach2004b"/>
      <w:bookmarkEnd w:id="809"/>
      <w:r w:rsidRPr="00A3204A">
        <w:rPr>
          <w:rFonts w:ascii="Times New Roman" w:hAnsi="Times New Roman" w:cs="Times New Roman"/>
          <w:bCs/>
          <w:sz w:val="24"/>
          <w:szCs w:val="24"/>
        </w:rPr>
        <w:t xml:space="preserve">Griesbach, G. S., Hovda, D. A., Molteni, R., Wu, A., &amp; Gomez-Pinilla, F. (2004b). Voluntary exercise following traumatic brain injury: Brain- derived neurotrophic factor upregulation and recovery of function. </w:t>
      </w:r>
      <w:r w:rsidRPr="00A3204A">
        <w:rPr>
          <w:rFonts w:ascii="Times New Roman" w:hAnsi="Times New Roman" w:cs="Times New Roman"/>
          <w:i/>
          <w:iCs/>
          <w:sz w:val="24"/>
          <w:szCs w:val="24"/>
        </w:rPr>
        <w:t>Neuroscience,</w:t>
      </w:r>
      <w:r w:rsidRPr="00A3204A">
        <w:rPr>
          <w:rFonts w:ascii="Times New Roman" w:hAnsi="Times New Roman" w:cs="Times New Roman"/>
          <w:i/>
          <w:sz w:val="24"/>
          <w:szCs w:val="24"/>
        </w:rPr>
        <w:t xml:space="preserve">125, </w:t>
      </w:r>
      <w:r w:rsidRPr="00A3204A">
        <w:rPr>
          <w:rFonts w:ascii="Times New Roman" w:hAnsi="Times New Roman" w:cs="Times New Roman"/>
          <w:sz w:val="24"/>
          <w:szCs w:val="24"/>
        </w:rPr>
        <w:t>129–139. DOI: 10.1016/j.neuroscience.2004.01.030</w:t>
      </w:r>
    </w:p>
    <w:p w:rsidR="00A3204A" w:rsidRPr="00A3204A" w:rsidRDefault="00A3204A" w:rsidP="009C3DC2">
      <w:pPr>
        <w:numPr>
          <w:ilvl w:val="0"/>
          <w:numId w:val="33"/>
        </w:numPr>
        <w:tabs>
          <w:tab w:val="clear" w:pos="360"/>
          <w:tab w:val="num" w:pos="540"/>
          <w:tab w:val="left" w:pos="7740"/>
        </w:tabs>
        <w:spacing w:before="0" w:after="120"/>
        <w:ind w:left="900" w:hanging="900"/>
        <w:rPr>
          <w:rFonts w:ascii="Times New Roman" w:hAnsi="Times New Roman" w:cs="Times New Roman"/>
          <w:i/>
          <w:sz w:val="24"/>
          <w:szCs w:val="24"/>
        </w:rPr>
      </w:pPr>
      <w:r w:rsidRPr="00A3204A">
        <w:rPr>
          <w:rFonts w:ascii="Times New Roman" w:hAnsi="Times New Roman" w:cs="Times New Roman"/>
          <w:bCs/>
          <w:sz w:val="24"/>
          <w:szCs w:val="24"/>
        </w:rPr>
        <w:t>Griesbach, G. S., Hovda, D. A., Tio, D. L., &amp; Taylor, A. N. (2011b). Heightening of the stress response during the first weeks after a mild traumatic brain injury</w:t>
      </w:r>
      <w:r w:rsidRPr="00A3204A">
        <w:rPr>
          <w:rFonts w:ascii="Times New Roman" w:hAnsi="Times New Roman" w:cs="Times New Roman"/>
          <w:bCs/>
          <w:i/>
          <w:sz w:val="24"/>
          <w:szCs w:val="24"/>
        </w:rPr>
        <w:t xml:space="preserve">. </w:t>
      </w:r>
      <w:r w:rsidRPr="00A3204A">
        <w:rPr>
          <w:rFonts w:ascii="Times New Roman" w:hAnsi="Times New Roman" w:cs="Times New Roman"/>
          <w:i/>
          <w:iCs/>
          <w:sz w:val="24"/>
          <w:szCs w:val="24"/>
        </w:rPr>
        <w:t xml:space="preserve">Neuroscience, </w:t>
      </w:r>
      <w:r w:rsidRPr="00A3204A">
        <w:rPr>
          <w:rFonts w:ascii="Times New Roman" w:hAnsi="Times New Roman" w:cs="Times New Roman"/>
          <w:i/>
          <w:sz w:val="24"/>
          <w:szCs w:val="24"/>
        </w:rPr>
        <w:t>178,</w:t>
      </w:r>
      <w:r w:rsidRPr="00A3204A">
        <w:rPr>
          <w:rFonts w:ascii="Times New Roman" w:hAnsi="Times New Roman" w:cs="Times New Roman"/>
          <w:sz w:val="24"/>
          <w:szCs w:val="24"/>
        </w:rPr>
        <w:t>147–158. DOI:10.1016/j.neuroscience.2011.01.028.</w:t>
      </w:r>
    </w:p>
    <w:p w:rsidR="00A3204A" w:rsidRPr="00A3204A" w:rsidRDefault="00A3204A" w:rsidP="009C3DC2">
      <w:pPr>
        <w:numPr>
          <w:ilvl w:val="0"/>
          <w:numId w:val="33"/>
        </w:numPr>
        <w:tabs>
          <w:tab w:val="clear" w:pos="360"/>
          <w:tab w:val="num" w:pos="540"/>
          <w:tab w:val="left" w:pos="7740"/>
        </w:tabs>
        <w:spacing w:before="0" w:after="120"/>
        <w:ind w:left="900" w:hanging="900"/>
        <w:rPr>
          <w:rFonts w:ascii="Times New Roman" w:hAnsi="Times New Roman" w:cs="Times New Roman"/>
          <w:i/>
          <w:sz w:val="24"/>
          <w:szCs w:val="24"/>
        </w:rPr>
      </w:pPr>
      <w:bookmarkStart w:id="810" w:name="Graesbach2012"/>
      <w:bookmarkEnd w:id="810"/>
      <w:r w:rsidRPr="00A3204A">
        <w:rPr>
          <w:rFonts w:ascii="Times New Roman" w:hAnsi="Times New Roman" w:cs="Times New Roman"/>
          <w:sz w:val="24"/>
          <w:szCs w:val="24"/>
        </w:rPr>
        <w:t xml:space="preserve">Griesbach, G. S., Tio, D. L., Vincelli, J., McArthur, D. L., &amp; Taylor, A. N. (2012). Differential effects of voluntary and forced exercise after traumatic brain injury on stress responses. </w:t>
      </w:r>
      <w:r w:rsidRPr="00A3204A">
        <w:rPr>
          <w:rFonts w:ascii="Times New Roman" w:hAnsi="Times New Roman" w:cs="Times New Roman"/>
          <w:i/>
          <w:sz w:val="24"/>
          <w:szCs w:val="24"/>
        </w:rPr>
        <w:t xml:space="preserve">Journal of Neurotrauma, </w:t>
      </w:r>
      <w:r w:rsidRPr="00A3204A">
        <w:rPr>
          <w:rFonts w:ascii="Times New Roman" w:hAnsi="Times New Roman" w:cs="Times New Roman"/>
          <w:sz w:val="24"/>
          <w:szCs w:val="24"/>
        </w:rPr>
        <w:t>1-33. DOI: 10.1089/neu.2011.2229.</w:t>
      </w:r>
      <w:r w:rsidRPr="00A3204A">
        <w:rPr>
          <w:rFonts w:ascii="Times New Roman" w:hAnsi="Times New Roman" w:cs="Times New Roman"/>
          <w:i/>
          <w:sz w:val="24"/>
          <w:szCs w:val="24"/>
        </w:rPr>
        <w:t xml:space="preserve"> </w:t>
      </w:r>
    </w:p>
    <w:p w:rsidR="00A3204A" w:rsidRPr="00A3204A" w:rsidRDefault="00A3204A" w:rsidP="009C3DC2">
      <w:pPr>
        <w:numPr>
          <w:ilvl w:val="0"/>
          <w:numId w:val="33"/>
        </w:numPr>
        <w:tabs>
          <w:tab w:val="clear" w:pos="360"/>
          <w:tab w:val="num" w:pos="540"/>
          <w:tab w:val="left" w:pos="7740"/>
        </w:tabs>
        <w:spacing w:before="0" w:after="120"/>
        <w:ind w:left="900" w:hanging="900"/>
        <w:rPr>
          <w:rFonts w:ascii="Times New Roman" w:hAnsi="Times New Roman" w:cs="Times New Roman"/>
          <w:i/>
          <w:sz w:val="24"/>
          <w:szCs w:val="24"/>
        </w:rPr>
      </w:pPr>
      <w:bookmarkStart w:id="811" w:name="Grossman2001"/>
      <w:bookmarkEnd w:id="811"/>
      <w:r w:rsidRPr="00A3204A">
        <w:rPr>
          <w:rFonts w:ascii="Times New Roman" w:hAnsi="Times New Roman" w:cs="Times New Roman"/>
          <w:sz w:val="24"/>
          <w:szCs w:val="24"/>
        </w:rPr>
        <w:t xml:space="preserve">Grossmann, W., &amp; Schmidramsl, H. (2001). An extract of petasites hybridus is effect in the prophylaxis of migraine. </w:t>
      </w:r>
      <w:r w:rsidRPr="00A3204A">
        <w:rPr>
          <w:rFonts w:ascii="Times New Roman" w:hAnsi="Times New Roman" w:cs="Times New Roman"/>
          <w:i/>
          <w:sz w:val="24"/>
          <w:szCs w:val="24"/>
        </w:rPr>
        <w:t xml:space="preserve">Alternative Medicine Review, 6(3), </w:t>
      </w:r>
      <w:r w:rsidRPr="00A3204A">
        <w:rPr>
          <w:rFonts w:ascii="Times New Roman" w:hAnsi="Times New Roman" w:cs="Times New Roman"/>
          <w:sz w:val="24"/>
          <w:szCs w:val="24"/>
        </w:rPr>
        <w:t xml:space="preserve">303-310.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p>
    <w:p w:rsidR="00A3204A" w:rsidRPr="00A3204A" w:rsidRDefault="00A3204A" w:rsidP="009C3DC2">
      <w:pPr>
        <w:numPr>
          <w:ilvl w:val="0"/>
          <w:numId w:val="33"/>
        </w:numPr>
        <w:tabs>
          <w:tab w:val="clear" w:pos="360"/>
          <w:tab w:val="num" w:pos="540"/>
          <w:tab w:val="left" w:pos="77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Guresir, E., Schuss, P., Vatter, H., Raabe, A., Seifert, V., &amp; Beck, J. (2009). Decompressive craniectomy in subarachnoid hemorrhage. </w:t>
      </w:r>
      <w:r w:rsidRPr="00A3204A">
        <w:rPr>
          <w:rFonts w:ascii="Times New Roman" w:hAnsi="Times New Roman" w:cs="Times New Roman"/>
          <w:i/>
          <w:sz w:val="24"/>
          <w:szCs w:val="24"/>
        </w:rPr>
        <w:t>Journal of Neurosurgery, 26(6),</w:t>
      </w:r>
      <w:r w:rsidRPr="00A3204A">
        <w:rPr>
          <w:rFonts w:ascii="Times New Roman" w:hAnsi="Times New Roman" w:cs="Times New Roman"/>
          <w:sz w:val="24"/>
          <w:szCs w:val="24"/>
        </w:rPr>
        <w:t xml:space="preserve"> E4. DOI: 10.3171/2009.3. FOCUS0954. </w:t>
      </w:r>
    </w:p>
    <w:p w:rsidR="00A3204A" w:rsidRPr="00A3204A" w:rsidRDefault="00A3204A" w:rsidP="009C3DC2">
      <w:pPr>
        <w:keepLines/>
        <w:numPr>
          <w:ilvl w:val="0"/>
          <w:numId w:val="33"/>
        </w:numPr>
        <w:tabs>
          <w:tab w:val="clear" w:pos="360"/>
          <w:tab w:val="num" w:pos="540"/>
          <w:tab w:val="left" w:pos="7740"/>
        </w:tabs>
        <w:spacing w:before="0" w:after="120"/>
        <w:ind w:left="900" w:hanging="900"/>
        <w:rPr>
          <w:rFonts w:ascii="Times New Roman" w:hAnsi="Times New Roman" w:cs="Times New Roman"/>
          <w:i/>
          <w:sz w:val="24"/>
          <w:szCs w:val="24"/>
        </w:rPr>
      </w:pPr>
      <w:bookmarkStart w:id="812" w:name="Gurkov2012"/>
      <w:bookmarkEnd w:id="812"/>
      <w:r w:rsidRPr="00A3204A">
        <w:rPr>
          <w:rFonts w:ascii="Times New Roman" w:hAnsi="Times New Roman" w:cs="Times New Roman"/>
          <w:color w:val="231F20"/>
          <w:sz w:val="24"/>
          <w:szCs w:val="24"/>
        </w:rPr>
        <w:t xml:space="preserve">Gurkov, R., Filipe Mingas, L. B. Rader, T., Louza, J., Olzowy, B., &amp; Krause, E. (2012). </w:t>
      </w:r>
      <w:r w:rsidRPr="00A3204A">
        <w:rPr>
          <w:rFonts w:ascii="Times New Roman" w:hAnsi="Times New Roman" w:cs="Times New Roman"/>
          <w:sz w:val="24"/>
          <w:szCs w:val="24"/>
        </w:rPr>
        <w:t xml:space="preserve">Effect of transtympanic low-pressure therapy in patients with unilateral Menière’s disease unresponsive to betahistine: A randomised, placebo-controlled, double-blinded, clinical trial. </w:t>
      </w:r>
      <w:r w:rsidRPr="00A3204A">
        <w:rPr>
          <w:rFonts w:ascii="Times New Roman" w:hAnsi="Times New Roman" w:cs="Times New Roman"/>
          <w:i/>
          <w:sz w:val="24"/>
          <w:szCs w:val="24"/>
        </w:rPr>
        <w:t>The Journal of Laryngology &amp; Otology</w:t>
      </w:r>
      <w:r w:rsidRPr="00A3204A">
        <w:rPr>
          <w:rFonts w:ascii="Times New Roman" w:hAnsi="Times New Roman" w:cs="Times New Roman"/>
          <w:sz w:val="24"/>
          <w:szCs w:val="24"/>
        </w:rPr>
        <w:t xml:space="preserve">, 1-7. DOI:10.1017/S0022215112000102.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p>
    <w:p w:rsidR="00A3204A" w:rsidRPr="00A3204A" w:rsidRDefault="00A3204A" w:rsidP="009C3DC2">
      <w:pPr>
        <w:keepLines/>
        <w:numPr>
          <w:ilvl w:val="0"/>
          <w:numId w:val="33"/>
        </w:numPr>
        <w:tabs>
          <w:tab w:val="clear" w:pos="360"/>
          <w:tab w:val="num" w:pos="540"/>
          <w:tab w:val="left" w:pos="77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Guskiewicz, K. M., Bruce, S. L., Cantu, R. C., </w:t>
      </w:r>
      <w:smartTag w:uri="urn:schemas-microsoft-com:office:smarttags" w:element="place">
        <w:smartTag w:uri="urn:schemas-microsoft-com:office:smarttags" w:element="City">
          <w:r w:rsidRPr="00A3204A">
            <w:rPr>
              <w:rFonts w:ascii="Times New Roman" w:hAnsi="Times New Roman" w:cs="Times New Roman"/>
              <w:sz w:val="24"/>
              <w:szCs w:val="24"/>
            </w:rPr>
            <w:t>Ferrara</w:t>
          </w:r>
        </w:smartTag>
      </w:smartTag>
      <w:r w:rsidRPr="00A3204A">
        <w:rPr>
          <w:rFonts w:ascii="Times New Roman" w:hAnsi="Times New Roman" w:cs="Times New Roman"/>
          <w:sz w:val="24"/>
          <w:szCs w:val="24"/>
        </w:rPr>
        <w:t xml:space="preserve">, M. S., Kelly, J. P., McCrea, M.,… Valovich McLeod, T. C. (2006). Research based recommendations on management of sport related concussion: summary of the National Athletic Trainers’ Association position statement. </w:t>
      </w:r>
      <w:r w:rsidRPr="00A3204A">
        <w:rPr>
          <w:rFonts w:ascii="Times New Roman" w:hAnsi="Times New Roman" w:cs="Times New Roman"/>
          <w:i/>
          <w:sz w:val="24"/>
          <w:szCs w:val="24"/>
        </w:rPr>
        <w:t>British Journal of Sports Medicine,</w:t>
      </w:r>
      <w:r w:rsidRPr="00A3204A">
        <w:rPr>
          <w:rFonts w:ascii="Times New Roman" w:hAnsi="Times New Roman" w:cs="Times New Roman"/>
          <w:sz w:val="24"/>
          <w:szCs w:val="24"/>
        </w:rPr>
        <w:t xml:space="preserve"> 6-10. </w:t>
      </w:r>
      <w:hyperlink r:id="rId55" w:history="1">
        <w:r w:rsidRPr="00A3204A">
          <w:rPr>
            <w:rFonts w:ascii="Times New Roman" w:hAnsi="Times New Roman" w:cs="Times New Roman"/>
            <w:color w:val="0000FF"/>
            <w:sz w:val="24"/>
            <w:szCs w:val="24"/>
            <w:u w:val="single"/>
          </w:rPr>
          <w:t>http://www.bjsportmed.com</w:t>
        </w:r>
      </w:hyperlink>
      <w:r w:rsidRPr="00A3204A">
        <w:rPr>
          <w:rFonts w:ascii="Times New Roman" w:hAnsi="Times New Roman" w:cs="Times New Roman"/>
          <w:sz w:val="24"/>
          <w:szCs w:val="24"/>
        </w:rPr>
        <w:t xml:space="preserve"> </w:t>
      </w:r>
    </w:p>
    <w:p w:rsidR="00A3204A" w:rsidRPr="00A3204A" w:rsidRDefault="00A3204A" w:rsidP="009C3DC2">
      <w:pPr>
        <w:numPr>
          <w:ilvl w:val="0"/>
          <w:numId w:val="33"/>
        </w:numPr>
        <w:tabs>
          <w:tab w:val="clear" w:pos="360"/>
          <w:tab w:val="num" w:pos="540"/>
          <w:tab w:val="left" w:pos="7740"/>
        </w:tabs>
        <w:spacing w:before="0" w:after="120"/>
        <w:ind w:left="900" w:hanging="900"/>
        <w:rPr>
          <w:rFonts w:ascii="Times New Roman" w:hAnsi="Times New Roman" w:cs="Times New Roman"/>
          <w:i/>
          <w:sz w:val="24"/>
          <w:szCs w:val="24"/>
        </w:rPr>
      </w:pPr>
      <w:bookmarkStart w:id="813" w:name="Guskiewicz1996"/>
      <w:bookmarkEnd w:id="813"/>
      <w:r w:rsidRPr="00A3204A">
        <w:rPr>
          <w:rFonts w:ascii="Times New Roman" w:hAnsi="Times New Roman" w:cs="Times New Roman"/>
          <w:color w:val="231F20"/>
          <w:sz w:val="24"/>
          <w:szCs w:val="24"/>
        </w:rPr>
        <w:t>Guskiewicz, K.</w:t>
      </w:r>
      <w:r w:rsidRPr="00A3204A">
        <w:rPr>
          <w:rFonts w:ascii="Times New Roman" w:hAnsi="Times New Roman" w:cs="Times New Roman"/>
          <w:sz w:val="24"/>
          <w:szCs w:val="24"/>
        </w:rPr>
        <w:t xml:space="preserve"> M., Perrin, D. H., &amp; Gansneder, B. M. (1996). Effect of Mild Head Injury on Postural Stability in Athletes. </w:t>
      </w:r>
      <w:r w:rsidRPr="00A3204A">
        <w:rPr>
          <w:rFonts w:ascii="Times New Roman" w:hAnsi="Times New Roman" w:cs="Times New Roman"/>
          <w:i/>
          <w:sz w:val="24"/>
          <w:szCs w:val="24"/>
        </w:rPr>
        <w:t>Journal of Athletic Training, 31(4),</w:t>
      </w:r>
      <w:r w:rsidRPr="00A3204A">
        <w:rPr>
          <w:rFonts w:ascii="Times New Roman" w:hAnsi="Times New Roman" w:cs="Times New Roman"/>
          <w:sz w:val="24"/>
          <w:szCs w:val="24"/>
        </w:rPr>
        <w:t xml:space="preserve"> 300-306.</w:t>
      </w:r>
    </w:p>
    <w:p w:rsidR="00A3204A" w:rsidRPr="00A3204A" w:rsidRDefault="00A3204A" w:rsidP="009C3DC2">
      <w:pPr>
        <w:keepLines/>
        <w:numPr>
          <w:ilvl w:val="0"/>
          <w:numId w:val="33"/>
        </w:numPr>
        <w:tabs>
          <w:tab w:val="clear" w:pos="360"/>
          <w:tab w:val="num" w:pos="540"/>
          <w:tab w:val="left" w:pos="7740"/>
        </w:tabs>
        <w:spacing w:before="0" w:after="120"/>
        <w:ind w:left="900" w:hanging="900"/>
        <w:rPr>
          <w:rFonts w:ascii="Times New Roman" w:hAnsi="Times New Roman" w:cs="Times New Roman"/>
          <w:i/>
          <w:sz w:val="24"/>
          <w:szCs w:val="24"/>
        </w:rPr>
      </w:pPr>
      <w:bookmarkStart w:id="814" w:name="Guskiewicz2011"/>
      <w:bookmarkEnd w:id="814"/>
      <w:r w:rsidRPr="00A3204A">
        <w:rPr>
          <w:rFonts w:ascii="Times New Roman" w:hAnsi="Times New Roman" w:cs="Times New Roman"/>
          <w:sz w:val="24"/>
          <w:szCs w:val="24"/>
        </w:rPr>
        <w:lastRenderedPageBreak/>
        <w:t xml:space="preserve">Guskiewicz, K. M., &amp; Register-Mihalik, J. K. (2011). Postconcussive Impairment Differences Across a Multifaceted Concussion Assessment Protocol. </w:t>
      </w:r>
      <w:r w:rsidRPr="00A3204A">
        <w:rPr>
          <w:rFonts w:ascii="Times New Roman" w:hAnsi="Times New Roman" w:cs="Times New Roman"/>
          <w:i/>
          <w:sz w:val="24"/>
          <w:szCs w:val="24"/>
        </w:rPr>
        <w:t xml:space="preserve">American </w:t>
      </w:r>
      <w:smartTag w:uri="urn:schemas-microsoft-com:office:smarttags" w:element="place">
        <w:smartTag w:uri="urn:schemas-microsoft-com:office:smarttags" w:element="PlaceType">
          <w:r w:rsidRPr="00A3204A">
            <w:rPr>
              <w:rFonts w:ascii="Times New Roman" w:hAnsi="Times New Roman" w:cs="Times New Roman"/>
              <w:i/>
              <w:sz w:val="24"/>
              <w:szCs w:val="24"/>
            </w:rPr>
            <w:t>Academy</w:t>
          </w:r>
        </w:smartTag>
        <w:r w:rsidRPr="00A3204A">
          <w:rPr>
            <w:rFonts w:ascii="Times New Roman" w:hAnsi="Times New Roman" w:cs="Times New Roman"/>
            <w:i/>
            <w:sz w:val="24"/>
            <w:szCs w:val="24"/>
          </w:rPr>
          <w:t xml:space="preserve"> of </w:t>
        </w:r>
        <w:smartTag w:uri="urn:schemas-microsoft-com:office:smarttags" w:element="PlaceName">
          <w:r w:rsidRPr="00A3204A">
            <w:rPr>
              <w:rFonts w:ascii="Times New Roman" w:hAnsi="Times New Roman" w:cs="Times New Roman"/>
              <w:i/>
              <w:sz w:val="24"/>
              <w:szCs w:val="24"/>
            </w:rPr>
            <w:t>Physical Medicine</w:t>
          </w:r>
        </w:smartTag>
      </w:smartTag>
      <w:r w:rsidRPr="00A3204A">
        <w:rPr>
          <w:rFonts w:ascii="Times New Roman" w:hAnsi="Times New Roman" w:cs="Times New Roman"/>
          <w:i/>
          <w:sz w:val="24"/>
          <w:szCs w:val="24"/>
        </w:rPr>
        <w:t xml:space="preserve"> and Rehabilitation, 3,</w:t>
      </w:r>
      <w:r w:rsidRPr="00A3204A">
        <w:rPr>
          <w:rFonts w:ascii="Times New Roman" w:hAnsi="Times New Roman" w:cs="Times New Roman"/>
          <w:sz w:val="24"/>
          <w:szCs w:val="24"/>
        </w:rPr>
        <w:t xml:space="preserve"> S445-S451. DOI: 10.1016/j. pmrj.2011.08.009. </w:t>
      </w:r>
    </w:p>
    <w:p w:rsidR="00A3204A" w:rsidRPr="00A3204A" w:rsidRDefault="00A3204A" w:rsidP="009C3DC2">
      <w:pPr>
        <w:keepLines/>
        <w:numPr>
          <w:ilvl w:val="0"/>
          <w:numId w:val="33"/>
        </w:numPr>
        <w:tabs>
          <w:tab w:val="clear" w:pos="360"/>
          <w:tab w:val="num" w:pos="540"/>
          <w:tab w:val="left" w:pos="77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Hackett, M. L., Anderson, C. S., House, A., &amp; Halteh, C. (2008). Interventions for preventing depression after stroke. </w:t>
      </w:r>
      <w:r w:rsidRPr="00A3204A">
        <w:rPr>
          <w:rFonts w:ascii="Times New Roman" w:hAnsi="Times New Roman" w:cs="Times New Roman"/>
          <w:i/>
          <w:iCs/>
          <w:sz w:val="24"/>
          <w:szCs w:val="24"/>
        </w:rPr>
        <w:t xml:space="preserve">Cochrane Database of Systematic Reviews, 3, </w:t>
      </w:r>
      <w:r w:rsidRPr="00A3204A">
        <w:rPr>
          <w:rFonts w:ascii="Times New Roman" w:hAnsi="Times New Roman" w:cs="Times New Roman"/>
          <w:iCs/>
          <w:sz w:val="24"/>
          <w:szCs w:val="24"/>
        </w:rPr>
        <w:t xml:space="preserve">1-79. </w:t>
      </w:r>
      <w:r w:rsidRPr="00A3204A">
        <w:rPr>
          <w:rFonts w:ascii="Times New Roman" w:hAnsi="Times New Roman" w:cs="Times New Roman"/>
          <w:sz w:val="24"/>
          <w:szCs w:val="24"/>
        </w:rPr>
        <w:t>DOI: 10.1002/14651858.CD003689.pub3.</w:t>
      </w:r>
    </w:p>
    <w:p w:rsidR="00A3204A" w:rsidRPr="00A3204A" w:rsidRDefault="00A3204A" w:rsidP="009C3DC2">
      <w:pPr>
        <w:numPr>
          <w:ilvl w:val="0"/>
          <w:numId w:val="33"/>
        </w:numPr>
        <w:tabs>
          <w:tab w:val="clear" w:pos="360"/>
          <w:tab w:val="num" w:pos="540"/>
          <w:tab w:val="left" w:pos="77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Hall, K. M., Hamilton, B. B., Gordon, W. A., &amp; Zasler, N. D. (1993). Characteristics and comparisons of functional assessment indices: Disability Rating Scale, Functional Independence Measure, and Functional Assessment Measure. </w:t>
      </w:r>
      <w:r w:rsidRPr="00A3204A">
        <w:rPr>
          <w:rFonts w:ascii="Times New Roman" w:hAnsi="Times New Roman" w:cs="Times New Roman"/>
          <w:i/>
          <w:sz w:val="24"/>
          <w:szCs w:val="24"/>
        </w:rPr>
        <w:t xml:space="preserve">Journal Head Trauma Rehabilitation, 8(2), </w:t>
      </w:r>
      <w:r w:rsidRPr="00A3204A">
        <w:rPr>
          <w:rFonts w:ascii="Times New Roman" w:hAnsi="Times New Roman" w:cs="Times New Roman"/>
          <w:sz w:val="24"/>
          <w:szCs w:val="24"/>
        </w:rPr>
        <w:t xml:space="preserve">60-72. </w:t>
      </w:r>
    </w:p>
    <w:p w:rsidR="00A3204A" w:rsidRPr="00A3204A" w:rsidRDefault="00A3204A" w:rsidP="009C3DC2">
      <w:pPr>
        <w:numPr>
          <w:ilvl w:val="0"/>
          <w:numId w:val="33"/>
        </w:numPr>
        <w:tabs>
          <w:tab w:val="clear" w:pos="360"/>
          <w:tab w:val="num" w:pos="540"/>
          <w:tab w:val="left" w:pos="7740"/>
        </w:tabs>
        <w:spacing w:before="0" w:after="120"/>
        <w:ind w:left="900" w:hanging="900"/>
        <w:rPr>
          <w:rFonts w:ascii="Times New Roman" w:hAnsi="Times New Roman" w:cs="Times New Roman"/>
          <w:i/>
          <w:sz w:val="24"/>
          <w:szCs w:val="24"/>
        </w:rPr>
      </w:pPr>
      <w:bookmarkStart w:id="815" w:name="Harrington2008"/>
      <w:bookmarkEnd w:id="815"/>
      <w:r w:rsidRPr="00A3204A">
        <w:rPr>
          <w:rFonts w:ascii="Times New Roman" w:hAnsi="Times New Roman" w:cs="Times New Roman"/>
          <w:sz w:val="24"/>
          <w:szCs w:val="24"/>
        </w:rPr>
        <w:t xml:space="preserve">Harrington, A. L., Blount, P. J., &amp; Bockenek, W. L. (2008). Heterotopic ossification. In W. R. Frontera, J. K. Silver, &amp; T. D. Risso Jr. (Ed.), </w:t>
      </w:r>
      <w:r w:rsidRPr="00A3204A">
        <w:rPr>
          <w:rFonts w:ascii="Times New Roman" w:hAnsi="Times New Roman" w:cs="Times New Roman"/>
          <w:i/>
          <w:sz w:val="24"/>
          <w:szCs w:val="24"/>
        </w:rPr>
        <w:t>Essentials of Physical Medicine and Rehibilitation Musculoskeletal Disorders, Pain, and Rehabilitation, 2</w:t>
      </w:r>
      <w:r w:rsidRPr="00A3204A">
        <w:rPr>
          <w:rFonts w:ascii="Times New Roman" w:hAnsi="Times New Roman" w:cs="Times New Roman"/>
          <w:i/>
          <w:sz w:val="24"/>
          <w:szCs w:val="24"/>
          <w:vertAlign w:val="superscript"/>
        </w:rPr>
        <w:t>nd</w:t>
      </w:r>
      <w:r w:rsidRPr="00A3204A">
        <w:rPr>
          <w:rFonts w:ascii="Times New Roman" w:hAnsi="Times New Roman" w:cs="Times New Roman"/>
          <w:i/>
          <w:sz w:val="24"/>
          <w:szCs w:val="24"/>
        </w:rPr>
        <w:t xml:space="preserve"> edition, </w:t>
      </w:r>
      <w:r w:rsidRPr="00A3204A">
        <w:rPr>
          <w:rFonts w:ascii="Times New Roman" w:hAnsi="Times New Roman" w:cs="Times New Roman"/>
          <w:sz w:val="24"/>
          <w:szCs w:val="24"/>
        </w:rPr>
        <w:t xml:space="preserve">(ch 123, 691-695). </w:t>
      </w:r>
    </w:p>
    <w:p w:rsidR="00A3204A" w:rsidRPr="00A3204A" w:rsidRDefault="00A3204A" w:rsidP="009C3DC2">
      <w:pPr>
        <w:keepLines/>
        <w:numPr>
          <w:ilvl w:val="0"/>
          <w:numId w:val="33"/>
        </w:numPr>
        <w:tabs>
          <w:tab w:val="clear" w:pos="360"/>
          <w:tab w:val="num" w:pos="540"/>
          <w:tab w:val="left" w:pos="7740"/>
        </w:tabs>
        <w:spacing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Harwood, M., Weatherall, M., Talemaitoga, A., Barber, P. A.,. . . McNaughton, H. (2011). Taking charge after stroke: promoting self-directed rehabilitation to improve quality of life – a randomized controlled trial. </w:t>
      </w:r>
      <w:r w:rsidRPr="00A3204A">
        <w:rPr>
          <w:rFonts w:ascii="Times New Roman" w:hAnsi="Times New Roman" w:cs="Times New Roman"/>
          <w:i/>
          <w:sz w:val="24"/>
          <w:szCs w:val="24"/>
        </w:rPr>
        <w:t xml:space="preserve">Clinical Rehabilitation, 11, </w:t>
      </w:r>
      <w:r w:rsidRPr="00A3204A">
        <w:rPr>
          <w:rFonts w:ascii="Times New Roman" w:hAnsi="Times New Roman" w:cs="Times New Roman"/>
          <w:sz w:val="24"/>
          <w:szCs w:val="24"/>
        </w:rPr>
        <w:t xml:space="preserve">1-9 DOI: 10.1177/0269215511426017. </w:t>
      </w:r>
      <w:hyperlink r:id="rId56" w:history="1">
        <w:r w:rsidRPr="00A3204A">
          <w:rPr>
            <w:rFonts w:ascii="Times New Roman" w:hAnsi="Times New Roman" w:cs="Times New Roman"/>
            <w:color w:val="0000FF"/>
            <w:sz w:val="24"/>
            <w:szCs w:val="24"/>
            <w:u w:val="single"/>
          </w:rPr>
          <w:t>http://cre.sagepu.com/content/early2011/11/11/0269215511426017</w:t>
        </w:r>
      </w:hyperlink>
      <w:r w:rsidRPr="00A3204A">
        <w:rPr>
          <w:rFonts w:ascii="Times New Roman" w:hAnsi="Times New Roman" w:cs="Times New Roman"/>
          <w:sz w:val="24"/>
          <w:szCs w:val="24"/>
          <w:u w:val="single"/>
        </w:rPr>
        <w:t xml:space="preserve"> </w:t>
      </w:r>
    </w:p>
    <w:p w:rsidR="00A3204A" w:rsidRPr="00A3204A" w:rsidRDefault="00A3204A" w:rsidP="009C3DC2">
      <w:pPr>
        <w:numPr>
          <w:ilvl w:val="0"/>
          <w:numId w:val="33"/>
        </w:numPr>
        <w:tabs>
          <w:tab w:val="clear" w:pos="360"/>
          <w:tab w:val="num" w:pos="540"/>
          <w:tab w:val="left" w:pos="7740"/>
        </w:tabs>
        <w:spacing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Hassett, L., Moseley, A. M., Tate, R., Harmer, A. R. (2008). </w:t>
      </w:r>
      <w:r w:rsidRPr="00A3204A">
        <w:rPr>
          <w:rFonts w:ascii="Times New Roman" w:hAnsi="Times New Roman" w:cs="Times New Roman"/>
          <w:bCs/>
          <w:sz w:val="24"/>
          <w:szCs w:val="24"/>
        </w:rPr>
        <w:t xml:space="preserve">Fitness training for cardiorespiratory conditioning after traumatic brain injury (Review). </w:t>
      </w:r>
      <w:r w:rsidRPr="00A3204A">
        <w:rPr>
          <w:rFonts w:ascii="Times New Roman" w:hAnsi="Times New Roman" w:cs="Times New Roman"/>
          <w:bCs/>
          <w:i/>
          <w:sz w:val="24"/>
          <w:szCs w:val="24"/>
        </w:rPr>
        <w:t>Cochrane Database of Systematic Reviews, 2,</w:t>
      </w:r>
      <w:r w:rsidRPr="00A3204A">
        <w:rPr>
          <w:rFonts w:ascii="Times New Roman" w:hAnsi="Times New Roman" w:cs="Times New Roman"/>
          <w:bCs/>
          <w:sz w:val="24"/>
          <w:szCs w:val="24"/>
        </w:rPr>
        <w:t xml:space="preserve"> 1-52. DOI:</w:t>
      </w:r>
      <w:r w:rsidRPr="00A3204A">
        <w:rPr>
          <w:rFonts w:ascii="Times New Roman" w:hAnsi="Times New Roman" w:cs="Times New Roman"/>
          <w:sz w:val="24"/>
          <w:szCs w:val="24"/>
        </w:rPr>
        <w:t>10.1002/14651858.CD006123.pub2.</w:t>
      </w:r>
    </w:p>
    <w:p w:rsidR="00A3204A" w:rsidRPr="00A3204A" w:rsidRDefault="00A3204A" w:rsidP="009C3DC2">
      <w:pPr>
        <w:keepLines/>
        <w:numPr>
          <w:ilvl w:val="0"/>
          <w:numId w:val="33"/>
        </w:numPr>
        <w:tabs>
          <w:tab w:val="clear" w:pos="360"/>
          <w:tab w:val="num" w:pos="540"/>
          <w:tab w:val="left" w:pos="7740"/>
        </w:tabs>
        <w:spacing w:after="120"/>
        <w:ind w:left="900" w:hanging="900"/>
        <w:rPr>
          <w:rFonts w:ascii="Times New Roman" w:hAnsi="Times New Roman" w:cs="Times New Roman"/>
          <w:b/>
          <w:i/>
          <w:sz w:val="24"/>
          <w:szCs w:val="24"/>
        </w:rPr>
      </w:pPr>
      <w:r w:rsidRPr="00A3204A">
        <w:rPr>
          <w:rFonts w:ascii="Times New Roman" w:hAnsi="Times New Roman" w:cs="Times New Roman"/>
          <w:sz w:val="24"/>
          <w:szCs w:val="24"/>
        </w:rPr>
        <w:t xml:space="preserve">Hassett, L. M., Moseley, A. M., Tate, R. L., Harmer, A. R., Fairbairn, T. J., &amp; Leung, J. (2009). Efficacy of a fitness centre-based exercise programme compared with a home-based exercise programme in traumatic brain injury: A randomized controlled trial. </w:t>
      </w:r>
      <w:r w:rsidRPr="00A3204A">
        <w:rPr>
          <w:rFonts w:ascii="Times New Roman" w:hAnsi="Times New Roman" w:cs="Times New Roman"/>
          <w:i/>
          <w:sz w:val="24"/>
          <w:szCs w:val="24"/>
        </w:rPr>
        <w:t>Journal of Rehabilitation Medicine, 41,</w:t>
      </w:r>
      <w:r w:rsidRPr="00A3204A">
        <w:rPr>
          <w:rFonts w:ascii="Times New Roman" w:hAnsi="Times New Roman" w:cs="Times New Roman"/>
          <w:sz w:val="24"/>
          <w:szCs w:val="24"/>
        </w:rPr>
        <w:t xml:space="preserve"> 247-255. DOI: 10.2340/16501977-0316.</w:t>
      </w:r>
    </w:p>
    <w:p w:rsidR="00A3204A" w:rsidRPr="00A3204A" w:rsidRDefault="00A3204A" w:rsidP="009C3DC2">
      <w:pPr>
        <w:keepLines/>
        <w:numPr>
          <w:ilvl w:val="0"/>
          <w:numId w:val="33"/>
        </w:numPr>
        <w:tabs>
          <w:tab w:val="clear" w:pos="360"/>
          <w:tab w:val="num" w:pos="540"/>
          <w:tab w:val="left" w:pos="7740"/>
        </w:tabs>
        <w:spacing w:after="120"/>
        <w:ind w:left="900" w:hanging="900"/>
        <w:rPr>
          <w:rFonts w:ascii="Times New Roman" w:hAnsi="Times New Roman" w:cs="Times New Roman"/>
          <w:b/>
          <w:i/>
          <w:sz w:val="24"/>
          <w:szCs w:val="24"/>
        </w:rPr>
      </w:pPr>
      <w:r w:rsidRPr="00A3204A">
        <w:rPr>
          <w:rFonts w:ascii="Times New Roman" w:hAnsi="Times New Roman" w:cs="Times New Roman"/>
          <w:sz w:val="24"/>
          <w:szCs w:val="24"/>
        </w:rPr>
        <w:t xml:space="preserve">Headache Classification Committee: Olesen, J., Bousser, M. –G., Diener, H. –C., Dodick, D., First, M., Goadsby, P. J.,… Steiner, T. J. (2006) New appendix criteria open for a broader concept of chronic migraine. </w:t>
      </w:r>
      <w:r w:rsidRPr="00A3204A">
        <w:rPr>
          <w:rFonts w:ascii="Times New Roman" w:hAnsi="Times New Roman" w:cs="Times New Roman"/>
          <w:i/>
          <w:sz w:val="24"/>
          <w:szCs w:val="24"/>
        </w:rPr>
        <w:t xml:space="preserve">Cephalalgia, 26, </w:t>
      </w:r>
      <w:r w:rsidRPr="00A3204A">
        <w:rPr>
          <w:rFonts w:ascii="Times New Roman" w:hAnsi="Times New Roman" w:cs="Times New Roman"/>
          <w:sz w:val="24"/>
          <w:szCs w:val="24"/>
        </w:rPr>
        <w:t>742–746.</w:t>
      </w:r>
    </w:p>
    <w:p w:rsidR="00A3204A" w:rsidRPr="00A3204A" w:rsidRDefault="00A3204A" w:rsidP="009C3DC2">
      <w:pPr>
        <w:numPr>
          <w:ilvl w:val="0"/>
          <w:numId w:val="33"/>
        </w:numPr>
        <w:tabs>
          <w:tab w:val="clear" w:pos="360"/>
          <w:tab w:val="num" w:pos="540"/>
          <w:tab w:val="left" w:pos="7740"/>
        </w:tabs>
        <w:spacing w:after="120"/>
        <w:ind w:left="900" w:hanging="900"/>
        <w:rPr>
          <w:rFonts w:ascii="Times New Roman" w:hAnsi="Times New Roman" w:cs="Times New Roman"/>
          <w:b/>
          <w:i/>
          <w:sz w:val="24"/>
          <w:szCs w:val="24"/>
        </w:rPr>
      </w:pPr>
      <w:r w:rsidRPr="00A3204A">
        <w:rPr>
          <w:rFonts w:ascii="Times New Roman" w:hAnsi="Times New Roman" w:cs="Times New Roman"/>
          <w:sz w:val="24"/>
          <w:szCs w:val="24"/>
        </w:rPr>
        <w:t>Headache Classification Subcommittee of the International Headache Society. (2004). International Classification of Headache Disorders: 2</w:t>
      </w:r>
      <w:r w:rsidRPr="00A3204A">
        <w:rPr>
          <w:rFonts w:ascii="Times New Roman" w:hAnsi="Times New Roman" w:cs="Times New Roman"/>
          <w:sz w:val="24"/>
          <w:szCs w:val="24"/>
          <w:vertAlign w:val="superscript"/>
        </w:rPr>
        <w:t>nd</w:t>
      </w:r>
      <w:r w:rsidRPr="00A3204A">
        <w:rPr>
          <w:rFonts w:ascii="Times New Roman" w:hAnsi="Times New Roman" w:cs="Times New Roman"/>
          <w:sz w:val="24"/>
          <w:szCs w:val="24"/>
        </w:rPr>
        <w:t xml:space="preserve"> Edition. </w:t>
      </w:r>
      <w:r w:rsidRPr="00A3204A">
        <w:rPr>
          <w:rFonts w:ascii="Times New Roman" w:hAnsi="Times New Roman" w:cs="Times New Roman"/>
          <w:i/>
          <w:sz w:val="24"/>
          <w:szCs w:val="24"/>
        </w:rPr>
        <w:t xml:space="preserve">Cephalalgia, 24(Supp.1), </w:t>
      </w:r>
      <w:r w:rsidRPr="00A3204A">
        <w:rPr>
          <w:rFonts w:ascii="Times New Roman" w:hAnsi="Times New Roman" w:cs="Times New Roman"/>
          <w:sz w:val="24"/>
          <w:szCs w:val="24"/>
        </w:rPr>
        <w:t xml:space="preserve">9-160. </w:t>
      </w:r>
    </w:p>
    <w:p w:rsidR="00A3204A" w:rsidRPr="00A3204A" w:rsidRDefault="00A3204A" w:rsidP="009C3DC2">
      <w:pPr>
        <w:numPr>
          <w:ilvl w:val="0"/>
          <w:numId w:val="33"/>
        </w:numPr>
        <w:tabs>
          <w:tab w:val="clear" w:pos="360"/>
          <w:tab w:val="num" w:pos="540"/>
          <w:tab w:val="left" w:pos="7740"/>
        </w:tabs>
        <w:spacing w:after="120"/>
        <w:ind w:left="900" w:hanging="900"/>
        <w:rPr>
          <w:rFonts w:ascii="Times New Roman" w:hAnsi="Times New Roman" w:cs="Times New Roman"/>
          <w:b/>
          <w:i/>
          <w:sz w:val="24"/>
          <w:szCs w:val="24"/>
        </w:rPr>
      </w:pPr>
      <w:bookmarkStart w:id="816" w:name="Hendrick2011"/>
      <w:bookmarkEnd w:id="816"/>
      <w:r w:rsidRPr="00A3204A">
        <w:rPr>
          <w:rFonts w:ascii="Times New Roman" w:hAnsi="Times New Roman" w:cs="Times New Roman"/>
          <w:sz w:val="24"/>
          <w:szCs w:val="24"/>
        </w:rPr>
        <w:t xml:space="preserve">Hendrick, R. E., Dodd III, G. D., </w:t>
      </w:r>
      <w:smartTag w:uri="urn:schemas-microsoft-com:office:smarttags" w:element="City">
        <w:smartTag w:uri="urn:schemas-microsoft-com:office:smarttags" w:element="place">
          <w:r w:rsidRPr="00A3204A">
            <w:rPr>
              <w:rFonts w:ascii="Times New Roman" w:hAnsi="Times New Roman" w:cs="Times New Roman"/>
              <w:sz w:val="24"/>
              <w:szCs w:val="24"/>
            </w:rPr>
            <w:t>Fullerton</w:t>
          </w:r>
        </w:smartTag>
      </w:smartTag>
      <w:r w:rsidRPr="00A3204A">
        <w:rPr>
          <w:rFonts w:ascii="Times New Roman" w:hAnsi="Times New Roman" w:cs="Times New Roman"/>
          <w:sz w:val="24"/>
          <w:szCs w:val="24"/>
        </w:rPr>
        <w:t xml:space="preserve">, G. D., Hendee, W. R., Borgstede, J. P., &amp; Larke, F. (2011). The </w:t>
      </w:r>
      <w:smartTag w:uri="urn:schemas-microsoft-com:office:smarttags" w:element="place">
        <w:smartTag w:uri="urn:schemas-microsoft-com:office:smarttags" w:element="PlaceType">
          <w:r w:rsidRPr="00A3204A">
            <w:rPr>
              <w:rFonts w:ascii="Times New Roman" w:hAnsi="Times New Roman" w:cs="Times New Roman"/>
              <w:sz w:val="24"/>
              <w:szCs w:val="24"/>
            </w:rPr>
            <w:t>University</w:t>
          </w:r>
        </w:smartTag>
        <w:r w:rsidRPr="00A3204A">
          <w:rPr>
            <w:rFonts w:ascii="Times New Roman" w:hAnsi="Times New Roman" w:cs="Times New Roman"/>
            <w:sz w:val="24"/>
            <w:szCs w:val="24"/>
          </w:rPr>
          <w:t xml:space="preserve"> of </w:t>
        </w:r>
        <w:smartTag w:uri="urn:schemas-microsoft-com:office:smarttags" w:element="PlaceName">
          <w:r w:rsidRPr="00A3204A">
            <w:rPr>
              <w:rFonts w:ascii="Times New Roman" w:hAnsi="Times New Roman" w:cs="Times New Roman"/>
              <w:sz w:val="24"/>
              <w:szCs w:val="24"/>
            </w:rPr>
            <w:t>Colorado</w:t>
          </w:r>
        </w:smartTag>
      </w:smartTag>
      <w:r w:rsidRPr="00A3204A">
        <w:rPr>
          <w:rFonts w:ascii="Times New Roman" w:hAnsi="Times New Roman" w:cs="Times New Roman"/>
          <w:sz w:val="24"/>
          <w:szCs w:val="24"/>
        </w:rPr>
        <w:t xml:space="preserve"> radiology adult dose-risk smartcard. </w:t>
      </w:r>
      <w:r w:rsidRPr="00A3204A">
        <w:rPr>
          <w:rFonts w:ascii="Times New Roman" w:hAnsi="Times New Roman" w:cs="Times New Roman"/>
          <w:i/>
          <w:sz w:val="24"/>
          <w:szCs w:val="24"/>
        </w:rPr>
        <w:t xml:space="preserve">Journal of the </w:t>
      </w:r>
      <w:smartTag w:uri="urn:schemas-microsoft-com:office:smarttags" w:element="place">
        <w:smartTag w:uri="urn:schemas-microsoft-com:office:smarttags" w:element="PlaceName">
          <w:r w:rsidRPr="00A3204A">
            <w:rPr>
              <w:rFonts w:ascii="Times New Roman" w:hAnsi="Times New Roman" w:cs="Times New Roman"/>
              <w:i/>
              <w:sz w:val="24"/>
              <w:szCs w:val="24"/>
            </w:rPr>
            <w:t>American</w:t>
          </w:r>
        </w:smartTag>
        <w:r w:rsidRPr="00A3204A">
          <w:rPr>
            <w:rFonts w:ascii="Times New Roman" w:hAnsi="Times New Roman" w:cs="Times New Roman"/>
            <w:i/>
            <w:sz w:val="24"/>
            <w:szCs w:val="24"/>
          </w:rPr>
          <w:t xml:space="preserve"> </w:t>
        </w:r>
        <w:smartTag w:uri="urn:schemas-microsoft-com:office:smarttags" w:element="PlaceType">
          <w:r w:rsidRPr="00A3204A">
            <w:rPr>
              <w:rFonts w:ascii="Times New Roman" w:hAnsi="Times New Roman" w:cs="Times New Roman"/>
              <w:i/>
              <w:sz w:val="24"/>
              <w:szCs w:val="24"/>
            </w:rPr>
            <w:t>College</w:t>
          </w:r>
        </w:smartTag>
      </w:smartTag>
      <w:r w:rsidRPr="00A3204A">
        <w:rPr>
          <w:rFonts w:ascii="Times New Roman" w:hAnsi="Times New Roman" w:cs="Times New Roman"/>
          <w:i/>
          <w:sz w:val="24"/>
          <w:szCs w:val="24"/>
        </w:rPr>
        <w:t xml:space="preserve"> of Radiology,</w:t>
      </w:r>
      <w:r w:rsidRPr="00A3204A">
        <w:rPr>
          <w:rFonts w:ascii="Times New Roman" w:hAnsi="Times New Roman" w:cs="Times New Roman"/>
          <w:sz w:val="24"/>
          <w:szCs w:val="24"/>
        </w:rPr>
        <w:t xml:space="preserve"> 290-292. DOI: 10.1016/j.jacr.2011.12.034.</w:t>
      </w:r>
    </w:p>
    <w:p w:rsidR="00A3204A" w:rsidRPr="00A3204A" w:rsidRDefault="00A3204A" w:rsidP="009C3DC2">
      <w:pPr>
        <w:keepLines/>
        <w:numPr>
          <w:ilvl w:val="0"/>
          <w:numId w:val="33"/>
        </w:numPr>
        <w:tabs>
          <w:tab w:val="clear" w:pos="360"/>
          <w:tab w:val="num" w:pos="540"/>
          <w:tab w:val="left" w:pos="7740"/>
        </w:tabs>
        <w:spacing w:after="120"/>
        <w:ind w:left="900" w:hanging="900"/>
        <w:rPr>
          <w:rFonts w:ascii="Times New Roman" w:hAnsi="Times New Roman" w:cs="Times New Roman"/>
          <w:b/>
          <w:i/>
          <w:sz w:val="24"/>
          <w:szCs w:val="24"/>
        </w:rPr>
      </w:pPr>
      <w:r w:rsidRPr="00A3204A">
        <w:rPr>
          <w:rFonts w:ascii="Times New Roman" w:hAnsi="Times New Roman" w:cs="Times New Roman"/>
          <w:sz w:val="24"/>
          <w:szCs w:val="24"/>
        </w:rPr>
        <w:lastRenderedPageBreak/>
        <w:t xml:space="preserve">Herring, S. A., Cantu, R. C., Guskiewicz, K. M., Putukian, M., &amp; Kibler, W. B. (2011). Concussion (mild traumatic brain injury) and the Team Physician: A consensus statement—2011 Update. </w:t>
      </w:r>
      <w:r w:rsidRPr="00A3204A">
        <w:rPr>
          <w:rFonts w:ascii="Times New Roman" w:hAnsi="Times New Roman" w:cs="Times New Roman"/>
          <w:i/>
          <w:sz w:val="24"/>
          <w:szCs w:val="24"/>
        </w:rPr>
        <w:t xml:space="preserve">Official Journal of the </w:t>
      </w:r>
      <w:smartTag w:uri="urn:schemas-microsoft-com:office:smarttags" w:element="place">
        <w:smartTag w:uri="urn:schemas-microsoft-com:office:smarttags" w:element="PlaceName">
          <w:r w:rsidRPr="00A3204A">
            <w:rPr>
              <w:rFonts w:ascii="Times New Roman" w:hAnsi="Times New Roman" w:cs="Times New Roman"/>
              <w:i/>
              <w:sz w:val="24"/>
              <w:szCs w:val="24"/>
            </w:rPr>
            <w:t>American</w:t>
          </w:r>
        </w:smartTag>
        <w:r w:rsidRPr="00A3204A">
          <w:rPr>
            <w:rFonts w:ascii="Times New Roman" w:hAnsi="Times New Roman" w:cs="Times New Roman"/>
            <w:i/>
            <w:sz w:val="24"/>
            <w:szCs w:val="24"/>
          </w:rPr>
          <w:t xml:space="preserve"> </w:t>
        </w:r>
        <w:smartTag w:uri="urn:schemas-microsoft-com:office:smarttags" w:element="PlaceType">
          <w:r w:rsidRPr="00A3204A">
            <w:rPr>
              <w:rFonts w:ascii="Times New Roman" w:hAnsi="Times New Roman" w:cs="Times New Roman"/>
              <w:i/>
              <w:sz w:val="24"/>
              <w:szCs w:val="24"/>
            </w:rPr>
            <w:t>College</w:t>
          </w:r>
        </w:smartTag>
      </w:smartTag>
      <w:r w:rsidRPr="00A3204A">
        <w:rPr>
          <w:rFonts w:ascii="Times New Roman" w:hAnsi="Times New Roman" w:cs="Times New Roman"/>
          <w:i/>
          <w:sz w:val="24"/>
          <w:szCs w:val="24"/>
        </w:rPr>
        <w:t xml:space="preserve"> of Sports Medicine, </w:t>
      </w:r>
      <w:r w:rsidRPr="00A3204A">
        <w:rPr>
          <w:rFonts w:ascii="Times New Roman" w:hAnsi="Times New Roman" w:cs="Times New Roman"/>
          <w:sz w:val="24"/>
          <w:szCs w:val="24"/>
        </w:rPr>
        <w:t>2412</w:t>
      </w:r>
      <w:r w:rsidRPr="00A3204A">
        <w:rPr>
          <w:rFonts w:ascii="Times New Roman" w:hAnsi="Times New Roman" w:cs="Times New Roman"/>
          <w:i/>
          <w:sz w:val="24"/>
          <w:szCs w:val="24"/>
        </w:rPr>
        <w:t>-2</w:t>
      </w:r>
      <w:r w:rsidRPr="00A3204A">
        <w:rPr>
          <w:rFonts w:ascii="Times New Roman" w:hAnsi="Times New Roman" w:cs="Times New Roman"/>
          <w:sz w:val="24"/>
          <w:szCs w:val="24"/>
        </w:rPr>
        <w:t>422. DOI: 10.1249/MSS.0b013e3182342e64.</w:t>
      </w:r>
    </w:p>
    <w:p w:rsidR="00A3204A" w:rsidRPr="00A3204A" w:rsidRDefault="00A3204A" w:rsidP="009C3DC2">
      <w:pPr>
        <w:numPr>
          <w:ilvl w:val="0"/>
          <w:numId w:val="33"/>
        </w:numPr>
        <w:tabs>
          <w:tab w:val="clear" w:pos="360"/>
          <w:tab w:val="num" w:pos="540"/>
          <w:tab w:val="left" w:pos="7740"/>
        </w:tabs>
        <w:spacing w:after="120"/>
        <w:ind w:left="900" w:hanging="900"/>
        <w:rPr>
          <w:rFonts w:ascii="Times New Roman" w:hAnsi="Times New Roman" w:cs="Times New Roman"/>
          <w:b/>
          <w:i/>
          <w:sz w:val="24"/>
          <w:szCs w:val="24"/>
        </w:rPr>
      </w:pPr>
      <w:bookmarkStart w:id="817" w:name="Hillier2011"/>
      <w:bookmarkEnd w:id="817"/>
      <w:r w:rsidRPr="00A3204A">
        <w:rPr>
          <w:rFonts w:ascii="Times New Roman" w:hAnsi="Times New Roman" w:cs="Times New Roman"/>
          <w:sz w:val="24"/>
          <w:szCs w:val="24"/>
        </w:rPr>
        <w:t xml:space="preserve">Hillier, S. L., &amp; McDonnell, M., (2011). </w:t>
      </w:r>
      <w:r w:rsidRPr="00A3204A">
        <w:rPr>
          <w:rFonts w:ascii="Times New Roman" w:hAnsi="Times New Roman" w:cs="Times New Roman"/>
          <w:bCs/>
          <w:sz w:val="24"/>
          <w:szCs w:val="24"/>
        </w:rPr>
        <w:t xml:space="preserve">Vestibular rehabilitation for unilateral peripheral vestibular dysfunction (Review). </w:t>
      </w:r>
      <w:r w:rsidRPr="00A3204A">
        <w:rPr>
          <w:rFonts w:ascii="Times New Roman" w:hAnsi="Times New Roman" w:cs="Times New Roman"/>
          <w:bCs/>
          <w:i/>
          <w:sz w:val="24"/>
          <w:szCs w:val="24"/>
        </w:rPr>
        <w:t xml:space="preserve">The Cochrane Database of Systematic Reviews, 2, </w:t>
      </w:r>
      <w:r w:rsidRPr="00A3204A">
        <w:rPr>
          <w:rFonts w:ascii="Times New Roman" w:hAnsi="Times New Roman" w:cs="Times New Roman"/>
          <w:bCs/>
          <w:sz w:val="24"/>
          <w:szCs w:val="24"/>
        </w:rPr>
        <w:t xml:space="preserve">1-72. </w:t>
      </w:r>
      <w:r w:rsidRPr="00A3204A">
        <w:rPr>
          <w:rFonts w:ascii="Times New Roman" w:hAnsi="Times New Roman" w:cs="Times New Roman"/>
          <w:sz w:val="24"/>
          <w:szCs w:val="24"/>
        </w:rPr>
        <w:t>DOI: 10.1002/14651858.CD005397.pub3.</w:t>
      </w:r>
      <w:r w:rsidRPr="00A3204A">
        <w:rPr>
          <w:rFonts w:ascii="Times New Roman" w:hAnsi="Times New Roman" w:cs="Times New Roman"/>
          <w:i/>
          <w:sz w:val="24"/>
          <w:szCs w:val="24"/>
        </w:rPr>
        <w:t xml:space="preserve"> ***</w:t>
      </w:r>
      <w:r w:rsidRPr="00A3204A">
        <w:rPr>
          <w:rFonts w:ascii="Times New Roman" w:hAnsi="Times New Roman" w:cs="Times New Roman"/>
          <w:i/>
          <w:sz w:val="24"/>
          <w:szCs w:val="24"/>
          <w:highlight w:val="yellow"/>
        </w:rPr>
        <w:t>Used in Evidence Statement</w:t>
      </w:r>
    </w:p>
    <w:p w:rsidR="00A3204A" w:rsidRPr="00A3204A" w:rsidRDefault="00A3204A" w:rsidP="009C3DC2">
      <w:pPr>
        <w:numPr>
          <w:ilvl w:val="0"/>
          <w:numId w:val="33"/>
        </w:numPr>
        <w:tabs>
          <w:tab w:val="clear" w:pos="360"/>
          <w:tab w:val="num" w:pos="540"/>
          <w:tab w:val="left" w:pos="7740"/>
        </w:tabs>
        <w:spacing w:after="120"/>
        <w:ind w:left="900" w:hanging="900"/>
        <w:rPr>
          <w:rFonts w:ascii="Times New Roman" w:hAnsi="Times New Roman" w:cs="Times New Roman"/>
          <w:b/>
          <w:i/>
          <w:sz w:val="24"/>
          <w:szCs w:val="24"/>
        </w:rPr>
      </w:pPr>
      <w:bookmarkStart w:id="818" w:name="Hobson2010"/>
      <w:bookmarkEnd w:id="818"/>
      <w:r w:rsidRPr="00A3204A">
        <w:rPr>
          <w:rFonts w:ascii="Times New Roman" w:hAnsi="Times New Roman" w:cs="Times New Roman"/>
          <w:sz w:val="24"/>
          <w:szCs w:val="24"/>
        </w:rPr>
        <w:t xml:space="preserve">Hobson, J., Chisholm, E., &amp; El Refaie, A. (2010). Sound therapy (masking) in the management of tinnitus in adults. </w:t>
      </w:r>
      <w:r w:rsidRPr="00A3204A">
        <w:rPr>
          <w:rFonts w:ascii="Times New Roman" w:hAnsi="Times New Roman" w:cs="Times New Roman"/>
          <w:i/>
          <w:iCs/>
          <w:sz w:val="24"/>
          <w:szCs w:val="24"/>
        </w:rPr>
        <w:t xml:space="preserve">Cochrane Database of Systematic Reviews, 12, </w:t>
      </w:r>
      <w:r w:rsidRPr="00A3204A">
        <w:rPr>
          <w:rFonts w:ascii="Times New Roman" w:hAnsi="Times New Roman" w:cs="Times New Roman"/>
          <w:iCs/>
          <w:sz w:val="24"/>
          <w:szCs w:val="24"/>
        </w:rPr>
        <w:t>1-24</w:t>
      </w:r>
      <w:r w:rsidRPr="00A3204A">
        <w:rPr>
          <w:rFonts w:ascii="Times New Roman" w:hAnsi="Times New Roman" w:cs="Times New Roman"/>
          <w:sz w:val="24"/>
          <w:szCs w:val="24"/>
        </w:rPr>
        <w:t>. DOI: 10.1002/14651858.CD006371.pub2.</w:t>
      </w:r>
    </w:p>
    <w:p w:rsidR="00A3204A" w:rsidRPr="00A3204A" w:rsidRDefault="00A3204A" w:rsidP="009C3DC2">
      <w:pPr>
        <w:numPr>
          <w:ilvl w:val="0"/>
          <w:numId w:val="33"/>
        </w:numPr>
        <w:tabs>
          <w:tab w:val="clear" w:pos="360"/>
          <w:tab w:val="num" w:pos="540"/>
          <w:tab w:val="left" w:pos="7740"/>
        </w:tabs>
        <w:spacing w:after="120"/>
        <w:ind w:left="900" w:hanging="900"/>
        <w:rPr>
          <w:rFonts w:ascii="Times New Roman" w:hAnsi="Times New Roman" w:cs="Times New Roman"/>
          <w:b/>
          <w:i/>
          <w:sz w:val="24"/>
          <w:szCs w:val="24"/>
        </w:rPr>
      </w:pPr>
      <w:r w:rsidRPr="00A3204A">
        <w:rPr>
          <w:rFonts w:ascii="Times New Roman" w:hAnsi="Times New Roman" w:cs="Times New Roman"/>
          <w:sz w:val="24"/>
          <w:szCs w:val="24"/>
        </w:rPr>
        <w:t xml:space="preserve">Hoffman, J. M., </w:t>
      </w:r>
      <w:smartTag w:uri="urn:schemas-microsoft-com:office:smarttags" w:element="place">
        <w:smartTag w:uri="urn:schemas-microsoft-com:office:smarttags" w:element="City">
          <w:r w:rsidRPr="00A3204A">
            <w:rPr>
              <w:rFonts w:ascii="Times New Roman" w:hAnsi="Times New Roman" w:cs="Times New Roman"/>
              <w:sz w:val="24"/>
              <w:szCs w:val="24"/>
            </w:rPr>
            <w:t>Bell</w:t>
          </w:r>
        </w:smartTag>
      </w:smartTag>
      <w:r w:rsidRPr="00A3204A">
        <w:rPr>
          <w:rFonts w:ascii="Times New Roman" w:hAnsi="Times New Roman" w:cs="Times New Roman"/>
          <w:sz w:val="24"/>
          <w:szCs w:val="24"/>
        </w:rPr>
        <w:t xml:space="preserve">, K. R., Powell, J. M., Behr, J., Dunn, E. C., Dikmen, S., &amp; Bombardier, C. (2010). A randomized controlled trial of exercise to improve mood after traumatic brain injury. </w:t>
      </w:r>
      <w:r w:rsidRPr="00A3204A">
        <w:rPr>
          <w:rFonts w:ascii="Times New Roman" w:hAnsi="Times New Roman" w:cs="Times New Roman"/>
          <w:i/>
          <w:sz w:val="24"/>
          <w:szCs w:val="24"/>
        </w:rPr>
        <w:t xml:space="preserve">Physical Medicine and Rehabilitation, 2, </w:t>
      </w:r>
      <w:r w:rsidRPr="00A3204A">
        <w:rPr>
          <w:rFonts w:ascii="Times New Roman" w:hAnsi="Times New Roman" w:cs="Times New Roman"/>
          <w:sz w:val="24"/>
          <w:szCs w:val="24"/>
        </w:rPr>
        <w:t>911-919. DOI: 10.1016/j.pmrj.2010.06.008.</w:t>
      </w:r>
    </w:p>
    <w:p w:rsidR="00A3204A" w:rsidRPr="00A3204A" w:rsidRDefault="00A3204A" w:rsidP="009C3DC2">
      <w:pPr>
        <w:numPr>
          <w:ilvl w:val="0"/>
          <w:numId w:val="33"/>
        </w:numPr>
        <w:tabs>
          <w:tab w:val="clear" w:pos="360"/>
          <w:tab w:val="num" w:pos="540"/>
          <w:tab w:val="left" w:pos="7740"/>
        </w:tabs>
        <w:spacing w:after="120"/>
        <w:ind w:left="900" w:hanging="900"/>
        <w:rPr>
          <w:rFonts w:ascii="Times New Roman" w:hAnsi="Times New Roman" w:cs="Times New Roman"/>
          <w:b/>
          <w:i/>
          <w:sz w:val="24"/>
          <w:szCs w:val="24"/>
        </w:rPr>
      </w:pPr>
      <w:bookmarkStart w:id="819" w:name="Hoffman2012"/>
      <w:bookmarkEnd w:id="819"/>
      <w:r w:rsidRPr="00A3204A">
        <w:rPr>
          <w:rFonts w:ascii="Times New Roman" w:hAnsi="Times New Roman" w:cs="Times New Roman"/>
          <w:sz w:val="24"/>
          <w:szCs w:val="24"/>
        </w:rPr>
        <w:t xml:space="preserve">Hoffman, J. M., Dikmen, S., Temkin, N., &amp; </w:t>
      </w:r>
      <w:smartTag w:uri="urn:schemas-microsoft-com:office:smarttags" w:element="place">
        <w:smartTag w:uri="urn:schemas-microsoft-com:office:smarttags" w:element="City">
          <w:r w:rsidRPr="00A3204A">
            <w:rPr>
              <w:rFonts w:ascii="Times New Roman" w:hAnsi="Times New Roman" w:cs="Times New Roman"/>
              <w:sz w:val="24"/>
              <w:szCs w:val="24"/>
            </w:rPr>
            <w:t>Bell</w:t>
          </w:r>
        </w:smartTag>
      </w:smartTag>
      <w:r w:rsidRPr="00A3204A">
        <w:rPr>
          <w:rFonts w:ascii="Times New Roman" w:hAnsi="Times New Roman" w:cs="Times New Roman"/>
          <w:sz w:val="24"/>
          <w:szCs w:val="24"/>
        </w:rPr>
        <w:t xml:space="preserve">, K. R. (2012). </w:t>
      </w:r>
      <w:r w:rsidRPr="00A3204A">
        <w:rPr>
          <w:rFonts w:ascii="Times New Roman" w:hAnsi="Times New Roman" w:cs="Times New Roman"/>
          <w:bCs/>
          <w:sz w:val="24"/>
          <w:szCs w:val="24"/>
        </w:rPr>
        <w:t xml:space="preserve">Development of posttraumatic stress disorder after mild traumatic brain injury. </w:t>
      </w:r>
      <w:r w:rsidRPr="00A3204A">
        <w:rPr>
          <w:rFonts w:ascii="Times New Roman" w:hAnsi="Times New Roman" w:cs="Times New Roman"/>
          <w:bCs/>
          <w:i/>
          <w:sz w:val="24"/>
          <w:szCs w:val="24"/>
        </w:rPr>
        <w:t xml:space="preserve">Arch Phys Med Rehabil, 93, </w:t>
      </w:r>
      <w:r w:rsidRPr="00A3204A">
        <w:rPr>
          <w:rFonts w:ascii="Times New Roman" w:hAnsi="Times New Roman" w:cs="Times New Roman"/>
          <w:bCs/>
          <w:sz w:val="24"/>
          <w:szCs w:val="24"/>
        </w:rPr>
        <w:t>287-292. DOI: 10.1016/j.apmr.2011.08.041.</w:t>
      </w:r>
    </w:p>
    <w:p w:rsidR="00A3204A" w:rsidRPr="00A3204A" w:rsidRDefault="00A3204A" w:rsidP="009C3DC2">
      <w:pPr>
        <w:numPr>
          <w:ilvl w:val="0"/>
          <w:numId w:val="33"/>
        </w:numPr>
        <w:tabs>
          <w:tab w:val="clear" w:pos="360"/>
          <w:tab w:val="num" w:pos="540"/>
          <w:tab w:val="left" w:pos="7740"/>
        </w:tabs>
        <w:spacing w:after="120"/>
        <w:ind w:left="900" w:hanging="900"/>
        <w:rPr>
          <w:rFonts w:ascii="Times New Roman" w:hAnsi="Times New Roman" w:cs="Times New Roman"/>
          <w:b/>
          <w:i/>
          <w:sz w:val="24"/>
          <w:szCs w:val="24"/>
        </w:rPr>
      </w:pPr>
      <w:r w:rsidRPr="00A3204A">
        <w:rPr>
          <w:rFonts w:ascii="Times New Roman" w:hAnsi="Times New Roman" w:cs="Times New Roman"/>
          <w:sz w:val="24"/>
          <w:szCs w:val="24"/>
        </w:rPr>
        <w:t xml:space="preserve">Hoffmann, T., Bennett, S., Koh, C. L., &amp; McKenna, K. T. (2010). Occupational therapy for cognitive impairment in stroke patients. </w:t>
      </w:r>
      <w:r w:rsidRPr="00A3204A">
        <w:rPr>
          <w:rFonts w:ascii="Times New Roman" w:hAnsi="Times New Roman" w:cs="Times New Roman"/>
          <w:i/>
          <w:iCs/>
          <w:sz w:val="24"/>
          <w:szCs w:val="24"/>
        </w:rPr>
        <w:t>Cochrane Database of Systematic Reviews, 9,</w:t>
      </w:r>
      <w:r w:rsidRPr="00A3204A">
        <w:rPr>
          <w:rFonts w:ascii="Times New Roman" w:hAnsi="Times New Roman" w:cs="Times New Roman"/>
          <w:iCs/>
          <w:sz w:val="24"/>
          <w:szCs w:val="24"/>
        </w:rPr>
        <w:t xml:space="preserve"> 1-18.</w:t>
      </w:r>
      <w:r w:rsidRPr="00A3204A">
        <w:rPr>
          <w:rFonts w:ascii="Times New Roman" w:hAnsi="Times New Roman" w:cs="Times New Roman"/>
          <w:sz w:val="24"/>
          <w:szCs w:val="24"/>
        </w:rPr>
        <w:t xml:space="preserve"> DOI: 10.1002/14651858.CD006430.pub2.</w:t>
      </w:r>
    </w:p>
    <w:p w:rsidR="00A3204A" w:rsidRPr="00A3204A" w:rsidRDefault="00A3204A" w:rsidP="009C3DC2">
      <w:pPr>
        <w:numPr>
          <w:ilvl w:val="0"/>
          <w:numId w:val="33"/>
        </w:numPr>
        <w:tabs>
          <w:tab w:val="clear" w:pos="360"/>
          <w:tab w:val="num" w:pos="540"/>
          <w:tab w:val="left" w:pos="7740"/>
        </w:tabs>
        <w:spacing w:after="120"/>
        <w:ind w:left="900" w:hanging="900"/>
        <w:rPr>
          <w:rFonts w:ascii="Times New Roman" w:hAnsi="Times New Roman" w:cs="Times New Roman"/>
          <w:i/>
          <w:sz w:val="24"/>
          <w:szCs w:val="24"/>
        </w:rPr>
      </w:pPr>
      <w:bookmarkStart w:id="820" w:name="Holland2012"/>
      <w:bookmarkEnd w:id="820"/>
      <w:smartTag w:uri="urn:schemas-microsoft-com:office:smarttags" w:element="place">
        <w:smartTag w:uri="urn:schemas-microsoft-com:office:smarttags" w:element="City">
          <w:r w:rsidRPr="00A3204A">
            <w:rPr>
              <w:rFonts w:ascii="Times New Roman" w:hAnsi="Times New Roman" w:cs="Times New Roman"/>
              <w:sz w:val="24"/>
              <w:szCs w:val="24"/>
            </w:rPr>
            <w:t>Holland</w:t>
          </w:r>
        </w:smartTag>
      </w:smartTag>
      <w:r w:rsidRPr="00A3204A">
        <w:rPr>
          <w:rFonts w:ascii="Times New Roman" w:hAnsi="Times New Roman" w:cs="Times New Roman"/>
          <w:sz w:val="24"/>
          <w:szCs w:val="24"/>
        </w:rPr>
        <w:t xml:space="preserve">, S., Silberstein, S. D., Freitag, F., Dodick, D. W., Argoff, C., &amp; Ashman, E. (2012). Evidence-based guideline update: NSAIDs and other complementary treatments for episodic migraine prevention in adults : Report of the Quality Standards Subcommittee of the </w:t>
      </w:r>
      <w:smartTag w:uri="urn:schemas-microsoft-com:office:smarttags" w:element="place">
        <w:smartTag w:uri="urn:schemas-microsoft-com:office:smarttags" w:element="PlaceName">
          <w:r w:rsidRPr="00A3204A">
            <w:rPr>
              <w:rFonts w:ascii="Times New Roman" w:hAnsi="Times New Roman" w:cs="Times New Roman"/>
              <w:sz w:val="24"/>
              <w:szCs w:val="24"/>
            </w:rPr>
            <w:t>American</w:t>
          </w:r>
        </w:smartTag>
        <w:r w:rsidRPr="00A3204A">
          <w:rPr>
            <w:rFonts w:ascii="Times New Roman" w:hAnsi="Times New Roman" w:cs="Times New Roman"/>
            <w:sz w:val="24"/>
            <w:szCs w:val="24"/>
          </w:rPr>
          <w:t xml:space="preserve"> </w:t>
        </w:r>
        <w:smartTag w:uri="urn:schemas-microsoft-com:office:smarttags" w:element="PlaceType">
          <w:r w:rsidRPr="00A3204A">
            <w:rPr>
              <w:rFonts w:ascii="Times New Roman" w:hAnsi="Times New Roman" w:cs="Times New Roman"/>
              <w:sz w:val="24"/>
              <w:szCs w:val="24"/>
            </w:rPr>
            <w:t>Academy</w:t>
          </w:r>
        </w:smartTag>
      </w:smartTag>
      <w:r w:rsidRPr="00A3204A">
        <w:rPr>
          <w:rFonts w:ascii="Times New Roman" w:hAnsi="Times New Roman" w:cs="Times New Roman"/>
          <w:sz w:val="24"/>
          <w:szCs w:val="24"/>
        </w:rPr>
        <w:t xml:space="preserve"> of Neurology and the American Headache Society. </w:t>
      </w:r>
      <w:r w:rsidRPr="00A3204A">
        <w:rPr>
          <w:rFonts w:ascii="Times New Roman" w:hAnsi="Times New Roman" w:cs="Times New Roman"/>
          <w:i/>
          <w:iCs/>
          <w:sz w:val="24"/>
          <w:szCs w:val="24"/>
        </w:rPr>
        <w:t xml:space="preserve">Neurology, </w:t>
      </w:r>
      <w:r w:rsidRPr="00A3204A">
        <w:rPr>
          <w:rFonts w:ascii="Times New Roman" w:hAnsi="Times New Roman" w:cs="Times New Roman"/>
          <w:sz w:val="24"/>
          <w:szCs w:val="24"/>
        </w:rPr>
        <w:t>78, 1346-1354. DOI 10.1212/WNL.0b013e3182535d0c.</w:t>
      </w:r>
    </w:p>
    <w:p w:rsidR="00A3204A" w:rsidRPr="00A3204A" w:rsidRDefault="00A3204A" w:rsidP="009C3DC2">
      <w:pPr>
        <w:numPr>
          <w:ilvl w:val="0"/>
          <w:numId w:val="33"/>
        </w:numPr>
        <w:tabs>
          <w:tab w:val="clear" w:pos="360"/>
          <w:tab w:val="num" w:pos="540"/>
          <w:tab w:val="left" w:pos="7740"/>
        </w:tabs>
        <w:spacing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Honaker, J. A., Converse C. M., &amp; Shepard, N. T. (2009). Modified head shake computerized dynamic posturography. </w:t>
      </w:r>
      <w:r w:rsidRPr="00A3204A">
        <w:rPr>
          <w:rFonts w:ascii="Times New Roman" w:hAnsi="Times New Roman" w:cs="Times New Roman"/>
          <w:i/>
          <w:sz w:val="24"/>
          <w:szCs w:val="24"/>
        </w:rPr>
        <w:t xml:space="preserve">American Journal of Audiology, 18, </w:t>
      </w:r>
      <w:r w:rsidRPr="00A3204A">
        <w:rPr>
          <w:rFonts w:ascii="Times New Roman" w:hAnsi="Times New Roman" w:cs="Times New Roman"/>
          <w:sz w:val="24"/>
          <w:szCs w:val="24"/>
        </w:rPr>
        <w:t xml:space="preserve">108-113. DOI:10.1044/1059-0889(2009/09-0012). </w:t>
      </w:r>
    </w:p>
    <w:p w:rsidR="00A3204A" w:rsidRPr="00A3204A" w:rsidRDefault="00A3204A" w:rsidP="009C3DC2">
      <w:pPr>
        <w:numPr>
          <w:ilvl w:val="0"/>
          <w:numId w:val="33"/>
        </w:numPr>
        <w:tabs>
          <w:tab w:val="clear" w:pos="360"/>
          <w:tab w:val="num" w:pos="540"/>
          <w:tab w:val="left" w:pos="77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Hoofien, D., Gilboa, A., Vakil, E., &amp; Donovick, P. J. (2001).</w:t>
      </w:r>
      <w:r w:rsidRPr="00A3204A">
        <w:rPr>
          <w:rFonts w:ascii="RealpageBBO1" w:hAnsi="RealpageBBO1" w:cs="RealpageBBO1"/>
          <w:sz w:val="24"/>
          <w:szCs w:val="24"/>
        </w:rPr>
        <w:t xml:space="preserve"> </w:t>
      </w:r>
      <w:r w:rsidRPr="00A3204A">
        <w:rPr>
          <w:rFonts w:ascii="Times New Roman" w:hAnsi="Times New Roman" w:cs="Times New Roman"/>
          <w:sz w:val="24"/>
          <w:szCs w:val="24"/>
        </w:rPr>
        <w:t xml:space="preserve">Traumatic brain injury (TBI) 10-20 years later: a comprehensive outcome study of psychiatric symptomatology, cognitive abilities and psychosocial functioning. </w:t>
      </w:r>
      <w:r w:rsidRPr="00A3204A">
        <w:rPr>
          <w:rFonts w:ascii="Times New Roman" w:hAnsi="Times New Roman" w:cs="Times New Roman"/>
          <w:i/>
          <w:sz w:val="24"/>
          <w:szCs w:val="24"/>
        </w:rPr>
        <w:t>Brain Injury,15(3),</w:t>
      </w:r>
      <w:r w:rsidRPr="00A3204A">
        <w:rPr>
          <w:rFonts w:ascii="Times New Roman" w:hAnsi="Times New Roman" w:cs="Times New Roman"/>
          <w:sz w:val="24"/>
          <w:szCs w:val="24"/>
        </w:rPr>
        <w:t xml:space="preserve"> 189-209. </w:t>
      </w:r>
    </w:p>
    <w:p w:rsidR="00A3204A" w:rsidRPr="00A3204A" w:rsidRDefault="00A3204A" w:rsidP="009C3DC2">
      <w:pPr>
        <w:numPr>
          <w:ilvl w:val="0"/>
          <w:numId w:val="33"/>
        </w:numPr>
        <w:tabs>
          <w:tab w:val="clear" w:pos="360"/>
          <w:tab w:val="num" w:pos="540"/>
          <w:tab w:val="left" w:pos="77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Hornstein, A. (2011). Social Aspects. </w:t>
      </w:r>
      <w:r w:rsidRPr="00A3204A">
        <w:rPr>
          <w:rFonts w:ascii="Times New Roman" w:hAnsi="Times New Roman" w:cs="Times New Roman"/>
          <w:i/>
          <w:sz w:val="24"/>
          <w:szCs w:val="24"/>
        </w:rPr>
        <w:t>American Psychiatric Association, 33,</w:t>
      </w:r>
      <w:r w:rsidRPr="00A3204A">
        <w:rPr>
          <w:rFonts w:ascii="Times New Roman" w:hAnsi="Times New Roman" w:cs="Times New Roman"/>
          <w:sz w:val="24"/>
          <w:szCs w:val="24"/>
        </w:rPr>
        <w:t xml:space="preserve"> 1-8. DOI: 10.1176/appl. books.97815856224201.687604. </w:t>
      </w:r>
      <w:hyperlink r:id="rId57" w:history="1">
        <w:r w:rsidRPr="00A3204A">
          <w:rPr>
            <w:rFonts w:ascii="Times New Roman" w:hAnsi="Times New Roman" w:cs="Times New Roman"/>
            <w:color w:val="0000FF"/>
            <w:sz w:val="24"/>
            <w:szCs w:val="24"/>
            <w:u w:val="single"/>
          </w:rPr>
          <w:t>http://www.psychiatryonline.com</w:t>
        </w:r>
      </w:hyperlink>
    </w:p>
    <w:p w:rsidR="00A3204A" w:rsidRPr="00A3204A" w:rsidRDefault="00A3204A" w:rsidP="009C3DC2">
      <w:pPr>
        <w:numPr>
          <w:ilvl w:val="0"/>
          <w:numId w:val="33"/>
        </w:numPr>
        <w:tabs>
          <w:tab w:val="clear" w:pos="360"/>
          <w:tab w:val="num" w:pos="540"/>
          <w:tab w:val="left" w:pos="77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Horak, F. B., Jones-Ryce C., Black, O., &amp; Shumway-Cook, A. (1992). Effects of vestibular rehabilitation on dizziness and imbalance. </w:t>
      </w:r>
      <w:r w:rsidRPr="00A3204A">
        <w:rPr>
          <w:rFonts w:ascii="Times New Roman" w:hAnsi="Times New Roman" w:cs="Times New Roman"/>
          <w:i/>
          <w:sz w:val="24"/>
          <w:szCs w:val="24"/>
        </w:rPr>
        <w:t>Otolaryngol Head Neck Surgery, 106(2), 175-180</w:t>
      </w:r>
      <w:r w:rsidRPr="00A3204A">
        <w:rPr>
          <w:rFonts w:ascii="Times New Roman" w:hAnsi="Times New Roman" w:cs="Times New Roman"/>
          <w:sz w:val="24"/>
          <w:szCs w:val="24"/>
        </w:rPr>
        <w:t xml:space="preserve">. </w:t>
      </w:r>
    </w:p>
    <w:p w:rsidR="00A3204A" w:rsidRPr="00A3204A" w:rsidRDefault="00A3204A" w:rsidP="009C3DC2">
      <w:pPr>
        <w:numPr>
          <w:ilvl w:val="0"/>
          <w:numId w:val="33"/>
        </w:numPr>
        <w:tabs>
          <w:tab w:val="clear" w:pos="360"/>
          <w:tab w:val="num" w:pos="540"/>
          <w:tab w:val="left" w:pos="7740"/>
        </w:tabs>
        <w:spacing w:before="0" w:after="120"/>
        <w:ind w:left="900" w:hanging="900"/>
        <w:rPr>
          <w:rFonts w:ascii="Times New Roman" w:hAnsi="Times New Roman" w:cs="Times New Roman"/>
          <w:sz w:val="24"/>
          <w:szCs w:val="24"/>
        </w:rPr>
      </w:pPr>
      <w:bookmarkStart w:id="821" w:name="Hou2012"/>
      <w:bookmarkEnd w:id="821"/>
      <w:r w:rsidRPr="00A3204A">
        <w:rPr>
          <w:rFonts w:ascii="Times New Roman" w:hAnsi="Times New Roman" w:cs="Times New Roman"/>
          <w:sz w:val="24"/>
          <w:szCs w:val="24"/>
        </w:rPr>
        <w:t xml:space="preserve">Hou, R., Moss-Morris, R., Peveler, R., Mogg, K, Bradley, P. B., &amp; Belli, A. (2012). When a minor head injury results in enduring symptoms: a prospective investigation of risk </w:t>
      </w:r>
      <w:r w:rsidRPr="00A3204A">
        <w:rPr>
          <w:rFonts w:ascii="Times New Roman" w:hAnsi="Times New Roman" w:cs="Times New Roman"/>
          <w:sz w:val="24"/>
          <w:szCs w:val="24"/>
        </w:rPr>
        <w:lastRenderedPageBreak/>
        <w:t xml:space="preserve">factors for postconcussional syndrome after mild traumatic brain injury. </w:t>
      </w:r>
      <w:r w:rsidRPr="00A3204A">
        <w:rPr>
          <w:rFonts w:ascii="Times New Roman" w:hAnsi="Times New Roman" w:cs="Times New Roman"/>
          <w:i/>
          <w:sz w:val="24"/>
          <w:szCs w:val="24"/>
        </w:rPr>
        <w:t xml:space="preserve">J Neurol Neurosurg Psychiatry, 83, </w:t>
      </w:r>
      <w:r w:rsidRPr="00A3204A">
        <w:rPr>
          <w:rFonts w:ascii="Times New Roman" w:hAnsi="Times New Roman" w:cs="Times New Roman"/>
          <w:sz w:val="24"/>
          <w:szCs w:val="24"/>
        </w:rPr>
        <w:t>217-223. DOI:10.1136/jnnp-2011-300767.</w:t>
      </w:r>
    </w:p>
    <w:p w:rsidR="00A3204A" w:rsidRPr="00A3204A" w:rsidRDefault="00A3204A" w:rsidP="009C3DC2">
      <w:pPr>
        <w:numPr>
          <w:ilvl w:val="0"/>
          <w:numId w:val="33"/>
        </w:numPr>
        <w:tabs>
          <w:tab w:val="clear" w:pos="360"/>
          <w:tab w:val="num" w:pos="540"/>
          <w:tab w:val="left" w:pos="7740"/>
        </w:tabs>
        <w:spacing w:before="0" w:after="120"/>
        <w:ind w:left="900" w:hanging="900"/>
        <w:rPr>
          <w:rFonts w:ascii="Times New Roman" w:hAnsi="Times New Roman" w:cs="Times New Roman"/>
          <w:sz w:val="24"/>
          <w:szCs w:val="24"/>
        </w:rPr>
      </w:pPr>
      <w:bookmarkStart w:id="822" w:name="Hudak2012"/>
      <w:bookmarkEnd w:id="822"/>
      <w:r w:rsidRPr="00A3204A">
        <w:rPr>
          <w:rFonts w:ascii="Times New Roman" w:hAnsi="Times New Roman" w:cs="Times New Roman"/>
          <w:sz w:val="24"/>
          <w:szCs w:val="24"/>
        </w:rPr>
        <w:t xml:space="preserve">Hudak, A. M., Hynan, L. S., Harper, C. R., &amp; Diaz-Arrastia, R. (2012). Association of depressive symptoms with functional outcome after traumatic brain injury. </w:t>
      </w:r>
      <w:r w:rsidRPr="00A3204A">
        <w:rPr>
          <w:rFonts w:ascii="Times New Roman" w:hAnsi="Times New Roman" w:cs="Times New Roman"/>
          <w:i/>
          <w:sz w:val="24"/>
          <w:szCs w:val="24"/>
        </w:rPr>
        <w:t xml:space="preserve">Journal of Head Trauma and Rehabilitation, 27(2), </w:t>
      </w:r>
      <w:r w:rsidRPr="00A3204A">
        <w:rPr>
          <w:rFonts w:ascii="Times New Roman" w:hAnsi="Times New Roman" w:cs="Times New Roman"/>
          <w:sz w:val="24"/>
          <w:szCs w:val="24"/>
        </w:rPr>
        <w:t>87-98. DOI: 10.1097/HTR.0b013e3182114efd.</w:t>
      </w:r>
    </w:p>
    <w:p w:rsidR="00A3204A" w:rsidRPr="00A3204A" w:rsidRDefault="00A3204A" w:rsidP="009C3DC2">
      <w:pPr>
        <w:numPr>
          <w:ilvl w:val="0"/>
          <w:numId w:val="33"/>
        </w:numPr>
        <w:tabs>
          <w:tab w:val="clear" w:pos="360"/>
          <w:tab w:val="num" w:pos="540"/>
          <w:tab w:val="left" w:pos="77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Hurkmans, J., de Bruijn, M., Boonstra, A. M., Jonkers, R., Bastiaanse, R., Arendzen, H., &amp; Reinders-Messelink, H. A. (2012). Music in the treatment of neurological language and speech disorders: A systematic review, </w:t>
      </w:r>
      <w:r w:rsidRPr="00A3204A">
        <w:rPr>
          <w:rFonts w:ascii="Times New Roman" w:hAnsi="Times New Roman" w:cs="Times New Roman"/>
          <w:i/>
          <w:sz w:val="24"/>
          <w:szCs w:val="24"/>
        </w:rPr>
        <w:t>Aphasiology, 26(1),</w:t>
      </w:r>
      <w:r w:rsidRPr="00A3204A">
        <w:rPr>
          <w:rFonts w:ascii="Times New Roman" w:hAnsi="Times New Roman" w:cs="Times New Roman"/>
          <w:sz w:val="24"/>
          <w:szCs w:val="24"/>
        </w:rPr>
        <w:t xml:space="preserve"> 1-19. DOI: 10.1080/02687038.2011.602514.</w:t>
      </w:r>
    </w:p>
    <w:p w:rsidR="00A3204A" w:rsidRPr="00A3204A" w:rsidRDefault="00A3204A" w:rsidP="009C3DC2">
      <w:pPr>
        <w:numPr>
          <w:ilvl w:val="0"/>
          <w:numId w:val="33"/>
        </w:numPr>
        <w:tabs>
          <w:tab w:val="clear" w:pos="360"/>
          <w:tab w:val="num" w:pos="540"/>
          <w:tab w:val="left" w:pos="77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Hutchinson, J. S., Ward, R. E., Lacroix, J., Hebert, P. C., Barnes, M. A., Bohn, D. J.,… Skippen, P. W. (2008). Hypothermia Therapy after Traumatic Brain Injury in Children. </w:t>
      </w:r>
      <w:r w:rsidRPr="00A3204A">
        <w:rPr>
          <w:rFonts w:ascii="Times New Roman" w:hAnsi="Times New Roman" w:cs="Times New Roman"/>
          <w:i/>
          <w:iCs/>
          <w:sz w:val="24"/>
          <w:szCs w:val="24"/>
        </w:rPr>
        <w:t xml:space="preserve">The </w:t>
      </w:r>
      <w:smartTag w:uri="urn:schemas-microsoft-com:office:smarttags" w:element="place">
        <w:r w:rsidRPr="00A3204A">
          <w:rPr>
            <w:rFonts w:ascii="Times New Roman" w:hAnsi="Times New Roman" w:cs="Times New Roman"/>
            <w:i/>
            <w:iCs/>
            <w:sz w:val="24"/>
            <w:szCs w:val="24"/>
          </w:rPr>
          <w:t>New England</w:t>
        </w:r>
      </w:smartTag>
      <w:r w:rsidRPr="00A3204A">
        <w:rPr>
          <w:rFonts w:ascii="Times New Roman" w:hAnsi="Times New Roman" w:cs="Times New Roman"/>
          <w:i/>
          <w:iCs/>
          <w:sz w:val="24"/>
          <w:szCs w:val="24"/>
        </w:rPr>
        <w:t xml:space="preserve"> Journal of Medicine,358, </w:t>
      </w:r>
      <w:r w:rsidRPr="00A3204A">
        <w:rPr>
          <w:rFonts w:ascii="Times New Roman" w:hAnsi="Times New Roman" w:cs="Times New Roman"/>
          <w:iCs/>
          <w:sz w:val="24"/>
          <w:szCs w:val="24"/>
        </w:rPr>
        <w:t xml:space="preserve">2447-2456. </w:t>
      </w:r>
      <w:hyperlink r:id="rId58" w:history="1">
        <w:r w:rsidRPr="00A3204A">
          <w:rPr>
            <w:rFonts w:ascii="Times New Roman" w:hAnsi="Times New Roman" w:cs="Times New Roman"/>
            <w:iCs/>
            <w:color w:val="0000FF"/>
            <w:sz w:val="24"/>
            <w:szCs w:val="24"/>
            <w:u w:val="single"/>
          </w:rPr>
          <w:t>http://www.nejm.org</w:t>
        </w:r>
      </w:hyperlink>
      <w:r w:rsidRPr="00A3204A">
        <w:rPr>
          <w:rFonts w:ascii="Times New Roman" w:hAnsi="Times New Roman" w:cs="Times New Roman"/>
          <w:iCs/>
          <w:sz w:val="24"/>
          <w:szCs w:val="24"/>
          <w:u w:val="single"/>
        </w:rPr>
        <w:t xml:space="preserve"> </w:t>
      </w:r>
    </w:p>
    <w:p w:rsidR="00A3204A" w:rsidRPr="00A3204A" w:rsidRDefault="00A3204A" w:rsidP="009C3DC2">
      <w:pPr>
        <w:keepLines/>
        <w:numPr>
          <w:ilvl w:val="0"/>
          <w:numId w:val="33"/>
        </w:numPr>
        <w:tabs>
          <w:tab w:val="clear" w:pos="360"/>
          <w:tab w:val="num" w:pos="540"/>
          <w:tab w:val="left" w:pos="7740"/>
        </w:tabs>
        <w:spacing w:before="0" w:after="120"/>
        <w:ind w:left="900" w:hanging="900"/>
        <w:rPr>
          <w:rFonts w:ascii="Times New Roman" w:hAnsi="Times New Roman" w:cs="Times New Roman"/>
          <w:i/>
          <w:sz w:val="24"/>
          <w:szCs w:val="24"/>
        </w:rPr>
      </w:pPr>
      <w:bookmarkStart w:id="823" w:name="Hutchinson2011"/>
      <w:bookmarkEnd w:id="823"/>
      <w:smartTag w:uri="urn:schemas-microsoft-com:office:smarttags" w:element="City">
        <w:r w:rsidRPr="00A3204A">
          <w:rPr>
            <w:rFonts w:ascii="Times New Roman" w:hAnsi="Times New Roman" w:cs="Times New Roman"/>
            <w:sz w:val="24"/>
            <w:szCs w:val="24"/>
          </w:rPr>
          <w:t>Hutchinson</w:t>
        </w:r>
      </w:smartTag>
      <w:r w:rsidRPr="00A3204A">
        <w:rPr>
          <w:rFonts w:ascii="Times New Roman" w:hAnsi="Times New Roman" w:cs="Times New Roman"/>
          <w:sz w:val="24"/>
          <w:szCs w:val="24"/>
        </w:rPr>
        <w:t xml:space="preserve">, P. J., Timofeev, </w:t>
      </w:r>
      <w:smartTag w:uri="urn:schemas-microsoft-com:office:smarttags" w:element="place">
        <w:r w:rsidRPr="00A3204A">
          <w:rPr>
            <w:rFonts w:ascii="Times New Roman" w:hAnsi="Times New Roman" w:cs="Times New Roman"/>
            <w:sz w:val="24"/>
            <w:szCs w:val="24"/>
          </w:rPr>
          <w:t>I.</w:t>
        </w:r>
      </w:smartTag>
      <w:r w:rsidRPr="00A3204A">
        <w:rPr>
          <w:rFonts w:ascii="Times New Roman" w:hAnsi="Times New Roman" w:cs="Times New Roman"/>
          <w:sz w:val="24"/>
          <w:szCs w:val="24"/>
        </w:rPr>
        <w:t xml:space="preserve">, Kolias, A. G., Corteen, E. A., Czosnyka, M., Menon, D. K.,… Kirkpatrick, P. J. (2011). Decompressive craniectomy for traumatic brain injury: The jury is still out. </w:t>
      </w:r>
      <w:r w:rsidRPr="00A3204A">
        <w:rPr>
          <w:rFonts w:ascii="Times New Roman" w:hAnsi="Times New Roman" w:cs="Times New Roman"/>
          <w:i/>
          <w:sz w:val="24"/>
          <w:szCs w:val="24"/>
        </w:rPr>
        <w:t xml:space="preserve">British Journal of Neurosurgery </w:t>
      </w:r>
      <w:r w:rsidRPr="00A3204A">
        <w:rPr>
          <w:rFonts w:ascii="Times New Roman" w:hAnsi="Times New Roman" w:cs="Times New Roman"/>
          <w:sz w:val="24"/>
          <w:szCs w:val="24"/>
        </w:rPr>
        <w:t xml:space="preserve">– Letter to the Editor, </w:t>
      </w:r>
      <w:r w:rsidRPr="00A3204A">
        <w:rPr>
          <w:rFonts w:ascii="Times New Roman" w:hAnsi="Times New Roman" w:cs="Times New Roman"/>
          <w:i/>
          <w:sz w:val="24"/>
          <w:szCs w:val="24"/>
        </w:rPr>
        <w:t>25(3),</w:t>
      </w:r>
      <w:r w:rsidRPr="00A3204A">
        <w:rPr>
          <w:rFonts w:ascii="Times New Roman" w:hAnsi="Times New Roman" w:cs="Times New Roman"/>
          <w:sz w:val="24"/>
          <w:szCs w:val="24"/>
        </w:rPr>
        <w:t xml:space="preserve"> 441-442. </w:t>
      </w:r>
    </w:p>
    <w:p w:rsidR="00A3204A" w:rsidRPr="00A3204A" w:rsidRDefault="00A3204A" w:rsidP="009C3DC2">
      <w:pPr>
        <w:keepLines/>
        <w:numPr>
          <w:ilvl w:val="0"/>
          <w:numId w:val="33"/>
        </w:numPr>
        <w:tabs>
          <w:tab w:val="clear" w:pos="360"/>
          <w:tab w:val="num" w:pos="540"/>
          <w:tab w:val="left" w:pos="7740"/>
        </w:tabs>
        <w:spacing w:before="0" w:after="120"/>
        <w:ind w:left="900" w:hanging="900"/>
        <w:rPr>
          <w:rFonts w:ascii="Times New Roman" w:hAnsi="Times New Roman" w:cs="Times New Roman"/>
          <w:i/>
          <w:sz w:val="24"/>
          <w:szCs w:val="24"/>
        </w:rPr>
      </w:pPr>
      <w:bookmarkStart w:id="824" w:name="Intiso1994"/>
      <w:bookmarkEnd w:id="824"/>
      <w:r w:rsidRPr="00A3204A">
        <w:rPr>
          <w:rFonts w:ascii="Times New Roman" w:hAnsi="Times New Roman" w:cs="Times New Roman"/>
          <w:sz w:val="24"/>
          <w:szCs w:val="24"/>
        </w:rPr>
        <w:t xml:space="preserve">Intiso, D., Santilli, V, Grasso, M. G., Rossi, R., &amp; Caruso, </w:t>
      </w:r>
      <w:smartTag w:uri="urn:schemas-microsoft-com:office:smarttags" w:element="place">
        <w:r w:rsidRPr="00A3204A">
          <w:rPr>
            <w:rFonts w:ascii="Times New Roman" w:hAnsi="Times New Roman" w:cs="Times New Roman"/>
            <w:sz w:val="24"/>
            <w:szCs w:val="24"/>
          </w:rPr>
          <w:t>I.</w:t>
        </w:r>
      </w:smartTag>
      <w:r w:rsidRPr="00A3204A">
        <w:rPr>
          <w:rFonts w:ascii="Times New Roman" w:hAnsi="Times New Roman" w:cs="Times New Roman"/>
          <w:sz w:val="24"/>
          <w:szCs w:val="24"/>
        </w:rPr>
        <w:t xml:space="preserve"> (1994). </w:t>
      </w:r>
      <w:r w:rsidRPr="00A3204A">
        <w:rPr>
          <w:rFonts w:ascii="Times New Roman" w:hAnsi="Times New Roman" w:cs="Times New Roman"/>
          <w:bCs/>
          <w:sz w:val="24"/>
          <w:szCs w:val="24"/>
        </w:rPr>
        <w:t xml:space="preserve">Rehabilitation of walking with electromyographic biofeedback in foot-drop after stroke. </w:t>
      </w:r>
      <w:r w:rsidRPr="00A3204A">
        <w:rPr>
          <w:rFonts w:ascii="Times New Roman" w:hAnsi="Times New Roman" w:cs="Times New Roman"/>
          <w:bCs/>
          <w:i/>
          <w:sz w:val="24"/>
          <w:szCs w:val="24"/>
        </w:rPr>
        <w:t xml:space="preserve">Stroke, 25(6), </w:t>
      </w:r>
      <w:r w:rsidRPr="00A3204A">
        <w:rPr>
          <w:rFonts w:ascii="Times New Roman" w:hAnsi="Times New Roman" w:cs="Times New Roman"/>
          <w:bCs/>
          <w:sz w:val="24"/>
          <w:szCs w:val="24"/>
        </w:rPr>
        <w:t xml:space="preserve">1189-1192. </w:t>
      </w:r>
    </w:p>
    <w:p w:rsidR="00A3204A" w:rsidRPr="00A3204A" w:rsidRDefault="00A3204A" w:rsidP="009C3DC2">
      <w:pPr>
        <w:numPr>
          <w:ilvl w:val="0"/>
          <w:numId w:val="33"/>
        </w:numPr>
        <w:tabs>
          <w:tab w:val="clear" w:pos="360"/>
          <w:tab w:val="num" w:pos="540"/>
          <w:tab w:val="left" w:pos="7740"/>
        </w:tabs>
        <w:spacing w:before="0" w:after="120"/>
        <w:ind w:left="900" w:hanging="900"/>
        <w:rPr>
          <w:rFonts w:ascii="Times New Roman" w:hAnsi="Times New Roman" w:cs="Times New Roman"/>
          <w:i/>
          <w:sz w:val="24"/>
          <w:szCs w:val="24"/>
        </w:rPr>
      </w:pPr>
      <w:bookmarkStart w:id="825" w:name="Iverson2010"/>
      <w:bookmarkEnd w:id="825"/>
      <w:r w:rsidRPr="00A3204A">
        <w:rPr>
          <w:rFonts w:ascii="Times New Roman" w:hAnsi="Times New Roman" w:cs="Times New Roman"/>
          <w:sz w:val="24"/>
          <w:szCs w:val="24"/>
        </w:rPr>
        <w:t xml:space="preserve">Iverson, D. J., Gronseth, G. S., Reger, M. A., Classen, S., Dubinsky, R. M., &amp; Rizzo, M. (2010). Practice Parameter update: Evaluation and management of driving risk in dementia. </w:t>
      </w:r>
      <w:r w:rsidRPr="00A3204A">
        <w:rPr>
          <w:rFonts w:ascii="Times New Roman" w:hAnsi="Times New Roman" w:cs="Times New Roman"/>
          <w:i/>
          <w:sz w:val="24"/>
          <w:szCs w:val="24"/>
        </w:rPr>
        <w:t xml:space="preserve">American </w:t>
      </w:r>
      <w:smartTag w:uri="urn:schemas-microsoft-com:office:smarttags" w:element="place">
        <w:smartTag w:uri="urn:schemas-microsoft-com:office:smarttags" w:element="PlaceType">
          <w:r w:rsidRPr="00A3204A">
            <w:rPr>
              <w:rFonts w:ascii="Times New Roman" w:hAnsi="Times New Roman" w:cs="Times New Roman"/>
              <w:i/>
              <w:sz w:val="24"/>
              <w:szCs w:val="24"/>
            </w:rPr>
            <w:t>Academy</w:t>
          </w:r>
        </w:smartTag>
        <w:r w:rsidRPr="00A3204A">
          <w:rPr>
            <w:rFonts w:ascii="Times New Roman" w:hAnsi="Times New Roman" w:cs="Times New Roman"/>
            <w:i/>
            <w:sz w:val="24"/>
            <w:szCs w:val="24"/>
          </w:rPr>
          <w:t xml:space="preserve"> of </w:t>
        </w:r>
        <w:smartTag w:uri="urn:schemas-microsoft-com:office:smarttags" w:element="PlaceName">
          <w:r w:rsidRPr="00A3204A">
            <w:rPr>
              <w:rFonts w:ascii="Times New Roman" w:hAnsi="Times New Roman" w:cs="Times New Roman"/>
              <w:i/>
              <w:sz w:val="24"/>
              <w:szCs w:val="24"/>
            </w:rPr>
            <w:t>Neurology</w:t>
          </w:r>
        </w:smartTag>
      </w:smartTag>
      <w:r w:rsidRPr="00A3204A">
        <w:rPr>
          <w:rFonts w:ascii="Times New Roman" w:hAnsi="Times New Roman" w:cs="Times New Roman"/>
          <w:sz w:val="24"/>
          <w:szCs w:val="24"/>
        </w:rPr>
        <w:t xml:space="preserve">, Abstract, 1316. </w:t>
      </w:r>
      <w:hyperlink r:id="rId59" w:history="1">
        <w:r w:rsidRPr="00A3204A">
          <w:rPr>
            <w:rFonts w:ascii="Times New Roman" w:hAnsi="Times New Roman" w:cs="Times New Roman"/>
            <w:color w:val="0000FF"/>
            <w:sz w:val="24"/>
            <w:szCs w:val="24"/>
            <w:u w:val="single"/>
          </w:rPr>
          <w:t>http://www.neurology.org</w:t>
        </w:r>
      </w:hyperlink>
      <w:r w:rsidRPr="00A3204A">
        <w:rPr>
          <w:rFonts w:ascii="Times New Roman" w:hAnsi="Times New Roman" w:cs="Times New Roman"/>
          <w:sz w:val="24"/>
          <w:szCs w:val="24"/>
        </w:rPr>
        <w:t xml:space="preserve"> </w:t>
      </w:r>
    </w:p>
    <w:p w:rsidR="00A3204A" w:rsidRPr="00A3204A" w:rsidRDefault="00A3204A" w:rsidP="009C3DC2">
      <w:pPr>
        <w:numPr>
          <w:ilvl w:val="0"/>
          <w:numId w:val="33"/>
        </w:numPr>
        <w:tabs>
          <w:tab w:val="clear" w:pos="360"/>
          <w:tab w:val="num" w:pos="540"/>
          <w:tab w:val="left" w:pos="7740"/>
        </w:tabs>
        <w:spacing w:before="0" w:after="120"/>
        <w:ind w:left="900" w:hanging="900"/>
        <w:rPr>
          <w:rFonts w:ascii="Times New Roman" w:hAnsi="Times New Roman" w:cs="Times New Roman"/>
          <w:i/>
          <w:sz w:val="24"/>
          <w:szCs w:val="24"/>
        </w:rPr>
      </w:pPr>
      <w:bookmarkStart w:id="826" w:name="Iverson2006"/>
      <w:bookmarkEnd w:id="826"/>
      <w:r w:rsidRPr="00A3204A">
        <w:rPr>
          <w:rFonts w:ascii="Times New Roman" w:hAnsi="Times New Roman" w:cs="Times New Roman"/>
          <w:sz w:val="24"/>
          <w:szCs w:val="24"/>
        </w:rPr>
        <w:t xml:space="preserve">Iverson, G. L. (2006). Complicated vs uncomplicated mild traumatic brain injury: Acute neuropsychological outcome. </w:t>
      </w:r>
      <w:r w:rsidRPr="00A3204A">
        <w:rPr>
          <w:rFonts w:ascii="Times New Roman" w:hAnsi="Times New Roman" w:cs="Times New Roman"/>
          <w:i/>
          <w:sz w:val="24"/>
          <w:szCs w:val="24"/>
        </w:rPr>
        <w:t>Brain Injury, 20(13–14),</w:t>
      </w:r>
      <w:r w:rsidRPr="00A3204A">
        <w:rPr>
          <w:rFonts w:ascii="Times New Roman" w:hAnsi="Times New Roman" w:cs="Times New Roman"/>
          <w:sz w:val="24"/>
          <w:szCs w:val="24"/>
        </w:rPr>
        <w:t xml:space="preserve"> 1335–1344. DOI: 10.1080/02699050601082156.</w:t>
      </w:r>
    </w:p>
    <w:p w:rsidR="00A3204A" w:rsidRPr="00A3204A" w:rsidRDefault="00A3204A" w:rsidP="009C3DC2">
      <w:pPr>
        <w:numPr>
          <w:ilvl w:val="0"/>
          <w:numId w:val="33"/>
        </w:numPr>
        <w:tabs>
          <w:tab w:val="clear" w:pos="360"/>
          <w:tab w:val="num" w:pos="540"/>
          <w:tab w:val="left" w:pos="7740"/>
        </w:tabs>
        <w:spacing w:before="0" w:after="120"/>
        <w:ind w:left="900" w:hanging="900"/>
        <w:rPr>
          <w:rFonts w:ascii="Times New Roman" w:hAnsi="Times New Roman" w:cs="Times New Roman"/>
          <w:i/>
          <w:sz w:val="24"/>
          <w:szCs w:val="24"/>
        </w:rPr>
      </w:pPr>
      <w:bookmarkStart w:id="827" w:name="Jackson2012a"/>
      <w:bookmarkEnd w:id="827"/>
      <w:r w:rsidRPr="00A3204A">
        <w:rPr>
          <w:rFonts w:ascii="Times New Roman" w:hAnsi="Times New Roman" w:cs="Times New Roman"/>
          <w:sz w:val="24"/>
          <w:szCs w:val="24"/>
        </w:rPr>
        <w:t xml:space="preserve">Jackson, J. L., Kuriyama, A., &amp; Hayashino, Y. (2012a) Botulinum toxin A for prophylactic treatment of migraine and tension headaches in adults: a meta-analysis. </w:t>
      </w:r>
      <w:r w:rsidRPr="00A3204A">
        <w:rPr>
          <w:rFonts w:ascii="Times New Roman" w:hAnsi="Times New Roman" w:cs="Times New Roman"/>
          <w:i/>
          <w:iCs/>
          <w:sz w:val="24"/>
          <w:szCs w:val="24"/>
        </w:rPr>
        <w:t>Journal of the American Medical Association</w:t>
      </w:r>
      <w:r w:rsidRPr="00A3204A">
        <w:rPr>
          <w:rFonts w:ascii="Times New Roman" w:hAnsi="Times New Roman" w:cs="Times New Roman"/>
          <w:sz w:val="24"/>
          <w:szCs w:val="24"/>
        </w:rPr>
        <w:t xml:space="preserve">, </w:t>
      </w:r>
      <w:r w:rsidRPr="00A3204A">
        <w:rPr>
          <w:rFonts w:ascii="Times New Roman" w:hAnsi="Times New Roman" w:cs="Times New Roman"/>
          <w:i/>
          <w:sz w:val="24"/>
          <w:szCs w:val="24"/>
        </w:rPr>
        <w:t xml:space="preserve">307(16), </w:t>
      </w:r>
      <w:r w:rsidRPr="00A3204A">
        <w:rPr>
          <w:rFonts w:ascii="Times New Roman" w:hAnsi="Times New Roman" w:cs="Times New Roman"/>
          <w:sz w:val="24"/>
          <w:szCs w:val="24"/>
        </w:rPr>
        <w:t xml:space="preserve">1736-1745. </w:t>
      </w:r>
    </w:p>
    <w:p w:rsidR="00A3204A" w:rsidRPr="00A3204A" w:rsidRDefault="00A3204A" w:rsidP="009C3DC2">
      <w:pPr>
        <w:numPr>
          <w:ilvl w:val="0"/>
          <w:numId w:val="33"/>
        </w:numPr>
        <w:tabs>
          <w:tab w:val="clear" w:pos="360"/>
          <w:tab w:val="num" w:pos="540"/>
          <w:tab w:val="left" w:pos="7740"/>
        </w:tabs>
        <w:spacing w:before="0" w:after="120"/>
        <w:ind w:left="900" w:hanging="900"/>
        <w:rPr>
          <w:rFonts w:ascii="Times New Roman" w:hAnsi="Times New Roman" w:cs="Times New Roman"/>
          <w:i/>
          <w:sz w:val="24"/>
          <w:szCs w:val="24"/>
        </w:rPr>
      </w:pPr>
      <w:bookmarkStart w:id="828" w:name="Jackson2012b"/>
      <w:bookmarkEnd w:id="828"/>
      <w:smartTag w:uri="urn:schemas-microsoft-com:office:smarttags" w:element="City">
        <w:smartTag w:uri="urn:schemas-microsoft-com:office:smarttags" w:element="place">
          <w:r w:rsidRPr="00A3204A">
            <w:rPr>
              <w:rFonts w:ascii="Times New Roman" w:hAnsi="Times New Roman" w:cs="Times New Roman"/>
              <w:sz w:val="24"/>
              <w:szCs w:val="24"/>
            </w:rPr>
            <w:t>Jackson</w:t>
          </w:r>
        </w:smartTag>
      </w:smartTag>
      <w:r w:rsidRPr="00A3204A">
        <w:rPr>
          <w:rFonts w:ascii="Times New Roman" w:hAnsi="Times New Roman" w:cs="Times New Roman"/>
          <w:sz w:val="24"/>
          <w:szCs w:val="24"/>
        </w:rPr>
        <w:t xml:space="preserve">, J. L., Kuriyama, A., &amp; Hayashino, Y. (2012b) Supplementary online content for: Botulinum toxin A for prophylactic treatment of migraine and tension headaches in adults: a meta-analysis. </w:t>
      </w:r>
      <w:r w:rsidRPr="00A3204A">
        <w:rPr>
          <w:rFonts w:ascii="Times New Roman" w:hAnsi="Times New Roman" w:cs="Times New Roman"/>
          <w:i/>
          <w:iCs/>
          <w:sz w:val="24"/>
          <w:szCs w:val="24"/>
        </w:rPr>
        <w:t>Journal of the American Medical Association</w:t>
      </w:r>
      <w:r w:rsidRPr="00A3204A">
        <w:rPr>
          <w:rFonts w:ascii="Times New Roman" w:hAnsi="Times New Roman" w:cs="Times New Roman"/>
          <w:sz w:val="24"/>
          <w:szCs w:val="24"/>
        </w:rPr>
        <w:t xml:space="preserve">, </w:t>
      </w:r>
      <w:r w:rsidRPr="00A3204A">
        <w:rPr>
          <w:rFonts w:ascii="Times New Roman" w:hAnsi="Times New Roman" w:cs="Times New Roman"/>
          <w:i/>
          <w:sz w:val="24"/>
          <w:szCs w:val="24"/>
        </w:rPr>
        <w:t xml:space="preserve">307(16), </w:t>
      </w:r>
      <w:r w:rsidRPr="00A3204A">
        <w:rPr>
          <w:rFonts w:ascii="Times New Roman" w:hAnsi="Times New Roman" w:cs="Times New Roman"/>
          <w:sz w:val="24"/>
          <w:szCs w:val="24"/>
        </w:rPr>
        <w:t>1736-1745.</w:t>
      </w:r>
    </w:p>
    <w:p w:rsidR="00A3204A" w:rsidRPr="00A3204A" w:rsidRDefault="00A3204A" w:rsidP="009C3DC2">
      <w:pPr>
        <w:numPr>
          <w:ilvl w:val="0"/>
          <w:numId w:val="33"/>
        </w:numPr>
        <w:spacing w:before="0" w:after="120"/>
        <w:rPr>
          <w:rFonts w:ascii="Times New Roman" w:hAnsi="Times New Roman" w:cs="Times New Roman"/>
          <w:i/>
          <w:sz w:val="24"/>
          <w:szCs w:val="24"/>
        </w:rPr>
      </w:pPr>
      <w:bookmarkStart w:id="829" w:name="Jacobs1996"/>
      <w:bookmarkEnd w:id="829"/>
      <w:r w:rsidRPr="00A3204A">
        <w:rPr>
          <w:rFonts w:ascii="Times New Roman" w:hAnsi="Times New Roman" w:cs="Times New Roman"/>
          <w:sz w:val="24"/>
          <w:szCs w:val="24"/>
        </w:rPr>
        <w:t xml:space="preserve">Jacobs, A., Put, E., Ingels, M., Put, T., &amp; Bossuyt, A. (1996). One-year follow-up of Technetium-99m-HMPAO SPECT in mild head injury. </w:t>
      </w:r>
      <w:r w:rsidRPr="00A3204A">
        <w:rPr>
          <w:rFonts w:ascii="Times New Roman" w:hAnsi="Times New Roman" w:cs="Times New Roman"/>
          <w:bCs/>
          <w:i/>
          <w:sz w:val="24"/>
          <w:szCs w:val="24"/>
        </w:rPr>
        <w:t xml:space="preserve">J Nucl Medicine, 37, </w:t>
      </w:r>
      <w:r w:rsidRPr="00A3204A">
        <w:rPr>
          <w:rFonts w:ascii="Times New Roman" w:hAnsi="Times New Roman" w:cs="Times New Roman"/>
          <w:bCs/>
          <w:sz w:val="24"/>
          <w:szCs w:val="24"/>
        </w:rPr>
        <w:t xml:space="preserve">1605-1609.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r w:rsidRPr="00A3204A">
        <w:rPr>
          <w:rFonts w:ascii="Times New Roman" w:hAnsi="Times New Roman" w:cs="Times New Roman"/>
          <w:i/>
          <w:sz w:val="24"/>
          <w:szCs w:val="24"/>
        </w:rPr>
        <w:t xml:space="preserve">. </w:t>
      </w:r>
    </w:p>
    <w:p w:rsidR="00A3204A" w:rsidRPr="00A3204A" w:rsidRDefault="00A3204A" w:rsidP="009C3DC2">
      <w:pPr>
        <w:numPr>
          <w:ilvl w:val="0"/>
          <w:numId w:val="33"/>
        </w:numPr>
        <w:tabs>
          <w:tab w:val="clear" w:pos="360"/>
          <w:tab w:val="num" w:pos="540"/>
          <w:tab w:val="left" w:pos="7740"/>
        </w:tabs>
        <w:spacing w:before="0" w:after="120"/>
        <w:ind w:left="900" w:hanging="900"/>
        <w:rPr>
          <w:rFonts w:ascii="Times New Roman" w:hAnsi="Times New Roman" w:cs="Times New Roman"/>
          <w:i/>
          <w:sz w:val="24"/>
          <w:szCs w:val="24"/>
        </w:rPr>
      </w:pPr>
      <w:r w:rsidRPr="00A3204A">
        <w:rPr>
          <w:rFonts w:ascii="Times New Roman" w:hAnsi="Times New Roman" w:cs="Times New Roman"/>
          <w:bCs/>
          <w:sz w:val="24"/>
          <w:szCs w:val="24"/>
        </w:rPr>
        <w:t xml:space="preserve">Jakal, A., &amp; von Hauenschild, P. (2011). Therapeutic effects of cranial osteopathic manipulative medicine: A systematic review. </w:t>
      </w:r>
      <w:r w:rsidRPr="00A3204A">
        <w:rPr>
          <w:rFonts w:ascii="Times New Roman" w:hAnsi="Times New Roman" w:cs="Times New Roman"/>
          <w:bCs/>
          <w:i/>
          <w:sz w:val="24"/>
          <w:szCs w:val="24"/>
        </w:rPr>
        <w:t>J Am Osteopath Assoc., 111(12),</w:t>
      </w:r>
      <w:r w:rsidRPr="00A3204A">
        <w:rPr>
          <w:rFonts w:ascii="Times New Roman" w:hAnsi="Times New Roman" w:cs="Times New Roman"/>
          <w:bCs/>
          <w:sz w:val="24"/>
          <w:szCs w:val="24"/>
        </w:rPr>
        <w:t xml:space="preserve"> 685-693.</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Jha, A., Weintraub, A., Allshouse, A., Morey, C., Cusick, C., Kittelson, J., … Gerber, D. (2008). A randomized trial of Modafinil for the treatment of fatigue and excessive </w:t>
      </w:r>
      <w:r w:rsidRPr="00A3204A">
        <w:rPr>
          <w:rFonts w:ascii="Times New Roman" w:hAnsi="Times New Roman" w:cs="Times New Roman"/>
          <w:sz w:val="24"/>
          <w:szCs w:val="24"/>
        </w:rPr>
        <w:lastRenderedPageBreak/>
        <w:t xml:space="preserve">daytime sleepiness in individuals with chronic traumatic brain injury. </w:t>
      </w:r>
      <w:r w:rsidRPr="00A3204A">
        <w:rPr>
          <w:rFonts w:ascii="Times New Roman" w:hAnsi="Times New Roman" w:cs="Times New Roman"/>
          <w:i/>
          <w:iCs/>
          <w:sz w:val="24"/>
          <w:szCs w:val="24"/>
        </w:rPr>
        <w:t xml:space="preserve">Journal of Head Trauma Rehabilitation, </w:t>
      </w:r>
      <w:r w:rsidRPr="00A3204A">
        <w:rPr>
          <w:rFonts w:ascii="Times New Roman" w:hAnsi="Times New Roman" w:cs="Times New Roman"/>
          <w:i/>
          <w:sz w:val="24"/>
          <w:szCs w:val="24"/>
        </w:rPr>
        <w:t>23(1),</w:t>
      </w:r>
      <w:r w:rsidRPr="00A3204A">
        <w:rPr>
          <w:rFonts w:ascii="Times New Roman" w:hAnsi="Times New Roman" w:cs="Times New Roman"/>
          <w:sz w:val="24"/>
          <w:szCs w:val="24"/>
        </w:rPr>
        <w:t xml:space="preserve"> 52–63. </w:t>
      </w:r>
      <w:hyperlink r:id="rId60" w:history="1">
        <w:r w:rsidRPr="00A3204A">
          <w:rPr>
            <w:rFonts w:ascii="Times New Roman" w:hAnsi="Times New Roman" w:cs="Times New Roman"/>
            <w:color w:val="0000FF"/>
            <w:sz w:val="24"/>
            <w:szCs w:val="24"/>
            <w:u w:val="single"/>
          </w:rPr>
          <w:t>http://www.headtraumarehab.com</w:t>
        </w:r>
      </w:hyperlink>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Jiang, J.-Y. (2009). Clinical study of mild hypothermia treatment for severe traumatic brain injury.</w:t>
      </w:r>
      <w:r w:rsidRPr="00A3204A">
        <w:rPr>
          <w:rFonts w:ascii="Times New Roman" w:hAnsi="Times New Roman" w:cs="Times New Roman"/>
          <w:i/>
          <w:sz w:val="24"/>
          <w:szCs w:val="24"/>
        </w:rPr>
        <w:t xml:space="preserve"> Journal of Neurotrauma, 26, </w:t>
      </w:r>
      <w:r w:rsidRPr="00A3204A">
        <w:rPr>
          <w:rFonts w:ascii="Times New Roman" w:hAnsi="Times New Roman" w:cs="Times New Roman"/>
          <w:sz w:val="24"/>
          <w:szCs w:val="24"/>
        </w:rPr>
        <w:t>399–406. DOI: 10.1089/neu.2008.0525.</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Jiang, J.-Y., Xu, W., Li, W.-P., Gao, G.-Y., Boa, Y.-H., Liang, Y.-M., &amp; Luo, Q.-Z. (2006). Effect of long-term mild hypothermia or short-term mild hypothermia on outcome of patients with severe traumatic brain injury. </w:t>
      </w:r>
      <w:r w:rsidRPr="00A3204A">
        <w:rPr>
          <w:rFonts w:ascii="Times New Roman" w:hAnsi="Times New Roman" w:cs="Times New Roman"/>
          <w:i/>
          <w:sz w:val="24"/>
          <w:szCs w:val="24"/>
        </w:rPr>
        <w:t xml:space="preserve">Journal of Cerebral Blood Flow &amp; Metabolism, 26, </w:t>
      </w:r>
      <w:r w:rsidRPr="00A3204A">
        <w:rPr>
          <w:rFonts w:ascii="Times New Roman" w:hAnsi="Times New Roman" w:cs="Times New Roman"/>
          <w:sz w:val="24"/>
          <w:szCs w:val="24"/>
        </w:rPr>
        <w:t xml:space="preserve">771–776. </w:t>
      </w:r>
      <w:hyperlink r:id="rId61" w:history="1">
        <w:r w:rsidRPr="00A3204A">
          <w:rPr>
            <w:rFonts w:ascii="Times New Roman" w:hAnsi="Times New Roman" w:cs="Times New Roman"/>
            <w:color w:val="0000FF"/>
            <w:sz w:val="24"/>
            <w:szCs w:val="24"/>
            <w:u w:val="single"/>
          </w:rPr>
          <w:t>http://www.jcbfm.com</w:t>
        </w:r>
      </w:hyperlink>
      <w:r w:rsidRPr="00A3204A">
        <w:rPr>
          <w:rFonts w:ascii="Times New Roman" w:hAnsi="Times New Roman" w:cs="Times New Roman"/>
          <w:sz w:val="24"/>
          <w:szCs w:val="24"/>
          <w:u w:val="single"/>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u w:val="single"/>
        </w:rPr>
      </w:pPr>
      <w:r w:rsidRPr="00A3204A">
        <w:rPr>
          <w:rFonts w:ascii="Times New Roman" w:hAnsi="Times New Roman" w:cs="Times New Roman"/>
          <w:sz w:val="24"/>
          <w:szCs w:val="24"/>
        </w:rPr>
        <w:t xml:space="preserve">Johnson, E. W., Lovell, M. R. (2011). Neuropsychological assessment. </w:t>
      </w:r>
      <w:r w:rsidRPr="00A3204A">
        <w:rPr>
          <w:rFonts w:ascii="Times New Roman" w:hAnsi="Times New Roman" w:cs="Times New Roman"/>
          <w:i/>
          <w:sz w:val="24"/>
          <w:szCs w:val="24"/>
        </w:rPr>
        <w:t xml:space="preserve">American Psychiatric Association, 8, </w:t>
      </w:r>
      <w:r w:rsidRPr="00A3204A">
        <w:rPr>
          <w:rFonts w:ascii="Times New Roman" w:hAnsi="Times New Roman" w:cs="Times New Roman"/>
          <w:sz w:val="24"/>
          <w:szCs w:val="24"/>
        </w:rPr>
        <w:t xml:space="preserve">1-25. DOI: 10.1176/appi. books.9781585624201.674504. </w:t>
      </w:r>
      <w:hyperlink r:id="rId62" w:history="1">
        <w:r w:rsidRPr="00A3204A">
          <w:rPr>
            <w:rFonts w:ascii="Times New Roman" w:hAnsi="Times New Roman" w:cs="Times New Roman"/>
            <w:color w:val="0000FF"/>
            <w:sz w:val="24"/>
            <w:szCs w:val="24"/>
            <w:u w:val="single"/>
          </w:rPr>
          <w:t>http://www.psychiatryonline.com</w:t>
        </w:r>
      </w:hyperlink>
      <w:r w:rsidRPr="00A3204A">
        <w:rPr>
          <w:rFonts w:ascii="Times New Roman" w:hAnsi="Times New Roman" w:cs="Times New Roman"/>
          <w:sz w:val="24"/>
          <w:szCs w:val="24"/>
          <w:u w:val="single"/>
        </w:rPr>
        <w:t xml:space="preserve"> </w:t>
      </w:r>
    </w:p>
    <w:p w:rsidR="00A3204A" w:rsidRPr="00A3204A" w:rsidRDefault="00A3204A" w:rsidP="009C3DC2">
      <w:pPr>
        <w:numPr>
          <w:ilvl w:val="0"/>
          <w:numId w:val="33"/>
        </w:numPr>
        <w:spacing w:before="0" w:after="120"/>
        <w:rPr>
          <w:rFonts w:ascii="Times New Roman" w:hAnsi="Times New Roman" w:cs="Times New Roman"/>
          <w:i/>
          <w:sz w:val="24"/>
          <w:szCs w:val="24"/>
        </w:rPr>
      </w:pPr>
      <w:bookmarkStart w:id="830" w:name="Junpeng2011"/>
      <w:bookmarkEnd w:id="830"/>
      <w:r w:rsidRPr="00A3204A">
        <w:rPr>
          <w:rFonts w:ascii="Times New Roman" w:hAnsi="Times New Roman" w:cs="Times New Roman"/>
          <w:sz w:val="24"/>
          <w:szCs w:val="24"/>
        </w:rPr>
        <w:t xml:space="preserve">Junpeng M., Huang S., &amp; Qin S. (2011). Progesterone for acute traumatic brain injury (Review). </w:t>
      </w:r>
      <w:r w:rsidRPr="00A3204A">
        <w:rPr>
          <w:rFonts w:ascii="Times New Roman" w:hAnsi="Times New Roman" w:cs="Times New Roman"/>
          <w:bCs/>
          <w:i/>
          <w:sz w:val="24"/>
          <w:szCs w:val="24"/>
        </w:rPr>
        <w:t>Cochrane Database of Systematic Reviews, 1</w:t>
      </w:r>
      <w:r w:rsidRPr="00A3204A">
        <w:rPr>
          <w:rFonts w:ascii="Times New Roman" w:hAnsi="Times New Roman" w:cs="Times New Roman"/>
          <w:i/>
          <w:sz w:val="24"/>
          <w:szCs w:val="24"/>
        </w:rPr>
        <w:t>,</w:t>
      </w:r>
      <w:r w:rsidRPr="00A3204A">
        <w:rPr>
          <w:rFonts w:ascii="Times New Roman" w:hAnsi="Times New Roman" w:cs="Times New Roman"/>
          <w:sz w:val="24"/>
          <w:szCs w:val="24"/>
        </w:rPr>
        <w:t xml:space="preserve"> 1-25.</w:t>
      </w:r>
      <w:r w:rsidRPr="00A3204A">
        <w:t xml:space="preserve"> </w:t>
      </w:r>
      <w:r w:rsidRPr="00A3204A">
        <w:rPr>
          <w:rFonts w:ascii="Times New Roman" w:hAnsi="Times New Roman" w:cs="Times New Roman"/>
          <w:sz w:val="24"/>
          <w:szCs w:val="24"/>
        </w:rPr>
        <w:t xml:space="preserve">DOI: 10.1002/14651858.CD008409.pub2. </w:t>
      </w:r>
      <w:hyperlink r:id="rId63" w:history="1">
        <w:r w:rsidRPr="00A3204A">
          <w:rPr>
            <w:rFonts w:ascii="Times New Roman" w:hAnsi="Times New Roman" w:cs="Times New Roman"/>
            <w:color w:val="0000FF"/>
            <w:sz w:val="24"/>
            <w:szCs w:val="24"/>
            <w:u w:val="single"/>
          </w:rPr>
          <w:t>http://www.thecochranelibrary.com</w:t>
        </w:r>
      </w:hyperlink>
      <w:r w:rsidRPr="00A3204A">
        <w:rPr>
          <w:rFonts w:ascii="Times New Roman" w:hAnsi="Times New Roman" w:cs="Times New Roman"/>
          <w:sz w:val="24"/>
          <w:szCs w:val="24"/>
        </w:rPr>
        <w:t xml:space="preserve">.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r w:rsidRPr="00A3204A">
        <w:rPr>
          <w:rFonts w:ascii="Times New Roman" w:hAnsi="Times New Roman" w:cs="Times New Roman"/>
          <w:i/>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Kaiser, P. R., Valko, P. O., Werth, E., Thomann, J., Meier, J., Stocker, R.,… Baumann, C. R. (2010). </w:t>
      </w:r>
      <w:r w:rsidRPr="00A3204A">
        <w:rPr>
          <w:rFonts w:ascii="Times New Roman" w:hAnsi="Times New Roman" w:cs="Times New Roman"/>
          <w:bCs/>
          <w:sz w:val="24"/>
          <w:szCs w:val="24"/>
        </w:rPr>
        <w:t xml:space="preserve">Modafinil ameliorates excessive daytime sleepiness after traumatic brain injury. </w:t>
      </w:r>
      <w:r w:rsidRPr="00A3204A">
        <w:rPr>
          <w:rFonts w:ascii="Times New Roman" w:hAnsi="Times New Roman" w:cs="Times New Roman"/>
          <w:i/>
          <w:iCs/>
          <w:sz w:val="24"/>
          <w:szCs w:val="24"/>
        </w:rPr>
        <w:t xml:space="preserve">Neurology,75, </w:t>
      </w:r>
      <w:r w:rsidRPr="00A3204A">
        <w:rPr>
          <w:rFonts w:ascii="Times New Roman" w:hAnsi="Times New Roman" w:cs="Times New Roman"/>
          <w:sz w:val="24"/>
          <w:szCs w:val="24"/>
        </w:rPr>
        <w:t>1780-1786. DOI 10.1212/WNL.0b013e3181fd62a2.</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831" w:name="Kakar2009"/>
      <w:bookmarkEnd w:id="831"/>
      <w:r w:rsidRPr="00A3204A">
        <w:rPr>
          <w:rFonts w:ascii="Times New Roman" w:hAnsi="Times New Roman" w:cs="Times New Roman"/>
          <w:sz w:val="24"/>
          <w:szCs w:val="24"/>
        </w:rPr>
        <w:t xml:space="preserve">Kakar, V., Nagaria, J., &amp; Kirkpatrick, P. J. (2009). The current status of decompressive craniectomy. </w:t>
      </w:r>
      <w:r w:rsidRPr="00A3204A">
        <w:rPr>
          <w:rFonts w:ascii="Times New Roman" w:hAnsi="Times New Roman" w:cs="Times New Roman"/>
          <w:i/>
          <w:sz w:val="24"/>
          <w:szCs w:val="24"/>
        </w:rPr>
        <w:t>British Journal of Neurosurgery, 23(2),</w:t>
      </w:r>
      <w:r w:rsidRPr="00A3204A">
        <w:rPr>
          <w:rFonts w:ascii="Times New Roman" w:hAnsi="Times New Roman" w:cs="Times New Roman"/>
          <w:sz w:val="24"/>
          <w:szCs w:val="24"/>
        </w:rPr>
        <w:t xml:space="preserve"> 147-157.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Kapoor, N., Ciuffreda, K. J., &amp; Han, Y. (2004). Oculomotor rehabilitation in acquired brain injury: A case series. </w:t>
      </w:r>
      <w:r w:rsidRPr="00A3204A">
        <w:rPr>
          <w:rFonts w:ascii="Times New Roman" w:hAnsi="Times New Roman" w:cs="Times New Roman"/>
          <w:i/>
          <w:sz w:val="24"/>
          <w:szCs w:val="24"/>
        </w:rPr>
        <w:t xml:space="preserve">Archives Physical Medicine and Rehabilitation, 85, </w:t>
      </w:r>
      <w:r w:rsidRPr="00A3204A">
        <w:rPr>
          <w:rFonts w:ascii="Times New Roman" w:hAnsi="Times New Roman" w:cs="Times New Roman"/>
          <w:sz w:val="24"/>
          <w:szCs w:val="24"/>
        </w:rPr>
        <w:t xml:space="preserve">1667-1678. DOI:10.1016/j. apmr.2003.12.044.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Karlin, A. M. (2011). Concussion in the pediatric and adolescent population: “Different population, different concerns”. </w:t>
      </w:r>
      <w:r w:rsidRPr="00A3204A">
        <w:rPr>
          <w:rFonts w:ascii="Times New Roman" w:hAnsi="Times New Roman" w:cs="Times New Roman"/>
          <w:i/>
          <w:sz w:val="24"/>
          <w:szCs w:val="24"/>
        </w:rPr>
        <w:t xml:space="preserve">American </w:t>
      </w:r>
      <w:smartTag w:uri="urn:schemas-microsoft-com:office:smarttags" w:element="place">
        <w:smartTag w:uri="urn:schemas-microsoft-com:office:smarttags" w:element="PlaceType">
          <w:r w:rsidRPr="00A3204A">
            <w:rPr>
              <w:rFonts w:ascii="Times New Roman" w:hAnsi="Times New Roman" w:cs="Times New Roman"/>
              <w:i/>
              <w:sz w:val="24"/>
              <w:szCs w:val="24"/>
            </w:rPr>
            <w:t>Academy</w:t>
          </w:r>
        </w:smartTag>
        <w:r w:rsidRPr="00A3204A">
          <w:rPr>
            <w:rFonts w:ascii="Times New Roman" w:hAnsi="Times New Roman" w:cs="Times New Roman"/>
            <w:i/>
            <w:sz w:val="24"/>
            <w:szCs w:val="24"/>
          </w:rPr>
          <w:t xml:space="preserve"> of </w:t>
        </w:r>
        <w:smartTag w:uri="urn:schemas-microsoft-com:office:smarttags" w:element="PlaceName">
          <w:r w:rsidRPr="00A3204A">
            <w:rPr>
              <w:rFonts w:ascii="Times New Roman" w:hAnsi="Times New Roman" w:cs="Times New Roman"/>
              <w:i/>
              <w:sz w:val="24"/>
              <w:szCs w:val="24"/>
            </w:rPr>
            <w:t>Physical Medicine</w:t>
          </w:r>
        </w:smartTag>
      </w:smartTag>
      <w:r w:rsidRPr="00A3204A">
        <w:rPr>
          <w:rFonts w:ascii="Times New Roman" w:hAnsi="Times New Roman" w:cs="Times New Roman"/>
          <w:i/>
          <w:sz w:val="24"/>
          <w:szCs w:val="24"/>
        </w:rPr>
        <w:t xml:space="preserve"> and Rehabilitation, 3, </w:t>
      </w:r>
      <w:r w:rsidRPr="00A3204A">
        <w:rPr>
          <w:rFonts w:ascii="Times New Roman" w:hAnsi="Times New Roman" w:cs="Times New Roman"/>
          <w:sz w:val="24"/>
          <w:szCs w:val="24"/>
        </w:rPr>
        <w:t xml:space="preserve">S369-S379. DOI: 10.1016/j. pmrj.2011.07.015.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Karnath, H-O., Dieterich, M. (2006). Spatial neglect – a vestibular disorder? </w:t>
      </w:r>
      <w:r w:rsidRPr="00A3204A">
        <w:rPr>
          <w:rFonts w:ascii="Times New Roman" w:hAnsi="Times New Roman" w:cs="Times New Roman"/>
          <w:i/>
          <w:sz w:val="24"/>
          <w:szCs w:val="24"/>
        </w:rPr>
        <w:t xml:space="preserve">Brain, 129, </w:t>
      </w:r>
      <w:r w:rsidRPr="00A3204A">
        <w:rPr>
          <w:rFonts w:ascii="Times New Roman" w:hAnsi="Times New Roman" w:cs="Times New Roman"/>
          <w:sz w:val="24"/>
          <w:szCs w:val="24"/>
        </w:rPr>
        <w:t xml:space="preserve">293-305. DOI:10.1093/brain/awh698.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Kaufman, K. R., Brey, R. H., Chou, L-S., Rabatin, A.,…Basford, J. R. (2006). Comparison of subjective and objective measurements of balance disorders following traumatic brain injury. </w:t>
      </w:r>
      <w:r w:rsidRPr="00A3204A">
        <w:rPr>
          <w:rFonts w:ascii="Times New Roman" w:hAnsi="Times New Roman" w:cs="Times New Roman"/>
          <w:i/>
          <w:sz w:val="24"/>
          <w:szCs w:val="24"/>
        </w:rPr>
        <w:t xml:space="preserve">Medical Engineering and Physic, 28, </w:t>
      </w:r>
      <w:r w:rsidRPr="00A3204A">
        <w:rPr>
          <w:rFonts w:ascii="Times New Roman" w:hAnsi="Times New Roman" w:cs="Times New Roman"/>
          <w:sz w:val="24"/>
          <w:szCs w:val="24"/>
        </w:rPr>
        <w:t xml:space="preserve">234-239. DOI:10.1016/j. medengphy.2005.05.005.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32" w:name="Kelly2010"/>
      <w:bookmarkEnd w:id="832"/>
      <w:r w:rsidRPr="00A3204A">
        <w:rPr>
          <w:rFonts w:ascii="Times New Roman" w:hAnsi="Times New Roman" w:cs="Times New Roman"/>
          <w:sz w:val="24"/>
          <w:szCs w:val="24"/>
        </w:rPr>
        <w:t xml:space="preserve">Kelly, H., Brady, M. C., &amp; Enderby, P. (2010) Speech and language therapy for aphasia following stroke. </w:t>
      </w:r>
      <w:r w:rsidRPr="00A3204A">
        <w:rPr>
          <w:rFonts w:ascii="Times New Roman" w:hAnsi="Times New Roman" w:cs="Times New Roman"/>
          <w:bCs/>
          <w:i/>
          <w:sz w:val="24"/>
          <w:szCs w:val="24"/>
        </w:rPr>
        <w:t>Cochrane Database of Systematic Reviews</w:t>
      </w:r>
      <w:r w:rsidRPr="00A3204A">
        <w:rPr>
          <w:rFonts w:ascii="Times New Roman" w:hAnsi="Times New Roman" w:cs="Times New Roman"/>
          <w:i/>
          <w:iCs/>
          <w:sz w:val="24"/>
          <w:szCs w:val="24"/>
        </w:rPr>
        <w:t>, 5,</w:t>
      </w:r>
      <w:r w:rsidRPr="00A3204A">
        <w:rPr>
          <w:rFonts w:ascii="Times New Roman" w:hAnsi="Times New Roman" w:cs="Times New Roman"/>
          <w:iCs/>
          <w:sz w:val="24"/>
          <w:szCs w:val="24"/>
        </w:rPr>
        <w:t xml:space="preserve"> 1-172. </w:t>
      </w:r>
      <w:r w:rsidRPr="00A3204A">
        <w:rPr>
          <w:rFonts w:ascii="Times New Roman" w:hAnsi="Times New Roman" w:cs="Times New Roman"/>
          <w:sz w:val="24"/>
          <w:szCs w:val="24"/>
        </w:rPr>
        <w:t xml:space="preserve">DOI: 10.1002/14651858.CD000425.pub2. </w:t>
      </w:r>
      <w:hyperlink r:id="rId64" w:history="1">
        <w:r w:rsidRPr="00A3204A">
          <w:rPr>
            <w:rFonts w:ascii="Times New Roman" w:hAnsi="Times New Roman" w:cs="Times New Roman"/>
            <w:color w:val="0000FF"/>
            <w:sz w:val="24"/>
            <w:szCs w:val="24"/>
            <w:u w:val="single"/>
          </w:rPr>
          <w:t>http://www.thecochranelibrary.com</w:t>
        </w:r>
      </w:hyperlink>
      <w:r w:rsidRPr="00A3204A">
        <w:rPr>
          <w:rFonts w:ascii="Times New Roman" w:hAnsi="Times New Roman" w:cs="Times New Roman"/>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Kenning, T. J., Gandhi, R. H., &amp; German, J. W. (2009). A comparison of hinge craniotomy and decompressive craniectomy for the treatment of malignant intracranial hypertension: early clinical and radiographic analysis. </w:t>
      </w:r>
      <w:r w:rsidRPr="00A3204A">
        <w:rPr>
          <w:rFonts w:ascii="Times New Roman" w:hAnsi="Times New Roman" w:cs="Times New Roman"/>
          <w:i/>
          <w:sz w:val="24"/>
          <w:szCs w:val="24"/>
        </w:rPr>
        <w:t>Journal of Neurosurgery, 26(6),</w:t>
      </w:r>
      <w:r w:rsidRPr="00A3204A">
        <w:rPr>
          <w:rFonts w:ascii="Times New Roman" w:hAnsi="Times New Roman" w:cs="Times New Roman"/>
          <w:sz w:val="24"/>
          <w:szCs w:val="24"/>
        </w:rPr>
        <w:t xml:space="preserve"> E6. DOI: 10.3171/2009.4. FOCUS0960.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lastRenderedPageBreak/>
        <w:t xml:space="preserve">Ker, K., &amp; Blackhall, K. (2008). </w:t>
      </w:r>
      <w:r w:rsidRPr="00A3204A">
        <w:rPr>
          <w:rFonts w:ascii="Times New Roman" w:hAnsi="Times New Roman" w:cs="Times New Roman"/>
          <w:bCs/>
          <w:sz w:val="24"/>
          <w:szCs w:val="24"/>
        </w:rPr>
        <w:t xml:space="preserve">Bradykinin beta-2 receptor antagonists for acute traumatic brain injury (Review). </w:t>
      </w:r>
      <w:r w:rsidRPr="00A3204A">
        <w:rPr>
          <w:rFonts w:ascii="Times New Roman" w:hAnsi="Times New Roman" w:cs="Times New Roman"/>
          <w:bCs/>
          <w:i/>
          <w:sz w:val="24"/>
          <w:szCs w:val="24"/>
        </w:rPr>
        <w:t xml:space="preserve">The Cochrane Database of Systematic Reviews, 1, </w:t>
      </w:r>
      <w:r w:rsidRPr="00A3204A">
        <w:rPr>
          <w:rFonts w:ascii="Times New Roman" w:hAnsi="Times New Roman" w:cs="Times New Roman"/>
          <w:bCs/>
          <w:sz w:val="24"/>
          <w:szCs w:val="24"/>
        </w:rPr>
        <w:t xml:space="preserve">1-22. </w:t>
      </w:r>
      <w:r w:rsidRPr="00A3204A">
        <w:rPr>
          <w:rFonts w:ascii="Times New Roman" w:hAnsi="Times New Roman" w:cs="Times New Roman"/>
          <w:sz w:val="24"/>
          <w:szCs w:val="24"/>
        </w:rPr>
        <w:t>DOI: 10.1002/14651858.CD006686.pub2.</w:t>
      </w:r>
      <w:r w:rsidRPr="00A3204A">
        <w:rPr>
          <w:rFonts w:ascii="Times New Roman" w:hAnsi="Times New Roman" w:cs="Times New Roman"/>
          <w:bCs/>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bCs/>
          <w:sz w:val="24"/>
          <w:szCs w:val="24"/>
        </w:rPr>
        <w:t xml:space="preserve">Kerr, A., Cheng, S.-Y., &amp; Jones, T.A., (2011). </w:t>
      </w:r>
      <w:r w:rsidRPr="00A3204A">
        <w:rPr>
          <w:rFonts w:ascii="Times New Roman" w:hAnsi="Times New Roman" w:cs="Times New Roman"/>
          <w:sz w:val="24"/>
          <w:szCs w:val="24"/>
        </w:rPr>
        <w:t>Experience-dependent neural plasticity in the adult damaged brain</w:t>
      </w:r>
      <w:r w:rsidRPr="00A3204A">
        <w:rPr>
          <w:rFonts w:ascii="Times New Roman" w:hAnsi="Times New Roman" w:cs="Times New Roman"/>
          <w:i/>
          <w:sz w:val="24"/>
          <w:szCs w:val="24"/>
        </w:rPr>
        <w:t>. Journal of Communication Disorders, 44,</w:t>
      </w:r>
      <w:r w:rsidRPr="00A3204A">
        <w:rPr>
          <w:rFonts w:ascii="Times New Roman" w:hAnsi="Times New Roman" w:cs="Times New Roman"/>
          <w:sz w:val="24"/>
          <w:szCs w:val="24"/>
        </w:rPr>
        <w:t xml:space="preserve"> 538–548. DOI:10.1016/j.jcomdis.2011.04.011</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Khan, S., Khan, A., &amp; Feyz, M. (2002). Decreased length of stay, cost savings and descriptive findings of enhanced patient care resulting from an integrated traumatic brain injury programme. </w:t>
      </w:r>
      <w:r w:rsidRPr="00A3204A">
        <w:rPr>
          <w:rFonts w:ascii="Times New Roman" w:hAnsi="Times New Roman" w:cs="Times New Roman"/>
          <w:i/>
          <w:sz w:val="24"/>
          <w:szCs w:val="24"/>
        </w:rPr>
        <w:t xml:space="preserve">Brain Injury, 16(6), </w:t>
      </w:r>
      <w:r w:rsidRPr="00A3204A">
        <w:rPr>
          <w:rFonts w:ascii="Times New Roman" w:hAnsi="Times New Roman" w:cs="Times New Roman"/>
          <w:sz w:val="24"/>
          <w:szCs w:val="24"/>
        </w:rPr>
        <w:t>537-554.</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Kilani R. K., Paxton, B. E., Stinnett, S. S., Barnhart, H. X., Bindal, V., &amp; Lungren, M. P. (2011). Self-referral in medical imaging: A meta-analysis of the literature. </w:t>
      </w:r>
      <w:smartTag w:uri="urn:schemas-microsoft-com:office:smarttags" w:element="place">
        <w:smartTag w:uri="urn:schemas-microsoft-com:office:smarttags" w:element="PlaceName">
          <w:r w:rsidRPr="00A3204A">
            <w:rPr>
              <w:rFonts w:ascii="Times New Roman" w:hAnsi="Times New Roman" w:cs="Times New Roman"/>
              <w:i/>
              <w:sz w:val="24"/>
              <w:szCs w:val="24"/>
            </w:rPr>
            <w:t>American</w:t>
          </w:r>
        </w:smartTag>
        <w:r w:rsidRPr="00A3204A">
          <w:rPr>
            <w:rFonts w:ascii="Times New Roman" w:hAnsi="Times New Roman" w:cs="Times New Roman"/>
            <w:i/>
            <w:sz w:val="24"/>
            <w:szCs w:val="24"/>
          </w:rPr>
          <w:t xml:space="preserve"> </w:t>
        </w:r>
        <w:smartTag w:uri="urn:schemas-microsoft-com:office:smarttags" w:element="PlaceType">
          <w:r w:rsidRPr="00A3204A">
            <w:rPr>
              <w:rFonts w:ascii="Times New Roman" w:hAnsi="Times New Roman" w:cs="Times New Roman"/>
              <w:i/>
              <w:sz w:val="24"/>
              <w:szCs w:val="24"/>
            </w:rPr>
            <w:t>College</w:t>
          </w:r>
        </w:smartTag>
      </w:smartTag>
      <w:r w:rsidRPr="00A3204A">
        <w:rPr>
          <w:rFonts w:ascii="Times New Roman" w:hAnsi="Times New Roman" w:cs="Times New Roman"/>
          <w:i/>
          <w:sz w:val="24"/>
          <w:szCs w:val="24"/>
        </w:rPr>
        <w:t xml:space="preserve"> of</w:t>
      </w:r>
      <w:r w:rsidRPr="00A3204A">
        <w:rPr>
          <w:rFonts w:ascii="Times New Roman" w:hAnsi="Times New Roman" w:cs="Times New Roman"/>
          <w:sz w:val="24"/>
          <w:szCs w:val="24"/>
        </w:rPr>
        <w:t xml:space="preserve"> </w:t>
      </w:r>
      <w:r w:rsidRPr="00A3204A">
        <w:rPr>
          <w:rFonts w:ascii="Times New Roman" w:hAnsi="Times New Roman" w:cs="Times New Roman"/>
          <w:i/>
          <w:sz w:val="24"/>
          <w:szCs w:val="24"/>
        </w:rPr>
        <w:t xml:space="preserve">Radiology, 8, </w:t>
      </w:r>
      <w:r w:rsidRPr="00A3204A">
        <w:rPr>
          <w:rFonts w:ascii="Times New Roman" w:hAnsi="Times New Roman" w:cs="Times New Roman"/>
          <w:sz w:val="24"/>
          <w:szCs w:val="24"/>
        </w:rPr>
        <w:t xml:space="preserve">469-476. DOI:10.1016/J. Jacr.2011.01.016.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Kim, Y.-H., Ko, M.-H., Na, S.-Y., Park, S.-H., &amp; Kim, K.-W. (2006). Effects of single-dose methylphenidate on cognitive performance in patients with traumatic brain injury: a double-blind placebo-controlled study</w:t>
      </w:r>
      <w:r w:rsidRPr="00A3204A">
        <w:rPr>
          <w:rFonts w:ascii="Times New Roman" w:hAnsi="Times New Roman" w:cs="Times New Roman"/>
          <w:i/>
          <w:sz w:val="24"/>
          <w:szCs w:val="24"/>
        </w:rPr>
        <w:t xml:space="preserve">. Clinical Rehabilitation, 20, </w:t>
      </w:r>
      <w:r w:rsidRPr="00A3204A">
        <w:rPr>
          <w:rFonts w:ascii="Times New Roman" w:hAnsi="Times New Roman" w:cs="Times New Roman"/>
          <w:sz w:val="24"/>
          <w:szCs w:val="24"/>
        </w:rPr>
        <w:t>24-30. DOI: 10.1191/0269215506cr927oa.</w:t>
      </w:r>
    </w:p>
    <w:p w:rsidR="00A3204A" w:rsidRPr="00A3204A" w:rsidRDefault="00A3204A" w:rsidP="009C3DC2">
      <w:pPr>
        <w:numPr>
          <w:ilvl w:val="0"/>
          <w:numId w:val="33"/>
        </w:numPr>
        <w:spacing w:before="0" w:after="120"/>
        <w:rPr>
          <w:rFonts w:ascii="Times New Roman" w:hAnsi="Times New Roman" w:cs="Times New Roman"/>
          <w:i/>
          <w:sz w:val="24"/>
          <w:szCs w:val="24"/>
        </w:rPr>
      </w:pPr>
      <w:bookmarkStart w:id="833" w:name="Kirthi2010"/>
      <w:bookmarkEnd w:id="833"/>
      <w:r w:rsidRPr="00A3204A">
        <w:rPr>
          <w:rFonts w:ascii="Times New Roman" w:hAnsi="Times New Roman" w:cs="Times New Roman"/>
          <w:sz w:val="24"/>
          <w:szCs w:val="24"/>
        </w:rPr>
        <w:t xml:space="preserve">Kirthi, V., </w:t>
      </w:r>
      <w:smartTag w:uri="urn:schemas-microsoft-com:office:smarttags" w:element="place">
        <w:r w:rsidRPr="00A3204A">
          <w:rPr>
            <w:rFonts w:ascii="Times New Roman" w:hAnsi="Times New Roman" w:cs="Times New Roman"/>
            <w:sz w:val="24"/>
            <w:szCs w:val="24"/>
          </w:rPr>
          <w:t>Derry</w:t>
        </w:r>
      </w:smartTag>
      <w:r w:rsidRPr="00A3204A">
        <w:rPr>
          <w:rFonts w:ascii="Times New Roman" w:hAnsi="Times New Roman" w:cs="Times New Roman"/>
          <w:sz w:val="24"/>
          <w:szCs w:val="24"/>
        </w:rPr>
        <w:t xml:space="preserve"> S., Moore R. A., &amp; McQuay, H. J., (2010). Aspirin with or without an antiemetic</w:t>
      </w:r>
      <w:r w:rsidRPr="00A3204A">
        <w:rPr>
          <w:rFonts w:ascii="Times New Roman" w:hAnsi="Times New Roman" w:cs="Times New Roman"/>
          <w:i/>
          <w:sz w:val="24"/>
          <w:szCs w:val="24"/>
        </w:rPr>
        <w:t xml:space="preserve"> </w:t>
      </w:r>
      <w:r w:rsidRPr="00A3204A">
        <w:rPr>
          <w:rFonts w:ascii="Times New Roman" w:hAnsi="Times New Roman" w:cs="Times New Roman"/>
          <w:sz w:val="24"/>
          <w:szCs w:val="24"/>
        </w:rPr>
        <w:t>for acute migraine headaches in adults</w:t>
      </w:r>
      <w:r w:rsidRPr="00A3204A">
        <w:rPr>
          <w:rFonts w:ascii="Times New Roman" w:hAnsi="Times New Roman" w:cs="Times New Roman"/>
          <w:i/>
          <w:sz w:val="24"/>
          <w:szCs w:val="24"/>
        </w:rPr>
        <w:t xml:space="preserve">. Cochrane Database of Systematic Reviews, 4, </w:t>
      </w:r>
      <w:r w:rsidRPr="00A3204A">
        <w:rPr>
          <w:rFonts w:ascii="Times New Roman" w:hAnsi="Times New Roman" w:cs="Times New Roman"/>
          <w:sz w:val="24"/>
          <w:szCs w:val="24"/>
        </w:rPr>
        <w:t xml:space="preserve">1-77. DOI:10.1002/14651858. CD008041. pub2.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r w:rsidRPr="00A3204A">
        <w:rPr>
          <w:rFonts w:ascii="Times New Roman" w:hAnsi="Times New Roman" w:cs="Times New Roman"/>
          <w:i/>
          <w:sz w:val="24"/>
          <w:szCs w:val="24"/>
        </w:rPr>
        <w:t xml:space="preserve">.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834" w:name="Kleffelgaard2012"/>
      <w:bookmarkEnd w:id="834"/>
      <w:r w:rsidRPr="00A3204A">
        <w:rPr>
          <w:rFonts w:ascii="Times New Roman" w:hAnsi="Times New Roman" w:cs="Times New Roman"/>
          <w:sz w:val="24"/>
          <w:szCs w:val="24"/>
        </w:rPr>
        <w:t xml:space="preserve">Kleffelgaard, </w:t>
      </w:r>
      <w:smartTag w:uri="urn:schemas-microsoft-com:office:smarttags" w:element="place">
        <w:r w:rsidRPr="00A3204A">
          <w:rPr>
            <w:rFonts w:ascii="Times New Roman" w:hAnsi="Times New Roman" w:cs="Times New Roman"/>
            <w:sz w:val="24"/>
            <w:szCs w:val="24"/>
          </w:rPr>
          <w:t>I.</w:t>
        </w:r>
      </w:smartTag>
      <w:r w:rsidRPr="00A3204A">
        <w:rPr>
          <w:rFonts w:ascii="Times New Roman" w:hAnsi="Times New Roman" w:cs="Times New Roman"/>
          <w:sz w:val="24"/>
          <w:szCs w:val="24"/>
        </w:rPr>
        <w:t xml:space="preserve">, Roe, C., Soberg, H. L., &amp; Bergland, A. (2012). Associations among self-reported balance problems, post-concussion symptoms and performance-based tests: a longitudinal follow-up study. </w:t>
      </w:r>
      <w:r w:rsidRPr="00A3204A">
        <w:rPr>
          <w:rFonts w:ascii="Times New Roman" w:hAnsi="Times New Roman" w:cs="Times New Roman"/>
          <w:i/>
          <w:sz w:val="24"/>
          <w:szCs w:val="24"/>
        </w:rPr>
        <w:t>Disability &amp; Rehabilitation, 34(9),</w:t>
      </w:r>
      <w:r w:rsidRPr="00A3204A">
        <w:rPr>
          <w:rFonts w:ascii="Times New Roman" w:hAnsi="Times New Roman" w:cs="Times New Roman"/>
          <w:sz w:val="24"/>
          <w:szCs w:val="24"/>
        </w:rPr>
        <w:t xml:space="preserve"> 788-794. DOI: 10.3109/09638288.2011.619624.</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Kleim, J. A. (2011). Neural plasticity and neurorehabilitation: Teaching the new brain old tricks. </w:t>
      </w:r>
      <w:r w:rsidRPr="00A3204A">
        <w:rPr>
          <w:rFonts w:ascii="Times New Roman" w:hAnsi="Times New Roman" w:cs="Times New Roman"/>
          <w:i/>
          <w:sz w:val="24"/>
          <w:szCs w:val="24"/>
        </w:rPr>
        <w:t xml:space="preserve">Journal of Communication Disorders, 44, </w:t>
      </w:r>
      <w:r w:rsidRPr="00A3204A">
        <w:rPr>
          <w:rFonts w:ascii="Times New Roman" w:hAnsi="Times New Roman" w:cs="Times New Roman"/>
          <w:sz w:val="24"/>
          <w:szCs w:val="24"/>
        </w:rPr>
        <w:t>521–528. DOI:10.1016/j.jcomdis.2011.04.006.</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Klonoff, P. S., Lamb, D. G., &amp; Henderson, S. W. (2001). Outcomes from milieu-based neurorehabilitation at up to 11 years post-discharge. </w:t>
      </w:r>
      <w:r w:rsidRPr="00A3204A">
        <w:rPr>
          <w:rFonts w:ascii="Times New Roman" w:hAnsi="Times New Roman" w:cs="Times New Roman"/>
          <w:i/>
          <w:sz w:val="24"/>
          <w:szCs w:val="24"/>
        </w:rPr>
        <w:t>Brain Injury, 15(5),</w:t>
      </w:r>
      <w:r w:rsidRPr="00A3204A">
        <w:rPr>
          <w:rFonts w:ascii="Times New Roman" w:hAnsi="Times New Roman" w:cs="Times New Roman"/>
          <w:sz w:val="24"/>
          <w:szCs w:val="24"/>
        </w:rPr>
        <w:t xml:space="preserve"> 413-428.</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835" w:name="Knaepen2010"/>
      <w:bookmarkEnd w:id="835"/>
      <w:r w:rsidRPr="00A3204A">
        <w:rPr>
          <w:rFonts w:ascii="Times New Roman" w:hAnsi="Times New Roman" w:cs="Times New Roman"/>
          <w:sz w:val="24"/>
          <w:szCs w:val="24"/>
        </w:rPr>
        <w:t xml:space="preserve">Knaepen, K., Goekint, M., Heyman, E. M., &amp; Meeusen, R. (2010). Neuroplasticity - exercise-induced response of peripheral brain-derived neurotrophic factor A systematic review of experimental studies in human subjects. </w:t>
      </w:r>
      <w:r w:rsidRPr="00A3204A">
        <w:rPr>
          <w:rFonts w:ascii="Times New Roman" w:hAnsi="Times New Roman" w:cs="Times New Roman"/>
          <w:i/>
          <w:sz w:val="24"/>
          <w:szCs w:val="24"/>
        </w:rPr>
        <w:t>Sports Medicine, 40(9),</w:t>
      </w:r>
      <w:r w:rsidRPr="00A3204A">
        <w:rPr>
          <w:rFonts w:ascii="Times New Roman" w:hAnsi="Times New Roman" w:cs="Times New Roman"/>
          <w:sz w:val="24"/>
          <w:szCs w:val="24"/>
        </w:rPr>
        <w:t xml:space="preserve"> 766-801.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Kochanek, P. M., &amp; Safar, P. J. (2003). Therapeutic hypothermia for severe traumatic brain injury. </w:t>
      </w:r>
      <w:r w:rsidRPr="00A3204A">
        <w:rPr>
          <w:rFonts w:ascii="Times New Roman" w:hAnsi="Times New Roman" w:cs="Times New Roman"/>
          <w:i/>
          <w:iCs/>
          <w:sz w:val="24"/>
          <w:szCs w:val="24"/>
        </w:rPr>
        <w:t>Journal of the American Medical Association</w:t>
      </w:r>
      <w:r w:rsidRPr="00A3204A">
        <w:rPr>
          <w:rFonts w:ascii="Times New Roman" w:hAnsi="Times New Roman" w:cs="Times New Roman"/>
          <w:i/>
          <w:sz w:val="24"/>
          <w:szCs w:val="24"/>
        </w:rPr>
        <w:t xml:space="preserve">, 289(22), </w:t>
      </w:r>
      <w:r w:rsidRPr="00A3204A">
        <w:rPr>
          <w:rFonts w:ascii="Times New Roman" w:hAnsi="Times New Roman" w:cs="Times New Roman"/>
          <w:sz w:val="24"/>
          <w:szCs w:val="24"/>
        </w:rPr>
        <w:t xml:space="preserve">3007-3009.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Koeler, R., Wilhelm, E., &amp; Shoulson, </w:t>
      </w:r>
      <w:smartTag w:uri="urn:schemas-microsoft-com:office:smarttags" w:element="place">
        <w:r w:rsidRPr="00A3204A">
          <w:rPr>
            <w:rFonts w:ascii="Times New Roman" w:hAnsi="Times New Roman" w:cs="Times New Roman"/>
            <w:sz w:val="24"/>
            <w:szCs w:val="24"/>
          </w:rPr>
          <w:t>I.</w:t>
        </w:r>
      </w:smartTag>
      <w:r w:rsidRPr="00A3204A">
        <w:rPr>
          <w:rFonts w:ascii="Times New Roman" w:hAnsi="Times New Roman" w:cs="Times New Roman"/>
          <w:sz w:val="24"/>
          <w:szCs w:val="24"/>
        </w:rPr>
        <w:t xml:space="preserve"> (2011). Cognitive rehabilitation therapy for traumatic brain injury; Evaluating the evidence. </w:t>
      </w:r>
      <w:smartTag w:uri="urn:schemas-microsoft-com:office:smarttags" w:element="place">
        <w:smartTag w:uri="urn:schemas-microsoft-com:office:smarttags" w:element="PlaceName">
          <w:r w:rsidRPr="00A3204A">
            <w:rPr>
              <w:rFonts w:ascii="Times New Roman" w:hAnsi="Times New Roman" w:cs="Times New Roman"/>
              <w:i/>
              <w:sz w:val="24"/>
              <w:szCs w:val="24"/>
            </w:rPr>
            <w:t>National</w:t>
          </w:r>
        </w:smartTag>
        <w:r w:rsidRPr="00A3204A">
          <w:rPr>
            <w:rFonts w:ascii="Times New Roman" w:hAnsi="Times New Roman" w:cs="Times New Roman"/>
            <w:i/>
            <w:sz w:val="24"/>
            <w:szCs w:val="24"/>
          </w:rPr>
          <w:t xml:space="preserve"> </w:t>
        </w:r>
        <w:smartTag w:uri="urn:schemas-microsoft-com:office:smarttags" w:element="PlaceType">
          <w:r w:rsidRPr="00A3204A">
            <w:rPr>
              <w:rFonts w:ascii="Times New Roman" w:hAnsi="Times New Roman" w:cs="Times New Roman"/>
              <w:i/>
              <w:sz w:val="24"/>
              <w:szCs w:val="24"/>
            </w:rPr>
            <w:t>Academy</w:t>
          </w:r>
        </w:smartTag>
      </w:smartTag>
      <w:r w:rsidRPr="00A3204A">
        <w:rPr>
          <w:rFonts w:ascii="Times New Roman" w:hAnsi="Times New Roman" w:cs="Times New Roman"/>
          <w:i/>
          <w:sz w:val="24"/>
          <w:szCs w:val="24"/>
        </w:rPr>
        <w:t xml:space="preserve"> of Sciences, 280. ISBN 978-0-309-218184</w:t>
      </w:r>
      <w:r w:rsidRPr="00A3204A">
        <w:rPr>
          <w:rFonts w:ascii="Times New Roman" w:hAnsi="Times New Roman" w:cs="Times New Roman"/>
          <w:sz w:val="24"/>
          <w:szCs w:val="24"/>
        </w:rPr>
        <w:t xml:space="preserve">. </w:t>
      </w:r>
      <w:hyperlink r:id="rId65" w:history="1">
        <w:r w:rsidRPr="00A3204A">
          <w:rPr>
            <w:rFonts w:ascii="Times New Roman" w:hAnsi="Times New Roman" w:cs="Times New Roman"/>
            <w:color w:val="0000FF"/>
            <w:sz w:val="24"/>
            <w:szCs w:val="24"/>
            <w:u w:val="single"/>
          </w:rPr>
          <w:t>http://www.nap.edu/catalog.php?record_id=13220</w:t>
        </w:r>
      </w:hyperlink>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Kornbluth, J. &amp; Bhardwaaj, A. (2011). Evaluation of coma: A critical appraisal of popular scoring systems. </w:t>
      </w:r>
      <w:r w:rsidRPr="00A3204A">
        <w:rPr>
          <w:rFonts w:ascii="Times New Roman" w:hAnsi="Times New Roman" w:cs="Times New Roman"/>
          <w:i/>
          <w:sz w:val="24"/>
          <w:szCs w:val="24"/>
        </w:rPr>
        <w:t xml:space="preserve">Neurocrit Care, 14, </w:t>
      </w:r>
      <w:r w:rsidRPr="00A3204A">
        <w:rPr>
          <w:rFonts w:ascii="Times New Roman" w:hAnsi="Times New Roman" w:cs="Times New Roman"/>
          <w:sz w:val="24"/>
          <w:szCs w:val="24"/>
        </w:rPr>
        <w:t xml:space="preserve">134-143. DOI:10.1007/S12028-010-9409-3.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836" w:name="Kou2010"/>
      <w:bookmarkEnd w:id="836"/>
      <w:r w:rsidRPr="00A3204A">
        <w:rPr>
          <w:rFonts w:ascii="Times New Roman" w:hAnsi="Times New Roman" w:cs="Times New Roman"/>
          <w:sz w:val="24"/>
          <w:szCs w:val="24"/>
        </w:rPr>
        <w:lastRenderedPageBreak/>
        <w:t xml:space="preserve">Kou, Z.,Wu, Z., Tong, K. A., Holshouser, B., Benson, R. R., Hu, J., &amp; Haacke, M. (2010). The role of advanced MR Imaging findings as biomarkers of traumatic brain injury. </w:t>
      </w:r>
      <w:r w:rsidRPr="00A3204A">
        <w:rPr>
          <w:rFonts w:ascii="Times New Roman" w:hAnsi="Times New Roman" w:cs="Times New Roman"/>
          <w:i/>
          <w:sz w:val="24"/>
          <w:szCs w:val="24"/>
        </w:rPr>
        <w:t xml:space="preserve">Journal of Head Trauma Rehabilitation, 25(4), </w:t>
      </w:r>
      <w:r w:rsidRPr="00A3204A">
        <w:rPr>
          <w:rFonts w:ascii="Times New Roman" w:hAnsi="Times New Roman" w:cs="Times New Roman"/>
          <w:sz w:val="24"/>
          <w:szCs w:val="24"/>
        </w:rPr>
        <w:t>267-282.</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837" w:name="Kramer1999"/>
      <w:bookmarkEnd w:id="837"/>
      <w:r w:rsidRPr="00A3204A">
        <w:rPr>
          <w:rFonts w:ascii="Times New Roman" w:hAnsi="Times New Roman" w:cs="Times New Roman"/>
          <w:bCs/>
          <w:sz w:val="24"/>
          <w:szCs w:val="24"/>
        </w:rPr>
        <w:t xml:space="preserve">Kramer, A. F., Hahn, S., Cohen, N. J., Banich, M. T., McAuley, E., Harrison, C. R.,… Colcombe, A. (1999). </w:t>
      </w:r>
      <w:r w:rsidRPr="00A3204A">
        <w:rPr>
          <w:rFonts w:ascii="Times New Roman" w:hAnsi="Times New Roman" w:cs="Times New Roman"/>
          <w:sz w:val="24"/>
          <w:szCs w:val="24"/>
        </w:rPr>
        <w:t xml:space="preserve">Ageing, fitness and neurocognitive function. </w:t>
      </w:r>
      <w:r w:rsidRPr="00A3204A">
        <w:rPr>
          <w:rFonts w:ascii="Times New Roman" w:hAnsi="Times New Roman" w:cs="Times New Roman"/>
          <w:i/>
          <w:sz w:val="24"/>
          <w:szCs w:val="24"/>
        </w:rPr>
        <w:t>Nature, 400,</w:t>
      </w:r>
      <w:r w:rsidRPr="00A3204A">
        <w:rPr>
          <w:rFonts w:ascii="Times New Roman" w:hAnsi="Times New Roman" w:cs="Times New Roman"/>
          <w:sz w:val="24"/>
          <w:szCs w:val="24"/>
        </w:rPr>
        <w:t xml:space="preserve"> 418-419.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Kraus, M. F., Susmaras, T., Caughlin, B. P., Walker, C. J., Sweeney, J. A., &amp; Little, D. M. (2007). White matter integrity and cognition in chronic traumatic brain injury: a diffusion tension imaging study. </w:t>
      </w:r>
      <w:r w:rsidRPr="00A3204A">
        <w:rPr>
          <w:rFonts w:ascii="Times New Roman" w:hAnsi="Times New Roman" w:cs="Times New Roman"/>
          <w:i/>
          <w:sz w:val="24"/>
          <w:szCs w:val="24"/>
        </w:rPr>
        <w:t xml:space="preserve">Brain, 130, </w:t>
      </w:r>
      <w:r w:rsidRPr="00A3204A">
        <w:rPr>
          <w:rFonts w:ascii="Times New Roman" w:hAnsi="Times New Roman" w:cs="Times New Roman"/>
          <w:sz w:val="24"/>
          <w:szCs w:val="24"/>
        </w:rPr>
        <w:t>2508-2519. DOI:10.1093/brain/awm216.</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Krawczyk, D. (n.d.). Brain training to enhance frontal lobe reasoning in soldiers with TBI. </w:t>
      </w:r>
      <w:r w:rsidRPr="00A3204A">
        <w:rPr>
          <w:rFonts w:ascii="Times New Roman" w:hAnsi="Times New Roman" w:cs="Times New Roman"/>
          <w:i/>
          <w:sz w:val="24"/>
          <w:szCs w:val="24"/>
        </w:rPr>
        <w:t xml:space="preserve">Technical Abstract. </w:t>
      </w:r>
      <w:r w:rsidRPr="00A3204A">
        <w:rPr>
          <w:rFonts w:ascii="Times New Roman" w:hAnsi="Times New Roman" w:cs="Times New Roman"/>
          <w:sz w:val="24"/>
          <w:szCs w:val="24"/>
        </w:rPr>
        <w:t xml:space="preserve">Proposal Number: PT100084 </w:t>
      </w:r>
      <w:smartTag w:uri="urn:schemas-microsoft-com:office:smarttags" w:element="place">
        <w:smartTag w:uri="urn:schemas-microsoft-com:office:smarttags" w:element="PlaceType">
          <w:r w:rsidRPr="00A3204A">
            <w:rPr>
              <w:rFonts w:ascii="Times New Roman" w:hAnsi="Times New Roman" w:cs="Times New Roman"/>
              <w:sz w:val="24"/>
              <w:szCs w:val="24"/>
            </w:rPr>
            <w:t>University</w:t>
          </w:r>
        </w:smartTag>
        <w:r w:rsidRPr="00A3204A">
          <w:rPr>
            <w:rFonts w:ascii="Times New Roman" w:hAnsi="Times New Roman" w:cs="Times New Roman"/>
            <w:sz w:val="24"/>
            <w:szCs w:val="24"/>
          </w:rPr>
          <w:t xml:space="preserve"> of </w:t>
        </w:r>
        <w:smartTag w:uri="urn:schemas-microsoft-com:office:smarttags" w:element="PlaceName">
          <w:r w:rsidRPr="00A3204A">
            <w:rPr>
              <w:rFonts w:ascii="Times New Roman" w:hAnsi="Times New Roman" w:cs="Times New Roman"/>
              <w:sz w:val="24"/>
              <w:szCs w:val="24"/>
            </w:rPr>
            <w:t>Texas</w:t>
          </w:r>
        </w:smartTag>
      </w:smartTag>
      <w:r w:rsidRPr="00A3204A">
        <w:rPr>
          <w:rFonts w:ascii="Times New Roman" w:hAnsi="Times New Roman" w:cs="Times New Roman"/>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Krishnan, A. &amp; Silver, N. (2009). Headache (chronic tension-type). </w:t>
      </w:r>
      <w:r w:rsidRPr="00A3204A">
        <w:rPr>
          <w:rFonts w:ascii="Times New Roman" w:hAnsi="Times New Roman" w:cs="Times New Roman"/>
          <w:i/>
          <w:sz w:val="24"/>
          <w:szCs w:val="24"/>
        </w:rPr>
        <w:t xml:space="preserve">BMJ Publishing Group Ltd.; Clinical Evidence, 7, </w:t>
      </w:r>
      <w:r w:rsidRPr="00A3204A">
        <w:rPr>
          <w:rFonts w:ascii="Times New Roman" w:hAnsi="Times New Roman" w:cs="Times New Roman"/>
          <w:sz w:val="24"/>
          <w:szCs w:val="24"/>
        </w:rPr>
        <w:t xml:space="preserve">1-22. </w:t>
      </w:r>
      <w:hyperlink r:id="rId66" w:history="1">
        <w:r w:rsidRPr="00A3204A">
          <w:rPr>
            <w:rFonts w:ascii="Times New Roman" w:hAnsi="Times New Roman" w:cs="Times New Roman"/>
            <w:color w:val="0000FF"/>
            <w:sz w:val="24"/>
            <w:szCs w:val="24"/>
            <w:u w:val="single"/>
          </w:rPr>
          <w:t>http://www.clinicalevidence.bmj.com</w:t>
        </w:r>
      </w:hyperlink>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Kulcu, D. G., Yanik, B., Boynukalin, S., &amp; Kurtais, Y. (2008). Efficacy of a home-based exercise program on benign paroxysmal positional vertigo compared with betahistine. </w:t>
      </w:r>
      <w:r w:rsidRPr="00A3204A">
        <w:rPr>
          <w:rFonts w:ascii="Times New Roman" w:hAnsi="Times New Roman" w:cs="Times New Roman"/>
          <w:i/>
          <w:sz w:val="24"/>
          <w:szCs w:val="24"/>
        </w:rPr>
        <w:t>Journal of Otolaryngology Head and Neck Surgery, 37(3),</w:t>
      </w:r>
      <w:r w:rsidRPr="00A3204A">
        <w:rPr>
          <w:rFonts w:ascii="Times New Roman" w:hAnsi="Times New Roman" w:cs="Times New Roman"/>
          <w:sz w:val="24"/>
          <w:szCs w:val="24"/>
        </w:rPr>
        <w:t xml:space="preserve"> 373-379. DOI: 10.2310/7070.2008.0063.</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Kumar, S. K, &amp; Macaden A. S. (2009). Cognitive rehabilitation for occupational outcomes after traumatic brain injury (Protocol). </w:t>
      </w:r>
      <w:r w:rsidRPr="00A3204A">
        <w:rPr>
          <w:rFonts w:ascii="Times New Roman" w:hAnsi="Times New Roman" w:cs="Times New Roman"/>
          <w:bCs/>
          <w:i/>
          <w:sz w:val="24"/>
          <w:szCs w:val="24"/>
        </w:rPr>
        <w:t>Cochrane Database of Systematic Reviews</w:t>
      </w:r>
      <w:r w:rsidRPr="00A3204A">
        <w:rPr>
          <w:rFonts w:ascii="Times New Roman" w:hAnsi="Times New Roman" w:cs="Times New Roman"/>
          <w:i/>
          <w:sz w:val="24"/>
          <w:szCs w:val="24"/>
        </w:rPr>
        <w:t xml:space="preserve">, 3, </w:t>
      </w:r>
      <w:r w:rsidRPr="00A3204A">
        <w:rPr>
          <w:rFonts w:ascii="Times New Roman" w:hAnsi="Times New Roman" w:cs="Times New Roman"/>
          <w:sz w:val="24"/>
          <w:szCs w:val="24"/>
        </w:rPr>
        <w:t xml:space="preserve">1-7. </w:t>
      </w:r>
      <w:hyperlink r:id="rId67" w:history="1">
        <w:r w:rsidRPr="00A3204A">
          <w:rPr>
            <w:rFonts w:ascii="Times New Roman" w:hAnsi="Times New Roman" w:cs="Times New Roman"/>
            <w:color w:val="0000FF"/>
            <w:sz w:val="24"/>
            <w:szCs w:val="24"/>
            <w:u w:val="single"/>
          </w:rPr>
          <w:t>http://www.thecochranelibrary.com</w:t>
        </w:r>
      </w:hyperlink>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Laatsch, L. (2007). The use of functional MRI in traumatic brain injury diagnosis and treatment. </w:t>
      </w:r>
      <w:r w:rsidRPr="00A3204A">
        <w:rPr>
          <w:rFonts w:ascii="Times New Roman" w:hAnsi="Times New Roman" w:cs="Times New Roman"/>
          <w:i/>
          <w:sz w:val="24"/>
          <w:szCs w:val="24"/>
        </w:rPr>
        <w:t xml:space="preserve">Physical Medicine and Rehabilitation Clinics of </w:t>
      </w:r>
      <w:smartTag w:uri="urn:schemas-microsoft-com:office:smarttags" w:element="place">
        <w:r w:rsidRPr="00A3204A">
          <w:rPr>
            <w:rFonts w:ascii="Times New Roman" w:hAnsi="Times New Roman" w:cs="Times New Roman"/>
            <w:i/>
            <w:sz w:val="24"/>
            <w:szCs w:val="24"/>
          </w:rPr>
          <w:t>North America</w:t>
        </w:r>
      </w:smartTag>
      <w:r w:rsidRPr="00A3204A">
        <w:rPr>
          <w:rFonts w:ascii="Times New Roman" w:hAnsi="Times New Roman" w:cs="Times New Roman"/>
          <w:i/>
          <w:sz w:val="24"/>
          <w:szCs w:val="24"/>
        </w:rPr>
        <w:t xml:space="preserve">, 18, </w:t>
      </w:r>
      <w:r w:rsidRPr="00A3204A">
        <w:rPr>
          <w:rFonts w:ascii="Times New Roman" w:hAnsi="Times New Roman" w:cs="Times New Roman"/>
          <w:sz w:val="24"/>
          <w:szCs w:val="24"/>
        </w:rPr>
        <w:t xml:space="preserve">69-85. DOI:10.1016/j. pmr.2006.11.00.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Laker, S. R. (2011a). Concussion supplement: Introduction. </w:t>
      </w:r>
      <w:r w:rsidRPr="00A3204A">
        <w:rPr>
          <w:rFonts w:ascii="Times New Roman" w:hAnsi="Times New Roman" w:cs="Times New Roman"/>
          <w:i/>
          <w:sz w:val="24"/>
          <w:szCs w:val="24"/>
        </w:rPr>
        <w:t xml:space="preserve">American </w:t>
      </w:r>
      <w:smartTag w:uri="urn:schemas-microsoft-com:office:smarttags" w:element="place">
        <w:smartTag w:uri="urn:schemas-microsoft-com:office:smarttags" w:element="PlaceType">
          <w:r w:rsidRPr="00A3204A">
            <w:rPr>
              <w:rFonts w:ascii="Times New Roman" w:hAnsi="Times New Roman" w:cs="Times New Roman"/>
              <w:i/>
              <w:sz w:val="24"/>
              <w:szCs w:val="24"/>
            </w:rPr>
            <w:t>Academy</w:t>
          </w:r>
        </w:smartTag>
        <w:r w:rsidRPr="00A3204A">
          <w:rPr>
            <w:rFonts w:ascii="Times New Roman" w:hAnsi="Times New Roman" w:cs="Times New Roman"/>
            <w:i/>
            <w:sz w:val="24"/>
            <w:szCs w:val="24"/>
          </w:rPr>
          <w:t xml:space="preserve"> of </w:t>
        </w:r>
        <w:smartTag w:uri="urn:schemas-microsoft-com:office:smarttags" w:element="PlaceName">
          <w:r w:rsidRPr="00A3204A">
            <w:rPr>
              <w:rFonts w:ascii="Times New Roman" w:hAnsi="Times New Roman" w:cs="Times New Roman"/>
              <w:i/>
              <w:sz w:val="24"/>
              <w:szCs w:val="24"/>
            </w:rPr>
            <w:t>Physical Medicine</w:t>
          </w:r>
        </w:smartTag>
      </w:smartTag>
      <w:r w:rsidRPr="00A3204A">
        <w:rPr>
          <w:rFonts w:ascii="Times New Roman" w:hAnsi="Times New Roman" w:cs="Times New Roman"/>
          <w:i/>
          <w:sz w:val="24"/>
          <w:szCs w:val="24"/>
        </w:rPr>
        <w:t xml:space="preserve"> and Rehabilitation, 3, </w:t>
      </w:r>
      <w:r w:rsidRPr="00A3204A">
        <w:rPr>
          <w:rFonts w:ascii="Times New Roman" w:hAnsi="Times New Roman" w:cs="Times New Roman"/>
          <w:sz w:val="24"/>
          <w:szCs w:val="24"/>
        </w:rPr>
        <w:t xml:space="preserve">S351-S353. DOI: 10.1016/j. pmrj.2011.08.004.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Laker, S. R. (2011b). Concussion supplement: Epidemiology of concussion and mild traumatic brain injury. </w:t>
      </w:r>
      <w:r w:rsidRPr="00A3204A">
        <w:rPr>
          <w:rFonts w:ascii="Times New Roman" w:hAnsi="Times New Roman" w:cs="Times New Roman"/>
          <w:i/>
          <w:sz w:val="24"/>
          <w:szCs w:val="24"/>
        </w:rPr>
        <w:t xml:space="preserve">American </w:t>
      </w:r>
      <w:smartTag w:uri="urn:schemas-microsoft-com:office:smarttags" w:element="place">
        <w:smartTag w:uri="urn:schemas-microsoft-com:office:smarttags" w:element="PlaceType">
          <w:r w:rsidRPr="00A3204A">
            <w:rPr>
              <w:rFonts w:ascii="Times New Roman" w:hAnsi="Times New Roman" w:cs="Times New Roman"/>
              <w:i/>
              <w:sz w:val="24"/>
              <w:szCs w:val="24"/>
            </w:rPr>
            <w:t>Academy</w:t>
          </w:r>
        </w:smartTag>
        <w:r w:rsidRPr="00A3204A">
          <w:rPr>
            <w:rFonts w:ascii="Times New Roman" w:hAnsi="Times New Roman" w:cs="Times New Roman"/>
            <w:i/>
            <w:sz w:val="24"/>
            <w:szCs w:val="24"/>
          </w:rPr>
          <w:t xml:space="preserve"> of </w:t>
        </w:r>
        <w:smartTag w:uri="urn:schemas-microsoft-com:office:smarttags" w:element="PlaceName">
          <w:r w:rsidRPr="00A3204A">
            <w:rPr>
              <w:rFonts w:ascii="Times New Roman" w:hAnsi="Times New Roman" w:cs="Times New Roman"/>
              <w:i/>
              <w:sz w:val="24"/>
              <w:szCs w:val="24"/>
            </w:rPr>
            <w:t>Physical Medicine</w:t>
          </w:r>
        </w:smartTag>
      </w:smartTag>
      <w:r w:rsidRPr="00A3204A">
        <w:rPr>
          <w:rFonts w:ascii="Times New Roman" w:hAnsi="Times New Roman" w:cs="Times New Roman"/>
          <w:i/>
          <w:sz w:val="24"/>
          <w:szCs w:val="24"/>
        </w:rPr>
        <w:t xml:space="preserve"> and Rehabilitation 3:</w:t>
      </w:r>
      <w:r w:rsidRPr="00A3204A">
        <w:rPr>
          <w:rFonts w:ascii="Times New Roman" w:hAnsi="Times New Roman" w:cs="Times New Roman"/>
          <w:sz w:val="24"/>
          <w:szCs w:val="24"/>
        </w:rPr>
        <w:t xml:space="preserve">S354-S358. DOI: 10.1016/j. pmrj.2011.07.017.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Lane-Brown, A., &amp; Tate, R. (2009). </w:t>
      </w:r>
      <w:r w:rsidRPr="00A3204A">
        <w:rPr>
          <w:rFonts w:ascii="Times New Roman" w:hAnsi="Times New Roman" w:cs="Times New Roman"/>
          <w:bCs/>
          <w:sz w:val="24"/>
          <w:szCs w:val="24"/>
        </w:rPr>
        <w:t xml:space="preserve">Interventions for apathy after traumatic brain injury (Review). </w:t>
      </w:r>
      <w:r w:rsidRPr="00A3204A">
        <w:rPr>
          <w:rFonts w:ascii="Times New Roman" w:hAnsi="Times New Roman" w:cs="Times New Roman"/>
          <w:bCs/>
          <w:i/>
          <w:sz w:val="24"/>
          <w:szCs w:val="24"/>
        </w:rPr>
        <w:t xml:space="preserve">The Cochrane Database of Systematic Reviews, 2, </w:t>
      </w:r>
      <w:r w:rsidRPr="00A3204A">
        <w:rPr>
          <w:rFonts w:ascii="Times New Roman" w:hAnsi="Times New Roman" w:cs="Times New Roman"/>
          <w:bCs/>
          <w:sz w:val="24"/>
          <w:szCs w:val="24"/>
        </w:rPr>
        <w:t xml:space="preserve">1-27. </w:t>
      </w:r>
      <w:r w:rsidRPr="00A3204A">
        <w:rPr>
          <w:rFonts w:ascii="Times New Roman" w:hAnsi="Times New Roman" w:cs="Times New Roman"/>
          <w:sz w:val="24"/>
          <w:szCs w:val="24"/>
        </w:rPr>
        <w:t>DOI: 10.1002/14651858.CD006341.pub2.</w:t>
      </w:r>
      <w:r w:rsidRPr="00A3204A">
        <w:rPr>
          <w:rFonts w:ascii="Times New Roman" w:hAnsi="Times New Roman" w:cs="Times New Roman"/>
          <w:bCs/>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bCs/>
          <w:sz w:val="24"/>
          <w:szCs w:val="24"/>
        </w:rPr>
        <w:t xml:space="preserve">Lange, R. T., Iverson, G. L., &amp; Franzen, M. D. (2009). Neuropsychological functioning following complicated vs. uncomplicated mail traumatic brain injury. </w:t>
      </w:r>
      <w:r w:rsidRPr="00A3204A">
        <w:rPr>
          <w:rFonts w:ascii="Times New Roman" w:hAnsi="Times New Roman" w:cs="Times New Roman"/>
          <w:bCs/>
          <w:i/>
          <w:sz w:val="24"/>
          <w:szCs w:val="24"/>
        </w:rPr>
        <w:t xml:space="preserve">Brain Injury, 23(2), </w:t>
      </w:r>
      <w:r w:rsidRPr="00A3204A">
        <w:rPr>
          <w:rFonts w:ascii="Times New Roman" w:hAnsi="Times New Roman" w:cs="Times New Roman"/>
          <w:bCs/>
          <w:sz w:val="24"/>
          <w:szCs w:val="24"/>
        </w:rPr>
        <w:t>83-91. DOI:10.1080/02699050802635281.</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838" w:name="Langevin2011"/>
      <w:bookmarkEnd w:id="838"/>
      <w:r w:rsidRPr="00A3204A">
        <w:rPr>
          <w:rFonts w:ascii="Times New Roman" w:hAnsi="Times New Roman" w:cs="Times New Roman"/>
          <w:sz w:val="24"/>
          <w:szCs w:val="24"/>
        </w:rPr>
        <w:t xml:space="preserve">Langevin P., Peloso P. M. J., Lowcock J., Nolan M., Weber, J., Gross, A.,… Haines, T. (2011). T. Botulinum toxin for subacute/chronic neck pain. </w:t>
      </w:r>
      <w:r w:rsidRPr="00A3204A">
        <w:rPr>
          <w:rFonts w:ascii="Times New Roman" w:hAnsi="Times New Roman" w:cs="Times New Roman"/>
          <w:i/>
          <w:sz w:val="24"/>
          <w:szCs w:val="24"/>
        </w:rPr>
        <w:t xml:space="preserve">Cochrane Database of Systematic Reviews, 7, </w:t>
      </w:r>
      <w:r w:rsidRPr="00A3204A">
        <w:rPr>
          <w:rFonts w:ascii="Times New Roman" w:hAnsi="Times New Roman" w:cs="Times New Roman"/>
          <w:sz w:val="24"/>
          <w:szCs w:val="24"/>
        </w:rPr>
        <w:t xml:space="preserve">1-71. DOI:10.1002/14651858. CD008626pub2.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Langham, J., Goldfrad, L. J., Teasdale, C., Shaw, G., &amp; Rowan K. (2003). Calcium channel blockers for acute traumatic brain injury (Review). </w:t>
      </w:r>
      <w:r w:rsidRPr="00A3204A">
        <w:rPr>
          <w:rFonts w:ascii="Times New Roman" w:hAnsi="Times New Roman" w:cs="Times New Roman"/>
          <w:bCs/>
          <w:i/>
          <w:sz w:val="24"/>
          <w:szCs w:val="24"/>
        </w:rPr>
        <w:t>Cochrane Database of Systematic Reviews</w:t>
      </w:r>
      <w:r w:rsidRPr="00A3204A">
        <w:rPr>
          <w:rFonts w:ascii="Times New Roman" w:hAnsi="Times New Roman" w:cs="Times New Roman"/>
          <w:i/>
          <w:sz w:val="24"/>
          <w:szCs w:val="24"/>
        </w:rPr>
        <w:t xml:space="preserve">, 4, </w:t>
      </w:r>
      <w:r w:rsidRPr="00A3204A">
        <w:rPr>
          <w:rFonts w:ascii="Times New Roman" w:hAnsi="Times New Roman" w:cs="Times New Roman"/>
          <w:sz w:val="24"/>
          <w:szCs w:val="24"/>
        </w:rPr>
        <w:t xml:space="preserve">1-23. </w:t>
      </w:r>
      <w:hyperlink r:id="rId68" w:history="1">
        <w:r w:rsidRPr="00A3204A">
          <w:rPr>
            <w:rFonts w:ascii="Times New Roman" w:hAnsi="Times New Roman" w:cs="Times New Roman"/>
            <w:color w:val="0000FF"/>
            <w:sz w:val="24"/>
            <w:szCs w:val="24"/>
            <w:u w:val="single"/>
          </w:rPr>
          <w:t>http://www.thecochranelibrary.com</w:t>
        </w:r>
      </w:hyperlink>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839" w:name="Larrosa2012"/>
      <w:bookmarkEnd w:id="839"/>
      <w:r w:rsidRPr="00A3204A">
        <w:rPr>
          <w:rFonts w:ascii="Times New Roman" w:hAnsi="Times New Roman" w:cs="Times New Roman"/>
          <w:sz w:val="24"/>
          <w:szCs w:val="24"/>
        </w:rPr>
        <w:lastRenderedPageBreak/>
        <w:t xml:space="preserve">Larrosa, F., Dura, M. J., Menacho, J., Gonza´lez-Sabate´, L., Cordo´n, A., Hernandez, A., &amp; Garcı´a-Iba´n˜ez, L. (2012). Aphysiologic performance on dynamic posturography in workrelated patients. </w:t>
      </w:r>
      <w:r w:rsidRPr="00A3204A">
        <w:rPr>
          <w:rFonts w:ascii="Times New Roman" w:hAnsi="Times New Roman" w:cs="Times New Roman"/>
          <w:i/>
          <w:sz w:val="24"/>
          <w:szCs w:val="24"/>
        </w:rPr>
        <w:t xml:space="preserve">European Archives of Otorhinolaryngol, </w:t>
      </w:r>
      <w:r w:rsidRPr="00A3204A">
        <w:rPr>
          <w:rFonts w:ascii="Times New Roman" w:hAnsi="Times New Roman" w:cs="Times New Roman"/>
          <w:sz w:val="24"/>
          <w:szCs w:val="24"/>
        </w:rPr>
        <w:t>DOI 10.1007/s00405-012-1930-x.</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Larson, E. B., &amp; Zollman, F. S. (2010). The effect of sleep medications on cognitive recovery from traumatic brain injury.</w:t>
      </w:r>
      <w:r w:rsidRPr="00A3204A">
        <w:rPr>
          <w:rFonts w:ascii="Times New Roman" w:hAnsi="Times New Roman" w:cs="Times New Roman"/>
          <w:i/>
          <w:iCs/>
          <w:sz w:val="24"/>
          <w:szCs w:val="24"/>
        </w:rPr>
        <w:t xml:space="preserve"> Journal of Head Trauma Rehabilitation, </w:t>
      </w:r>
      <w:r w:rsidRPr="00A3204A">
        <w:rPr>
          <w:rFonts w:ascii="Times New Roman" w:hAnsi="Times New Roman" w:cs="Times New Roman"/>
          <w:sz w:val="24"/>
          <w:szCs w:val="24"/>
        </w:rPr>
        <w:t xml:space="preserve"> </w:t>
      </w:r>
      <w:r w:rsidRPr="00A3204A">
        <w:rPr>
          <w:rFonts w:ascii="Times New Roman" w:hAnsi="Times New Roman" w:cs="Times New Roman"/>
          <w:i/>
          <w:sz w:val="24"/>
          <w:szCs w:val="24"/>
        </w:rPr>
        <w:t>25(1)</w:t>
      </w:r>
      <w:r w:rsidRPr="00A3204A">
        <w:rPr>
          <w:rFonts w:ascii="Times New Roman" w:hAnsi="Times New Roman" w:cs="Times New Roman"/>
          <w:sz w:val="24"/>
          <w:szCs w:val="24"/>
        </w:rPr>
        <w:t>, 61–67.</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840" w:name="Laver2011"/>
      <w:bookmarkEnd w:id="840"/>
      <w:r w:rsidRPr="00A3204A">
        <w:rPr>
          <w:rFonts w:ascii="Times New Roman" w:hAnsi="Times New Roman" w:cs="Times New Roman"/>
          <w:sz w:val="24"/>
          <w:szCs w:val="24"/>
        </w:rPr>
        <w:t xml:space="preserve">Laver, K. E., George, S., Thomas, S., Deutsch, J. E., &amp; Crotty, M. (2011). Virtual reality for stroke rehabilitation. </w:t>
      </w:r>
      <w:r w:rsidRPr="00A3204A">
        <w:rPr>
          <w:rFonts w:ascii="Times New Roman" w:hAnsi="Times New Roman" w:cs="Times New Roman"/>
          <w:i/>
          <w:iCs/>
          <w:sz w:val="24"/>
          <w:szCs w:val="24"/>
        </w:rPr>
        <w:t>Cochrane Database of Systematic Reviews, 9,</w:t>
      </w:r>
      <w:r w:rsidRPr="00A3204A">
        <w:rPr>
          <w:rFonts w:ascii="Times New Roman" w:hAnsi="Times New Roman" w:cs="Times New Roman"/>
          <w:iCs/>
          <w:sz w:val="24"/>
          <w:szCs w:val="24"/>
        </w:rPr>
        <w:t xml:space="preserve"> 1-70. </w:t>
      </w:r>
      <w:r w:rsidRPr="00A3204A">
        <w:rPr>
          <w:rFonts w:ascii="Times New Roman" w:hAnsi="Times New Roman" w:cs="Times New Roman"/>
          <w:sz w:val="24"/>
          <w:szCs w:val="24"/>
        </w:rPr>
        <w:t>DOI: 10.1002/14651858.CD008349.pub2.</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Lavrich, J. B. (2010). Convergence insufficiency and its current treatment. </w:t>
      </w:r>
      <w:r w:rsidRPr="00A3204A">
        <w:rPr>
          <w:rFonts w:ascii="Times New Roman" w:hAnsi="Times New Roman" w:cs="Times New Roman"/>
          <w:i/>
          <w:sz w:val="24"/>
          <w:szCs w:val="24"/>
        </w:rPr>
        <w:t xml:space="preserve">Current Opinion in Ophthalmology, 21, </w:t>
      </w:r>
      <w:r w:rsidRPr="00A3204A">
        <w:rPr>
          <w:rFonts w:ascii="Times New Roman" w:hAnsi="Times New Roman" w:cs="Times New Roman"/>
          <w:sz w:val="24"/>
          <w:szCs w:val="24"/>
        </w:rPr>
        <w:t xml:space="preserve">356-360. DOI:10.1097/ICU. ObO13e32833cf03a.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Lee, H., Kim, S. –W., Kim, J. –M., Shin, </w:t>
      </w:r>
      <w:smartTag w:uri="urn:schemas-microsoft-com:office:smarttags" w:element="place">
        <w:r w:rsidRPr="00A3204A">
          <w:rPr>
            <w:rFonts w:ascii="Times New Roman" w:hAnsi="Times New Roman" w:cs="Times New Roman"/>
            <w:sz w:val="24"/>
            <w:szCs w:val="24"/>
          </w:rPr>
          <w:t>I.</w:t>
        </w:r>
      </w:smartTag>
      <w:r w:rsidRPr="00A3204A">
        <w:rPr>
          <w:rFonts w:ascii="Times New Roman" w:hAnsi="Times New Roman" w:cs="Times New Roman"/>
          <w:sz w:val="24"/>
          <w:szCs w:val="24"/>
        </w:rPr>
        <w:t xml:space="preserve"> –S., Yang, S. –J., &amp; Yoon, J. –S. (2005). </w:t>
      </w:r>
      <w:r w:rsidRPr="00A3204A">
        <w:rPr>
          <w:rFonts w:ascii="Times New Roman" w:hAnsi="Times New Roman" w:cs="Times New Roman"/>
          <w:color w:val="231F20"/>
          <w:sz w:val="24"/>
          <w:szCs w:val="24"/>
        </w:rPr>
        <w:t xml:space="preserve">Comparing effects of methylphenidate, sertraline and placebo on neuropsychiatric sequelae in patients with traumatic brain injury. </w:t>
      </w:r>
      <w:r w:rsidRPr="00A3204A">
        <w:rPr>
          <w:rFonts w:ascii="Times New Roman" w:hAnsi="Times New Roman" w:cs="Times New Roman"/>
          <w:i/>
          <w:color w:val="231F20"/>
          <w:sz w:val="24"/>
          <w:szCs w:val="24"/>
        </w:rPr>
        <w:t>Human Psychopharmacol Clin Exp,  20,</w:t>
      </w:r>
      <w:r w:rsidRPr="00A3204A">
        <w:rPr>
          <w:rFonts w:ascii="Times New Roman" w:hAnsi="Times New Roman" w:cs="Times New Roman"/>
          <w:color w:val="231F20"/>
          <w:sz w:val="24"/>
          <w:szCs w:val="24"/>
        </w:rPr>
        <w:t xml:space="preserve"> 97–104. DOI: 10.1002/hup.668.</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Lee, L. –C., Lieu, F. –K.,  Chen, Y. –H., Hung, T. –H., &amp; Chen, S. –F. (2012). Tension pneumocephalus as a complication of hyperbaric oxygen therapy in a patient with chronic traumatic brain injury. </w:t>
      </w:r>
      <w:r w:rsidRPr="00A3204A">
        <w:rPr>
          <w:rFonts w:ascii="Times New Roman" w:hAnsi="Times New Roman" w:cs="Times New Roman"/>
          <w:i/>
          <w:sz w:val="24"/>
          <w:szCs w:val="24"/>
        </w:rPr>
        <w:t>American Journal of Physical Medicine &amp; Rehabilitation, 91(4),</w:t>
      </w:r>
      <w:r w:rsidRPr="00A3204A">
        <w:rPr>
          <w:rFonts w:ascii="Times New Roman" w:hAnsi="Times New Roman" w:cs="Times New Roman"/>
          <w:sz w:val="24"/>
          <w:szCs w:val="24"/>
        </w:rPr>
        <w:t xml:space="preserve"> 1-5. DOI: 10.1097/PHM.0b013e31824ad556.</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841" w:name="Legg2006"/>
      <w:bookmarkEnd w:id="841"/>
      <w:r w:rsidRPr="00A3204A">
        <w:rPr>
          <w:rFonts w:ascii="Times New Roman" w:hAnsi="Times New Roman" w:cs="Times New Roman"/>
          <w:sz w:val="24"/>
          <w:szCs w:val="24"/>
        </w:rPr>
        <w:t xml:space="preserve">Legg, L., Drummond, A., &amp; Langhorne, P. (2006). Occupational therapy for patients with problems in activities of daily living after stroke. </w:t>
      </w:r>
      <w:r w:rsidRPr="00A3204A">
        <w:rPr>
          <w:rFonts w:ascii="Times New Roman" w:hAnsi="Times New Roman" w:cs="Times New Roman"/>
          <w:i/>
          <w:iCs/>
          <w:sz w:val="24"/>
          <w:szCs w:val="24"/>
        </w:rPr>
        <w:t>Cochrane Database of Systematic Reviews, 4,</w:t>
      </w:r>
      <w:r w:rsidRPr="00A3204A">
        <w:rPr>
          <w:rFonts w:ascii="Times New Roman" w:hAnsi="Times New Roman" w:cs="Times New Roman"/>
          <w:iCs/>
          <w:sz w:val="24"/>
          <w:szCs w:val="24"/>
        </w:rPr>
        <w:t xml:space="preserve"> 1-45. </w:t>
      </w:r>
      <w:r w:rsidRPr="00A3204A">
        <w:rPr>
          <w:rFonts w:ascii="Times New Roman" w:hAnsi="Times New Roman" w:cs="Times New Roman"/>
          <w:sz w:val="24"/>
          <w:szCs w:val="24"/>
        </w:rPr>
        <w:t>DOI: 10.1002/14651858.CD003585.pub2.</w:t>
      </w:r>
      <w:r w:rsidRPr="00A3204A">
        <w:rPr>
          <w:rFonts w:ascii="Times New Roman" w:hAnsi="Times New Roman" w:cs="Times New Roman"/>
          <w:i/>
          <w:sz w:val="24"/>
          <w:szCs w:val="24"/>
        </w:rPr>
        <w:t xml:space="preserve"> ***</w:t>
      </w:r>
      <w:r w:rsidRPr="00A3204A">
        <w:rPr>
          <w:rFonts w:ascii="Times New Roman" w:hAnsi="Times New Roman" w:cs="Times New Roman"/>
          <w:i/>
          <w:sz w:val="24"/>
          <w:szCs w:val="24"/>
          <w:highlight w:val="yellow"/>
        </w:rPr>
        <w:t>Used in Evidence Statement</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Lehmann, J. F., Boswell, S., Price, R., Burleigh, A.,. . . Hertling, D. (1990). Quantitative evaluation of sway as an indicator of functional balance in post-traumatic brain injury. </w:t>
      </w:r>
      <w:r w:rsidRPr="00A3204A">
        <w:rPr>
          <w:rFonts w:ascii="Times New Roman" w:hAnsi="Times New Roman" w:cs="Times New Roman"/>
          <w:i/>
          <w:sz w:val="24"/>
          <w:szCs w:val="24"/>
        </w:rPr>
        <w:t xml:space="preserve">Archives of physical medicine and rehabilitation, 71(12), </w:t>
      </w:r>
      <w:r w:rsidRPr="00A3204A">
        <w:rPr>
          <w:rFonts w:ascii="Times New Roman" w:hAnsi="Times New Roman" w:cs="Times New Roman"/>
          <w:sz w:val="24"/>
          <w:szCs w:val="24"/>
        </w:rPr>
        <w:t xml:space="preserve">955-962.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Leker, R. R. &amp; Shohami, E. (2002). Cerebral ischemia and trauma – different etiologies yet similar mechanisms: neuroprotective opportunities. </w:t>
      </w:r>
      <w:r w:rsidRPr="00A3204A">
        <w:rPr>
          <w:rFonts w:ascii="Times New Roman" w:hAnsi="Times New Roman" w:cs="Times New Roman"/>
          <w:i/>
          <w:sz w:val="24"/>
          <w:szCs w:val="24"/>
        </w:rPr>
        <w:t xml:space="preserve">Brain Research Reviews, 39, </w:t>
      </w:r>
      <w:r w:rsidRPr="00A3204A">
        <w:rPr>
          <w:rFonts w:ascii="Times New Roman" w:hAnsi="Times New Roman" w:cs="Times New Roman"/>
          <w:sz w:val="24"/>
          <w:szCs w:val="24"/>
        </w:rPr>
        <w:t xml:space="preserve">55-73.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Levin, M., &amp; Ward, T. (2011). Headaches. </w:t>
      </w:r>
      <w:r w:rsidRPr="00A3204A">
        <w:rPr>
          <w:rFonts w:ascii="Times New Roman" w:hAnsi="Times New Roman" w:cs="Times New Roman"/>
          <w:i/>
          <w:sz w:val="24"/>
          <w:szCs w:val="24"/>
        </w:rPr>
        <w:t>American Psychiatric Association, 21,</w:t>
      </w:r>
      <w:r w:rsidRPr="00A3204A">
        <w:rPr>
          <w:rFonts w:ascii="Times New Roman" w:hAnsi="Times New Roman" w:cs="Times New Roman"/>
          <w:sz w:val="24"/>
          <w:szCs w:val="24"/>
        </w:rPr>
        <w:t xml:space="preserve"> 1-8. DOI: 10.1176/appi. books.9781585624201.680643. </w:t>
      </w:r>
      <w:hyperlink r:id="rId69" w:history="1">
        <w:r w:rsidRPr="00A3204A">
          <w:rPr>
            <w:rFonts w:ascii="Times New Roman" w:hAnsi="Times New Roman" w:cs="Times New Roman"/>
            <w:color w:val="0000FF"/>
            <w:sz w:val="24"/>
            <w:szCs w:val="24"/>
            <w:u w:val="single"/>
          </w:rPr>
          <w:t>http://www.psychaitryonline.com</w:t>
        </w:r>
      </w:hyperlink>
      <w:r w:rsidRPr="00A3204A">
        <w:rPr>
          <w:rFonts w:ascii="Times New Roman" w:hAnsi="Times New Roman" w:cs="Times New Roman"/>
          <w:sz w:val="24"/>
          <w:szCs w:val="24"/>
          <w:u w:val="single"/>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Li, Y., Zheng, H., Witt, C. M., Roll, S., Yu, S. –G., Yan, J.,… Liang, F. –R. (2012). Acupuncture for migraine prophylaxis: a randomized controlled trial. </w:t>
      </w:r>
      <w:r w:rsidRPr="00A3204A">
        <w:rPr>
          <w:rFonts w:ascii="Times New Roman" w:hAnsi="Times New Roman" w:cs="Times New Roman"/>
          <w:i/>
          <w:sz w:val="24"/>
          <w:szCs w:val="24"/>
        </w:rPr>
        <w:t>CMAJ, 184(4),</w:t>
      </w:r>
      <w:r w:rsidRPr="00A3204A">
        <w:rPr>
          <w:rFonts w:ascii="Times New Roman" w:hAnsi="Times New Roman" w:cs="Times New Roman"/>
          <w:sz w:val="24"/>
          <w:szCs w:val="24"/>
        </w:rPr>
        <w:t xml:space="preserve"> 401-410. </w:t>
      </w:r>
      <w:r w:rsidRPr="00A3204A">
        <w:rPr>
          <w:rFonts w:ascii="Times New Roman" w:hAnsi="Times New Roman" w:cs="Times New Roman"/>
          <w:bCs/>
          <w:sz w:val="24"/>
          <w:szCs w:val="24"/>
        </w:rPr>
        <w:t>DOI:10.1503/cmaj.110551.</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smartTag w:uri="urn:schemas-microsoft-com:office:smarttags" w:element="place">
        <w:smartTag w:uri="urn:schemas-microsoft-com:office:smarttags" w:element="City">
          <w:r w:rsidRPr="00A3204A">
            <w:rPr>
              <w:rFonts w:ascii="Times New Roman" w:hAnsi="Times New Roman" w:cs="Times New Roman"/>
              <w:sz w:val="24"/>
              <w:szCs w:val="24"/>
            </w:rPr>
            <w:t>Lincoln</w:t>
          </w:r>
        </w:smartTag>
      </w:smartTag>
      <w:r w:rsidRPr="00A3204A">
        <w:rPr>
          <w:rFonts w:ascii="Times New Roman" w:hAnsi="Times New Roman" w:cs="Times New Roman"/>
          <w:sz w:val="24"/>
          <w:szCs w:val="24"/>
        </w:rPr>
        <w:t xml:space="preserve">, N., Majid, M., &amp; Weyman, N. (2000). Cognitive rehabilitation for attention deficits following stroke. </w:t>
      </w:r>
      <w:r w:rsidRPr="00A3204A">
        <w:rPr>
          <w:rFonts w:ascii="Times New Roman" w:hAnsi="Times New Roman" w:cs="Times New Roman"/>
          <w:i/>
          <w:iCs/>
          <w:sz w:val="24"/>
          <w:szCs w:val="24"/>
        </w:rPr>
        <w:t xml:space="preserve">Cochrane Database of Systematic Reviews, 4, </w:t>
      </w:r>
      <w:r w:rsidRPr="00A3204A">
        <w:rPr>
          <w:rFonts w:ascii="Times New Roman" w:hAnsi="Times New Roman" w:cs="Times New Roman"/>
          <w:iCs/>
          <w:sz w:val="24"/>
          <w:szCs w:val="24"/>
        </w:rPr>
        <w:t>1-11</w:t>
      </w:r>
      <w:r w:rsidRPr="00A3204A">
        <w:rPr>
          <w:rFonts w:ascii="Times New Roman" w:hAnsi="Times New Roman" w:cs="Times New Roman"/>
          <w:sz w:val="24"/>
          <w:szCs w:val="24"/>
        </w:rPr>
        <w:t>. DOI: 10.1002/14651858.CD002842.</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42" w:name="Linde2009"/>
      <w:bookmarkEnd w:id="842"/>
      <w:r w:rsidRPr="00A3204A">
        <w:rPr>
          <w:rFonts w:ascii="Times New Roman" w:hAnsi="Times New Roman" w:cs="Times New Roman"/>
          <w:sz w:val="24"/>
          <w:szCs w:val="24"/>
        </w:rPr>
        <w:t xml:space="preserve">Linde, K., Allais, G., Brinkhaus, B., Manheimer, E., Vickers, A., &amp; White, A. R. (2009). Acupuncture for migraine prophylaxis. </w:t>
      </w:r>
      <w:r w:rsidRPr="00A3204A">
        <w:rPr>
          <w:rFonts w:ascii="Times New Roman" w:hAnsi="Times New Roman" w:cs="Times New Roman"/>
          <w:i/>
          <w:sz w:val="24"/>
          <w:szCs w:val="24"/>
        </w:rPr>
        <w:t xml:space="preserve">Cochrane Database of Systematic Review, 1, </w:t>
      </w:r>
      <w:r w:rsidRPr="00A3204A">
        <w:rPr>
          <w:rFonts w:ascii="Times New Roman" w:hAnsi="Times New Roman" w:cs="Times New Roman"/>
          <w:sz w:val="24"/>
          <w:szCs w:val="24"/>
        </w:rPr>
        <w:t xml:space="preserve">1-107. DOI:10.1002/14651858. CD001218. pub.2.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p>
    <w:p w:rsidR="00A3204A" w:rsidRPr="00A3204A" w:rsidRDefault="00A3204A" w:rsidP="009C3DC2">
      <w:pPr>
        <w:numPr>
          <w:ilvl w:val="0"/>
          <w:numId w:val="33"/>
        </w:numPr>
        <w:spacing w:before="0" w:after="120"/>
        <w:rPr>
          <w:rFonts w:ascii="Times New Roman" w:hAnsi="Times New Roman" w:cs="Times New Roman"/>
          <w:i/>
          <w:sz w:val="24"/>
          <w:szCs w:val="24"/>
        </w:rPr>
      </w:pPr>
      <w:bookmarkStart w:id="843" w:name="Linde2004"/>
      <w:bookmarkEnd w:id="843"/>
      <w:r w:rsidRPr="00A3204A">
        <w:rPr>
          <w:rFonts w:ascii="Times New Roman" w:hAnsi="Times New Roman" w:cs="Times New Roman"/>
          <w:sz w:val="24"/>
          <w:szCs w:val="24"/>
        </w:rPr>
        <w:lastRenderedPageBreak/>
        <w:t xml:space="preserve">Linde, K., &amp; Rossnagel, K. (2004). </w:t>
      </w:r>
      <w:r w:rsidRPr="00A3204A">
        <w:rPr>
          <w:rFonts w:ascii="Times New Roman" w:hAnsi="Times New Roman" w:cs="Times New Roman"/>
          <w:bCs/>
          <w:sz w:val="24"/>
          <w:szCs w:val="24"/>
        </w:rPr>
        <w:t xml:space="preserve">Propranolol for migraine prophylaxis (Review). </w:t>
      </w:r>
      <w:r w:rsidRPr="00A3204A">
        <w:rPr>
          <w:rFonts w:ascii="Times New Roman" w:hAnsi="Times New Roman" w:cs="Times New Roman"/>
          <w:bCs/>
          <w:i/>
          <w:sz w:val="24"/>
          <w:szCs w:val="24"/>
        </w:rPr>
        <w:t xml:space="preserve">Cochrane Database of Systematic Reviews, 2, </w:t>
      </w:r>
      <w:r w:rsidRPr="00A3204A">
        <w:rPr>
          <w:rFonts w:ascii="Times New Roman" w:hAnsi="Times New Roman" w:cs="Times New Roman"/>
          <w:bCs/>
          <w:sz w:val="24"/>
          <w:szCs w:val="24"/>
        </w:rPr>
        <w:t xml:space="preserve">1-117. </w:t>
      </w:r>
      <w:r w:rsidRPr="00A3204A">
        <w:rPr>
          <w:rFonts w:ascii="Times New Roman" w:hAnsi="Times New Roman" w:cs="Times New Roman"/>
          <w:sz w:val="24"/>
          <w:szCs w:val="24"/>
        </w:rPr>
        <w:t xml:space="preserve">DOI: 10.1002/14651858.CD003225.pub2.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r w:rsidRPr="00A3204A">
        <w:rPr>
          <w:rFonts w:ascii="Times New Roman" w:hAnsi="Times New Roman" w:cs="Times New Roman"/>
          <w:i/>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Linde, K., Streng, A., Jürgens, S., Hoppe, A., Brinkhaus, B., Witt, C.,… Melchart, D</w:t>
      </w:r>
      <w:r w:rsidRPr="00A3204A">
        <w:rPr>
          <w:rFonts w:ascii="Times New Roman" w:hAnsi="Times New Roman" w:cs="Times New Roman"/>
          <w:color w:val="292526"/>
          <w:sz w:val="24"/>
          <w:szCs w:val="24"/>
        </w:rPr>
        <w:t xml:space="preserve">. </w:t>
      </w:r>
      <w:r w:rsidRPr="00A3204A">
        <w:rPr>
          <w:rFonts w:ascii="Times New Roman" w:hAnsi="Times New Roman" w:cs="Times New Roman"/>
          <w:sz w:val="24"/>
          <w:szCs w:val="24"/>
        </w:rPr>
        <w:t xml:space="preserve">(2005). </w:t>
      </w:r>
      <w:r w:rsidRPr="00A3204A">
        <w:rPr>
          <w:rFonts w:ascii="Times New Roman" w:hAnsi="Times New Roman" w:cs="Times New Roman"/>
          <w:bCs/>
          <w:color w:val="292526"/>
          <w:sz w:val="24"/>
          <w:szCs w:val="24"/>
        </w:rPr>
        <w:t>Acupuncture for patients with migraine a</w:t>
      </w:r>
      <w:r w:rsidRPr="00A3204A">
        <w:rPr>
          <w:rFonts w:ascii="Times New Roman" w:hAnsi="Times New Roman" w:cs="Times New Roman"/>
          <w:color w:val="292526"/>
          <w:sz w:val="24"/>
          <w:szCs w:val="24"/>
        </w:rPr>
        <w:t xml:space="preserve"> randomized controlled trial</w:t>
      </w:r>
      <w:r w:rsidRPr="00A3204A">
        <w:rPr>
          <w:rFonts w:ascii="Times New Roman" w:hAnsi="Times New Roman" w:cs="Times New Roman"/>
          <w:sz w:val="24"/>
          <w:szCs w:val="24"/>
        </w:rPr>
        <w:t xml:space="preserve">. </w:t>
      </w:r>
      <w:r w:rsidRPr="00A3204A">
        <w:rPr>
          <w:rFonts w:ascii="Times New Roman" w:hAnsi="Times New Roman" w:cs="Times New Roman"/>
          <w:i/>
          <w:iCs/>
          <w:sz w:val="24"/>
          <w:szCs w:val="24"/>
        </w:rPr>
        <w:t>Journal of the American Medical Association</w:t>
      </w:r>
      <w:r w:rsidRPr="00A3204A">
        <w:rPr>
          <w:rFonts w:ascii="Times New Roman" w:hAnsi="Times New Roman" w:cs="Times New Roman"/>
          <w:i/>
          <w:sz w:val="24"/>
          <w:szCs w:val="24"/>
        </w:rPr>
        <w:t>, 293</w:t>
      </w:r>
      <w:r w:rsidRPr="00A3204A">
        <w:rPr>
          <w:rFonts w:ascii="Times New Roman" w:hAnsi="Times New Roman" w:cs="Times New Roman"/>
          <w:sz w:val="24"/>
          <w:szCs w:val="24"/>
        </w:rPr>
        <w:t xml:space="preserve">, 2118-2125. http:// </w:t>
      </w:r>
      <w:hyperlink r:id="rId70" w:history="1">
        <w:r w:rsidRPr="00A3204A">
          <w:rPr>
            <w:rFonts w:ascii="Times New Roman" w:hAnsi="Times New Roman" w:cs="Times New Roman"/>
            <w:color w:val="0000FF"/>
            <w:sz w:val="24"/>
            <w:szCs w:val="24"/>
            <w:u w:val="single"/>
          </w:rPr>
          <w:t>www.jama.ama-assn.org</w:t>
        </w:r>
      </w:hyperlink>
      <w:r w:rsidRPr="00A3204A">
        <w:rPr>
          <w:rFonts w:ascii="Times New Roman" w:hAnsi="Times New Roman" w:cs="Times New Roman"/>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44" w:name="Linde2011"/>
      <w:bookmarkEnd w:id="844"/>
      <w:r w:rsidRPr="00A3204A">
        <w:rPr>
          <w:rFonts w:ascii="Times New Roman" w:hAnsi="Times New Roman" w:cs="Times New Roman"/>
          <w:sz w:val="24"/>
          <w:szCs w:val="24"/>
        </w:rPr>
        <w:t xml:space="preserve">Linde, M., Hagen, K., Salvesen, O., Gravdahl, G. B., Helde, G., &amp; Stovner, L., J. (2011). Onobotulinum toxin A treatment of cervicogenic headache: A randomized, double blind, placebo-controlled study. </w:t>
      </w:r>
      <w:r w:rsidRPr="00A3204A">
        <w:rPr>
          <w:rFonts w:ascii="Times New Roman" w:hAnsi="Times New Roman" w:cs="Times New Roman"/>
          <w:i/>
          <w:sz w:val="24"/>
          <w:szCs w:val="24"/>
        </w:rPr>
        <w:t xml:space="preserve">Cephalalgia, 31, </w:t>
      </w:r>
      <w:r w:rsidRPr="00A3204A">
        <w:rPr>
          <w:rFonts w:ascii="Times New Roman" w:hAnsi="Times New Roman" w:cs="Times New Roman"/>
          <w:sz w:val="24"/>
          <w:szCs w:val="24"/>
        </w:rPr>
        <w:t xml:space="preserve">797-807.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Linscott, R. J, Knight, R. G., &amp; Godfrey, H. P. D. (1996). The profile of functional impairment in communication (PFIC): A measure of communication impairment for clinical use. </w:t>
      </w:r>
      <w:r w:rsidRPr="00A3204A">
        <w:rPr>
          <w:rFonts w:ascii="Times New Roman" w:hAnsi="Times New Roman" w:cs="Times New Roman"/>
          <w:i/>
          <w:sz w:val="24"/>
          <w:szCs w:val="24"/>
        </w:rPr>
        <w:t>Brain Injury, 10(6),</w:t>
      </w:r>
      <w:r w:rsidRPr="00A3204A">
        <w:rPr>
          <w:rFonts w:ascii="Times New Roman" w:hAnsi="Times New Roman" w:cs="Times New Roman"/>
          <w:sz w:val="24"/>
          <w:szCs w:val="24"/>
        </w:rPr>
        <w:t xml:space="preserve"> 397-412. </w:t>
      </w:r>
      <w:hyperlink r:id="rId71" w:history="1">
        <w:r w:rsidRPr="00A3204A">
          <w:rPr>
            <w:rFonts w:ascii="Times New Roman" w:hAnsi="Times New Roman" w:cs="Times New Roman"/>
            <w:color w:val="0000FF"/>
            <w:sz w:val="24"/>
            <w:szCs w:val="24"/>
            <w:u w:val="single"/>
          </w:rPr>
          <w:t>http://www.informahealthcare.com</w:t>
        </w:r>
      </w:hyperlink>
      <w:r w:rsidRPr="00A3204A">
        <w:rPr>
          <w:rFonts w:ascii="Times New Roman" w:hAnsi="Times New Roman" w:cs="Times New Roman"/>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Lipp, M. &amp; Longridge, N. S. (1994). Computerized dynamic posturography: Its place in the evaluation of patients with dizziness and imbalance. </w:t>
      </w:r>
      <w:r w:rsidRPr="00A3204A">
        <w:rPr>
          <w:rFonts w:ascii="Times New Roman" w:hAnsi="Times New Roman" w:cs="Times New Roman"/>
          <w:i/>
          <w:sz w:val="24"/>
          <w:szCs w:val="24"/>
        </w:rPr>
        <w:t xml:space="preserve">Journal of Otolaryngology, 23(3), </w:t>
      </w:r>
      <w:r w:rsidRPr="00A3204A">
        <w:rPr>
          <w:rFonts w:ascii="Times New Roman" w:hAnsi="Times New Roman" w:cs="Times New Roman"/>
          <w:sz w:val="24"/>
          <w:szCs w:val="24"/>
        </w:rPr>
        <w:t xml:space="preserve">177-183.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45" w:name="Lipton2004"/>
      <w:bookmarkEnd w:id="845"/>
      <w:r w:rsidRPr="00A3204A">
        <w:rPr>
          <w:rFonts w:ascii="Times New Roman" w:hAnsi="Times New Roman" w:cs="Times New Roman"/>
          <w:sz w:val="24"/>
          <w:szCs w:val="24"/>
        </w:rPr>
        <w:t xml:space="preserve">Lipton, R. B., Göbel, H., Einhäupl, K. M., Wilks, K., &amp; Mauskop, A. (2004). Petasites hybridus root (butterbur) is an effective preventive treatment for migraine. </w:t>
      </w:r>
      <w:r w:rsidRPr="00A3204A">
        <w:rPr>
          <w:rFonts w:ascii="Times New Roman" w:hAnsi="Times New Roman" w:cs="Times New Roman"/>
          <w:i/>
          <w:sz w:val="24"/>
          <w:szCs w:val="24"/>
        </w:rPr>
        <w:t xml:space="preserve">Neurology, 63, </w:t>
      </w:r>
      <w:r w:rsidRPr="00A3204A">
        <w:rPr>
          <w:rFonts w:ascii="Times New Roman" w:hAnsi="Times New Roman" w:cs="Times New Roman"/>
          <w:sz w:val="24"/>
          <w:szCs w:val="24"/>
        </w:rPr>
        <w:t xml:space="preserve">2240-2245. DOI 10.1212/01.WNL.0000147290.68260.11.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Lloyd, F. J., Reyna, V. F. (2009). Clinical gist and medical education: Connecting the dots. </w:t>
      </w:r>
      <w:r w:rsidRPr="00A3204A">
        <w:rPr>
          <w:rFonts w:ascii="Times New Roman" w:hAnsi="Times New Roman" w:cs="Times New Roman"/>
          <w:i/>
          <w:iCs/>
          <w:sz w:val="24"/>
          <w:szCs w:val="24"/>
        </w:rPr>
        <w:t>Journal of the American Medical Association</w:t>
      </w:r>
      <w:r w:rsidRPr="00A3204A">
        <w:rPr>
          <w:rFonts w:ascii="Times New Roman" w:hAnsi="Times New Roman" w:cs="Times New Roman"/>
          <w:i/>
          <w:sz w:val="24"/>
          <w:szCs w:val="24"/>
        </w:rPr>
        <w:t xml:space="preserve">, 302(12), </w:t>
      </w:r>
      <w:r w:rsidRPr="00A3204A">
        <w:rPr>
          <w:rFonts w:ascii="Times New Roman" w:hAnsi="Times New Roman" w:cs="Times New Roman"/>
          <w:sz w:val="24"/>
          <w:szCs w:val="24"/>
        </w:rPr>
        <w:t xml:space="preserve">1332-1333.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Loader, B., Gruther, W., Mueller, C. A., Neuwirth, G.,…Mittermaier, C. (2007). Improved postural control after computerized optokinetic therapy based on stochastic visual stimulation in patients with vestibular dysfunction. </w:t>
      </w:r>
      <w:r w:rsidRPr="00A3204A">
        <w:rPr>
          <w:rFonts w:ascii="Times New Roman" w:hAnsi="Times New Roman" w:cs="Times New Roman"/>
          <w:i/>
          <w:sz w:val="24"/>
          <w:szCs w:val="24"/>
        </w:rPr>
        <w:t>Journal of Vestibular Research, 17,</w:t>
      </w:r>
      <w:r w:rsidRPr="00A3204A">
        <w:rPr>
          <w:rFonts w:ascii="Times New Roman" w:hAnsi="Times New Roman" w:cs="Times New Roman"/>
          <w:sz w:val="24"/>
          <w:szCs w:val="24"/>
        </w:rPr>
        <w:t xml:space="preserve">131-136. ISBN 0957-4271/07.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46" w:name="Lojovich2010"/>
      <w:bookmarkEnd w:id="846"/>
      <w:r w:rsidRPr="00A3204A">
        <w:rPr>
          <w:rFonts w:ascii="Times New Roman" w:hAnsi="Times New Roman" w:cs="Times New Roman"/>
          <w:sz w:val="24"/>
          <w:szCs w:val="24"/>
        </w:rPr>
        <w:t xml:space="preserve">Lojovich, J. (2010). The relationship between aerobic exercise and cognition: Is movement medicinal?. </w:t>
      </w:r>
      <w:r w:rsidRPr="00A3204A">
        <w:rPr>
          <w:rFonts w:ascii="Times New Roman" w:hAnsi="Times New Roman" w:cs="Times New Roman"/>
          <w:i/>
          <w:sz w:val="24"/>
          <w:szCs w:val="24"/>
        </w:rPr>
        <w:t xml:space="preserve">Head Trauma Rehabilitation, 25(3), </w:t>
      </w:r>
      <w:r w:rsidRPr="00A3204A">
        <w:rPr>
          <w:rFonts w:ascii="Times New Roman" w:hAnsi="Times New Roman" w:cs="Times New Roman"/>
          <w:sz w:val="24"/>
          <w:szCs w:val="24"/>
        </w:rPr>
        <w:t xml:space="preserve">184-192.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Lombardi, F. F. L., Taricco, M., De Tanti, A., Telaro, E., &amp; Liberati, A. (2002). Sensory stimulation for brain injured individuals in coma or vegetative state. </w:t>
      </w:r>
      <w:r w:rsidRPr="00A3204A">
        <w:rPr>
          <w:rFonts w:ascii="Times New Roman" w:hAnsi="Times New Roman" w:cs="Times New Roman"/>
          <w:i/>
          <w:iCs/>
          <w:sz w:val="24"/>
          <w:szCs w:val="24"/>
        </w:rPr>
        <w:t>Cochrane Database of Systematic Reviews, 2,</w:t>
      </w:r>
      <w:r w:rsidRPr="00A3204A">
        <w:rPr>
          <w:rFonts w:ascii="Times New Roman" w:hAnsi="Times New Roman" w:cs="Times New Roman"/>
          <w:iCs/>
          <w:sz w:val="24"/>
          <w:szCs w:val="24"/>
        </w:rPr>
        <w:t xml:space="preserve"> 1-13. </w:t>
      </w:r>
      <w:r w:rsidRPr="00A3204A">
        <w:rPr>
          <w:rFonts w:ascii="Times New Roman" w:hAnsi="Times New Roman" w:cs="Times New Roman"/>
          <w:sz w:val="24"/>
          <w:szCs w:val="24"/>
        </w:rPr>
        <w:t>DOI: 10.1002/14651858.CD001427.</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Longridge, N. S., &amp; Mallinson, A. I. (2005a). “Across the Board” posturography abnormalities in vestibular injury. </w:t>
      </w:r>
      <w:r w:rsidRPr="00A3204A">
        <w:rPr>
          <w:rFonts w:ascii="Times New Roman" w:hAnsi="Times New Roman" w:cs="Times New Roman"/>
          <w:i/>
          <w:sz w:val="24"/>
          <w:szCs w:val="24"/>
        </w:rPr>
        <w:t xml:space="preserve">Otology &amp; Neurotology, 26, </w:t>
      </w:r>
      <w:r w:rsidRPr="00A3204A">
        <w:rPr>
          <w:rFonts w:ascii="Times New Roman" w:hAnsi="Times New Roman" w:cs="Times New Roman"/>
          <w:sz w:val="24"/>
          <w:szCs w:val="24"/>
        </w:rPr>
        <w:t xml:space="preserve">695-698.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Longridge, N. S., &amp; Mallinson, A. I. (2005b). Visual vestibular mismatch in work-related vestibular injury. </w:t>
      </w:r>
      <w:r w:rsidRPr="00A3204A">
        <w:rPr>
          <w:rFonts w:ascii="Times New Roman" w:hAnsi="Times New Roman" w:cs="Times New Roman"/>
          <w:i/>
          <w:sz w:val="24"/>
          <w:szCs w:val="24"/>
        </w:rPr>
        <w:t xml:space="preserve">Otology &amp; Neurotology, 26, </w:t>
      </w:r>
      <w:r w:rsidRPr="00A3204A">
        <w:rPr>
          <w:rFonts w:ascii="Times New Roman" w:hAnsi="Times New Roman" w:cs="Times New Roman"/>
          <w:sz w:val="24"/>
          <w:szCs w:val="24"/>
        </w:rPr>
        <w:t xml:space="preserve">691-694.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Lucas, S. (2011). Headache manaagement in concussion and mild traumatic brain injury. </w:t>
      </w:r>
      <w:r w:rsidRPr="00A3204A">
        <w:rPr>
          <w:rFonts w:ascii="Times New Roman" w:hAnsi="Times New Roman" w:cs="Times New Roman"/>
          <w:i/>
          <w:sz w:val="24"/>
          <w:szCs w:val="24"/>
        </w:rPr>
        <w:t xml:space="preserve">American </w:t>
      </w:r>
      <w:smartTag w:uri="urn:schemas-microsoft-com:office:smarttags" w:element="place">
        <w:smartTag w:uri="urn:schemas-microsoft-com:office:smarttags" w:element="PlaceType">
          <w:r w:rsidRPr="00A3204A">
            <w:rPr>
              <w:rFonts w:ascii="Times New Roman" w:hAnsi="Times New Roman" w:cs="Times New Roman"/>
              <w:i/>
              <w:sz w:val="24"/>
              <w:szCs w:val="24"/>
            </w:rPr>
            <w:t>Academy</w:t>
          </w:r>
        </w:smartTag>
        <w:r w:rsidRPr="00A3204A">
          <w:rPr>
            <w:rFonts w:ascii="Times New Roman" w:hAnsi="Times New Roman" w:cs="Times New Roman"/>
            <w:i/>
            <w:sz w:val="24"/>
            <w:szCs w:val="24"/>
          </w:rPr>
          <w:t xml:space="preserve"> of </w:t>
        </w:r>
        <w:smartTag w:uri="urn:schemas-microsoft-com:office:smarttags" w:element="PlaceName">
          <w:r w:rsidRPr="00A3204A">
            <w:rPr>
              <w:rFonts w:ascii="Times New Roman" w:hAnsi="Times New Roman" w:cs="Times New Roman"/>
              <w:i/>
              <w:sz w:val="24"/>
              <w:szCs w:val="24"/>
            </w:rPr>
            <w:t>Physical Medicine</w:t>
          </w:r>
        </w:smartTag>
      </w:smartTag>
      <w:r w:rsidRPr="00A3204A">
        <w:rPr>
          <w:rFonts w:ascii="Times New Roman" w:hAnsi="Times New Roman" w:cs="Times New Roman"/>
          <w:i/>
          <w:sz w:val="24"/>
          <w:szCs w:val="24"/>
        </w:rPr>
        <w:t xml:space="preserve"> and Rehabilitation, 3,</w:t>
      </w:r>
      <w:r w:rsidRPr="00A3204A">
        <w:rPr>
          <w:rFonts w:ascii="Times New Roman" w:hAnsi="Times New Roman" w:cs="Times New Roman"/>
          <w:sz w:val="24"/>
          <w:szCs w:val="24"/>
        </w:rPr>
        <w:t xml:space="preserve"> S406-412. DOI: 10.1016/j. pmrj.2011.07.016.</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u w:val="single"/>
        </w:rPr>
      </w:pPr>
      <w:smartTag w:uri="urn:schemas-microsoft-com:office:smarttags" w:element="place">
        <w:r w:rsidRPr="00A3204A">
          <w:rPr>
            <w:rFonts w:ascii="Times New Roman" w:hAnsi="Times New Roman" w:cs="Times New Roman"/>
            <w:sz w:val="24"/>
            <w:szCs w:val="24"/>
          </w:rPr>
          <w:t>Maas</w:t>
        </w:r>
      </w:smartTag>
      <w:r w:rsidRPr="00A3204A">
        <w:rPr>
          <w:rFonts w:ascii="Times New Roman" w:hAnsi="Times New Roman" w:cs="Times New Roman"/>
          <w:sz w:val="24"/>
          <w:szCs w:val="24"/>
        </w:rPr>
        <w:t xml:space="preserve">, A., &amp; Stocchetti, N. (2011). Hypothermia and the complexity of trials in patients with traumatic brain injury. </w:t>
      </w:r>
      <w:r w:rsidRPr="00A3204A">
        <w:rPr>
          <w:rFonts w:ascii="Times New Roman" w:hAnsi="Times New Roman" w:cs="Times New Roman"/>
          <w:i/>
          <w:sz w:val="24"/>
          <w:szCs w:val="24"/>
        </w:rPr>
        <w:t>The Lancet Neurology, 10,</w:t>
      </w:r>
      <w:r w:rsidRPr="00A3204A">
        <w:rPr>
          <w:rFonts w:ascii="Times New Roman" w:hAnsi="Times New Roman" w:cs="Times New Roman"/>
          <w:sz w:val="24"/>
          <w:szCs w:val="24"/>
        </w:rPr>
        <w:t xml:space="preserve"> 111-113. </w:t>
      </w:r>
      <w:hyperlink r:id="rId72" w:history="1">
        <w:r w:rsidRPr="00A3204A">
          <w:rPr>
            <w:rFonts w:ascii="Times New Roman" w:hAnsi="Times New Roman" w:cs="Times New Roman"/>
            <w:color w:val="0000FF"/>
            <w:sz w:val="24"/>
            <w:szCs w:val="24"/>
            <w:u w:val="single"/>
          </w:rPr>
          <w:t>http://www.thelancet.com/neurology</w:t>
        </w:r>
      </w:hyperlink>
      <w:r w:rsidRPr="00A3204A">
        <w:rPr>
          <w:rFonts w:ascii="Times New Roman" w:hAnsi="Times New Roman" w:cs="Times New Roman"/>
          <w:sz w:val="24"/>
          <w:szCs w:val="24"/>
          <w:u w:val="single"/>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lastRenderedPageBreak/>
        <w:t xml:space="preserve">Maas, A. I. R., Marmarou, A., </w:t>
      </w:r>
      <w:smartTag w:uri="urn:schemas-microsoft-com:office:smarttags" w:element="City">
        <w:smartTag w:uri="urn:schemas-microsoft-com:office:smarttags" w:element="place">
          <w:r w:rsidRPr="00A3204A">
            <w:rPr>
              <w:rFonts w:ascii="Times New Roman" w:hAnsi="Times New Roman" w:cs="Times New Roman"/>
              <w:sz w:val="24"/>
              <w:szCs w:val="24"/>
            </w:rPr>
            <w:t>Murray</w:t>
          </w:r>
        </w:smartTag>
      </w:smartTag>
      <w:r w:rsidRPr="00A3204A">
        <w:rPr>
          <w:rFonts w:ascii="Times New Roman" w:hAnsi="Times New Roman" w:cs="Times New Roman"/>
          <w:sz w:val="24"/>
          <w:szCs w:val="24"/>
        </w:rPr>
        <w:t>, G. D., Teasdale, Sir G. M., &amp; Steyerberg, E. W. (2007). Prognosis and clinical trial design in traumatic brain injury: The IMPACT study</w:t>
      </w:r>
      <w:r w:rsidRPr="00A3204A">
        <w:rPr>
          <w:rFonts w:ascii="Times New Roman" w:hAnsi="Times New Roman" w:cs="Times New Roman"/>
          <w:i/>
          <w:sz w:val="24"/>
          <w:szCs w:val="24"/>
        </w:rPr>
        <w:t xml:space="preserve">. Journal of Neurotrauma, 24(2), </w:t>
      </w:r>
      <w:r w:rsidRPr="00A3204A">
        <w:rPr>
          <w:rFonts w:ascii="Times New Roman" w:hAnsi="Times New Roman" w:cs="Times New Roman"/>
          <w:sz w:val="24"/>
          <w:szCs w:val="24"/>
        </w:rPr>
        <w:t xml:space="preserve">232-238. DOI:10.1089/neu.2006.0024.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smartTag w:uri="urn:schemas-microsoft-com:office:smarttags" w:element="place">
        <w:r w:rsidRPr="00A3204A">
          <w:rPr>
            <w:rFonts w:ascii="Times New Roman" w:hAnsi="Times New Roman" w:cs="Times New Roman"/>
            <w:sz w:val="24"/>
            <w:szCs w:val="24"/>
          </w:rPr>
          <w:t>Maas</w:t>
        </w:r>
      </w:smartTag>
      <w:r w:rsidRPr="00A3204A">
        <w:rPr>
          <w:rFonts w:ascii="Times New Roman" w:hAnsi="Times New Roman" w:cs="Times New Roman"/>
          <w:sz w:val="24"/>
          <w:szCs w:val="24"/>
        </w:rPr>
        <w:t xml:space="preserve">, A. I. R., Roozenbeel. B., &amp; Manley, G. T. (2010a). Clinical trials in traumatic brain injury: Past experience and current developments. </w:t>
      </w:r>
      <w:r w:rsidRPr="00A3204A">
        <w:rPr>
          <w:rFonts w:ascii="Times New Roman" w:hAnsi="Times New Roman" w:cs="Times New Roman"/>
          <w:i/>
          <w:sz w:val="24"/>
          <w:szCs w:val="24"/>
        </w:rPr>
        <w:t xml:space="preserve">The American Society for Experimental NeuroTherapeutics, Inc., 7, </w:t>
      </w:r>
      <w:r w:rsidRPr="00A3204A">
        <w:rPr>
          <w:rFonts w:ascii="Times New Roman" w:hAnsi="Times New Roman" w:cs="Times New Roman"/>
          <w:sz w:val="24"/>
          <w:szCs w:val="24"/>
        </w:rPr>
        <w:t xml:space="preserve">115-126.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Maas, A. I. R., Steyerberg, E. W., Marmarou, McHugh A., G. S., Lingsma, H. F., Butcher, I., &amp; Murray, G. D. (2010b). IMPACT recommendations for improving the design and analysis of clinical trials in moderate to severe traumatic brain injury. </w:t>
      </w:r>
      <w:r w:rsidRPr="00A3204A">
        <w:rPr>
          <w:rFonts w:ascii="Times New Roman" w:hAnsi="Times New Roman" w:cs="Times New Roman"/>
          <w:i/>
          <w:sz w:val="24"/>
          <w:szCs w:val="24"/>
        </w:rPr>
        <w:t xml:space="preserve">The American Society for Experimental NeuroTherapeutics, Inc., 7, </w:t>
      </w:r>
      <w:r w:rsidRPr="00A3204A">
        <w:rPr>
          <w:rFonts w:ascii="Times New Roman" w:hAnsi="Times New Roman" w:cs="Times New Roman"/>
          <w:sz w:val="24"/>
          <w:szCs w:val="24"/>
        </w:rPr>
        <w:t xml:space="preserve">127-134.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Maconochie, </w:t>
      </w:r>
      <w:smartTag w:uri="urn:schemas-microsoft-com:office:smarttags" w:element="place">
        <w:r w:rsidRPr="00A3204A">
          <w:rPr>
            <w:rFonts w:ascii="Times New Roman" w:hAnsi="Times New Roman" w:cs="Times New Roman"/>
            <w:sz w:val="24"/>
            <w:szCs w:val="24"/>
          </w:rPr>
          <w:t>I.</w:t>
        </w:r>
      </w:smartTag>
      <w:r w:rsidRPr="00A3204A">
        <w:rPr>
          <w:rFonts w:ascii="Times New Roman" w:hAnsi="Times New Roman" w:cs="Times New Roman"/>
          <w:sz w:val="24"/>
          <w:szCs w:val="24"/>
        </w:rPr>
        <w:t xml:space="preserve">, &amp; Ross, M. (2010) Head injury (moderate to severe). </w:t>
      </w:r>
      <w:r w:rsidRPr="00A3204A">
        <w:rPr>
          <w:rFonts w:ascii="Times New Roman" w:hAnsi="Times New Roman" w:cs="Times New Roman"/>
          <w:i/>
          <w:sz w:val="24"/>
          <w:szCs w:val="24"/>
        </w:rPr>
        <w:t xml:space="preserve">Clinical Evidence 6(1210), </w:t>
      </w:r>
      <w:r w:rsidRPr="00A3204A">
        <w:rPr>
          <w:rFonts w:ascii="Times New Roman" w:hAnsi="Times New Roman" w:cs="Times New Roman"/>
          <w:sz w:val="24"/>
          <w:szCs w:val="24"/>
        </w:rPr>
        <w:t xml:space="preserve">1-12.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Majerske, C. W., Mihalik, J. P., Ren, D., Collins, M. W.,…Wagner, A. K. (2008). Concussion in sports: Postconcussive activity levels, symptoms, and neurocognitive performance. </w:t>
      </w:r>
      <w:r w:rsidRPr="00A3204A">
        <w:rPr>
          <w:rFonts w:ascii="Times New Roman" w:hAnsi="Times New Roman" w:cs="Times New Roman"/>
          <w:i/>
          <w:sz w:val="24"/>
          <w:szCs w:val="24"/>
        </w:rPr>
        <w:t xml:space="preserve">Journal of Athletic Training, 43(3), </w:t>
      </w:r>
      <w:r w:rsidRPr="00A3204A">
        <w:rPr>
          <w:rFonts w:ascii="Times New Roman" w:hAnsi="Times New Roman" w:cs="Times New Roman"/>
          <w:sz w:val="24"/>
          <w:szCs w:val="24"/>
        </w:rPr>
        <w:t xml:space="preserve">265-274. </w:t>
      </w:r>
      <w:hyperlink r:id="rId73" w:history="1">
        <w:r w:rsidRPr="00A3204A">
          <w:rPr>
            <w:rFonts w:ascii="Times New Roman" w:hAnsi="Times New Roman" w:cs="Times New Roman"/>
            <w:color w:val="0000FF"/>
            <w:sz w:val="24"/>
            <w:szCs w:val="24"/>
            <w:u w:val="single"/>
          </w:rPr>
          <w:t>http://www.nata.org/jat</w:t>
        </w:r>
      </w:hyperlink>
      <w:r w:rsidRPr="00A3204A">
        <w:rPr>
          <w:rFonts w:ascii="Times New Roman" w:hAnsi="Times New Roman" w:cs="Times New Roman"/>
          <w:sz w:val="24"/>
          <w:szCs w:val="24"/>
          <w:u w:val="single"/>
        </w:rPr>
        <w:t xml:space="preserve">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Makdissi, M., Darby, D., Maruff, P., Ugoni, A., Brukner, P. &amp; McCrory, P. R. (2010). Natural history of concussion in sport: Markers of severity and implications for management. </w:t>
      </w:r>
      <w:r w:rsidRPr="00A3204A">
        <w:rPr>
          <w:rFonts w:ascii="Times New Roman" w:hAnsi="Times New Roman" w:cs="Times New Roman"/>
          <w:i/>
          <w:sz w:val="24"/>
          <w:szCs w:val="24"/>
        </w:rPr>
        <w:t xml:space="preserve">The American Journal of Sports Medicine, 38, </w:t>
      </w:r>
      <w:r w:rsidRPr="00A3204A">
        <w:rPr>
          <w:rFonts w:ascii="Times New Roman" w:hAnsi="Times New Roman" w:cs="Times New Roman"/>
          <w:sz w:val="24"/>
          <w:szCs w:val="24"/>
        </w:rPr>
        <w:t>464-471, appendix. DOI: 10.1177/0363546509349491.</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Malec, J. F. (2001). </w:t>
      </w:r>
      <w:r w:rsidRPr="00A3204A">
        <w:rPr>
          <w:rFonts w:ascii="Times New Roman" w:hAnsi="Times New Roman" w:cs="Times New Roman"/>
          <w:bCs/>
          <w:sz w:val="24"/>
          <w:szCs w:val="24"/>
        </w:rPr>
        <w:t xml:space="preserve">Impact of comprehensive day treatment on societal participation for persons with acquired brain injury. </w:t>
      </w:r>
      <w:r w:rsidRPr="00A3204A">
        <w:rPr>
          <w:rFonts w:ascii="Times New Roman" w:hAnsi="Times New Roman" w:cs="Times New Roman"/>
          <w:bCs/>
          <w:i/>
          <w:sz w:val="24"/>
          <w:szCs w:val="24"/>
        </w:rPr>
        <w:t xml:space="preserve">Arch Phys Med Rehabil, 82, </w:t>
      </w:r>
      <w:r w:rsidRPr="00A3204A">
        <w:rPr>
          <w:rFonts w:ascii="Times New Roman" w:hAnsi="Times New Roman" w:cs="Times New Roman"/>
          <w:bCs/>
          <w:sz w:val="24"/>
          <w:szCs w:val="24"/>
        </w:rPr>
        <w:t>885-895. DOI:</w:t>
      </w:r>
      <w:r w:rsidRPr="00A3204A">
        <w:t xml:space="preserve"> </w:t>
      </w:r>
      <w:r w:rsidRPr="00A3204A">
        <w:rPr>
          <w:rFonts w:ascii="Times New Roman" w:hAnsi="Times New Roman" w:cs="Times New Roman"/>
          <w:bCs/>
          <w:sz w:val="24"/>
          <w:szCs w:val="24"/>
        </w:rPr>
        <w:t>10.1053/apmr.2001.23895.</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Mallison, A. I., &amp; Longridge, N. S. (2005). A new set of criteria for evaluating malingering in work-related vestibular injury. </w:t>
      </w:r>
      <w:r w:rsidRPr="00A3204A">
        <w:rPr>
          <w:rFonts w:ascii="Times New Roman" w:hAnsi="Times New Roman" w:cs="Times New Roman"/>
          <w:i/>
          <w:sz w:val="24"/>
          <w:szCs w:val="24"/>
        </w:rPr>
        <w:t xml:space="preserve">Otology &amp; Neurotology, 26(4), </w:t>
      </w:r>
      <w:r w:rsidRPr="00A3204A">
        <w:rPr>
          <w:rFonts w:ascii="Times New Roman" w:hAnsi="Times New Roman" w:cs="Times New Roman"/>
          <w:sz w:val="24"/>
          <w:szCs w:val="24"/>
        </w:rPr>
        <w:t xml:space="preserve">686-690.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Malykh, A. G., &amp; Sadaie, M. R. (2010). Piracetam and piracetam-like drugs from basic science to novel clinical applications to CNS disorders. </w:t>
      </w:r>
      <w:r w:rsidRPr="00A3204A">
        <w:rPr>
          <w:rFonts w:ascii="Times New Roman" w:hAnsi="Times New Roman" w:cs="Times New Roman"/>
          <w:i/>
          <w:sz w:val="24"/>
          <w:szCs w:val="24"/>
        </w:rPr>
        <w:t>Drugs, 70(3)</w:t>
      </w:r>
      <w:r w:rsidRPr="00A3204A">
        <w:rPr>
          <w:rFonts w:ascii="Times New Roman" w:hAnsi="Times New Roman" w:cs="Times New Roman"/>
          <w:sz w:val="24"/>
          <w:szCs w:val="24"/>
        </w:rPr>
        <w:t xml:space="preserve"> 287-312.</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Manley, G. T. (2009). Introduction: Decompressive craniectomy for trauma and cerebrovascular disease. </w:t>
      </w:r>
      <w:r w:rsidRPr="00A3204A">
        <w:rPr>
          <w:rFonts w:ascii="Times New Roman" w:hAnsi="Times New Roman" w:cs="Times New Roman"/>
          <w:i/>
          <w:sz w:val="24"/>
          <w:szCs w:val="24"/>
        </w:rPr>
        <w:t>Journal of Neurosurgery, 26(6),</w:t>
      </w:r>
      <w:r w:rsidRPr="00A3204A">
        <w:rPr>
          <w:rFonts w:ascii="Times New Roman" w:hAnsi="Times New Roman" w:cs="Times New Roman"/>
          <w:sz w:val="24"/>
          <w:szCs w:val="24"/>
        </w:rPr>
        <w:t xml:space="preserve"> E1. PMID: 19485713. </w:t>
      </w:r>
      <w:r w:rsidRPr="00A3204A">
        <w:rPr>
          <w:rFonts w:ascii="Times New Roman" w:hAnsi="Times New Roman" w:cs="Times New Roman"/>
          <w:iCs/>
          <w:sz w:val="24"/>
          <w:szCs w:val="24"/>
        </w:rPr>
        <w:t xml:space="preserve">DOI: 10.3171/2009.4. FOCUS. JUNE09. INTRO.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47" w:name="Marino2012"/>
      <w:bookmarkEnd w:id="847"/>
      <w:r w:rsidRPr="00A3204A">
        <w:rPr>
          <w:rFonts w:ascii="Times New Roman" w:hAnsi="Times New Roman" w:cs="Times New Roman"/>
          <w:sz w:val="24"/>
          <w:szCs w:val="24"/>
        </w:rPr>
        <w:t xml:space="preserve">Marino, M., de Belvis, A., Basso, D., Avolio, M., Pelone, F., Tanzariello, M., &amp; Ricciardi, W. (2012) Interventions to evaluate fitness to drive among people with chronic conditions: Systematic review of literature. </w:t>
      </w:r>
      <w:r w:rsidRPr="00A3204A">
        <w:rPr>
          <w:rFonts w:ascii="Times New Roman" w:hAnsi="Times New Roman" w:cs="Times New Roman"/>
          <w:i/>
          <w:sz w:val="24"/>
          <w:szCs w:val="24"/>
        </w:rPr>
        <w:t>Accid. Anal. Prev.,</w:t>
      </w:r>
      <w:r w:rsidRPr="00A3204A">
        <w:rPr>
          <w:rFonts w:ascii="Times New Roman" w:hAnsi="Times New Roman" w:cs="Times New Roman"/>
          <w:sz w:val="24"/>
          <w:szCs w:val="24"/>
        </w:rPr>
        <w:t xml:space="preserve"> 1-20. DOI: 10.1016/j.aap.2012.05.010.</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48" w:name="Marion2011"/>
      <w:bookmarkEnd w:id="848"/>
      <w:r w:rsidRPr="00A3204A">
        <w:rPr>
          <w:rFonts w:ascii="Times New Roman" w:hAnsi="Times New Roman" w:cs="Times New Roman"/>
          <w:iCs/>
          <w:sz w:val="24"/>
          <w:szCs w:val="24"/>
        </w:rPr>
        <w:t xml:space="preserve">Marion, D. W. (2011). Decompressive craniectomy in diffuse traumatic brain injury. </w:t>
      </w:r>
      <w:r w:rsidRPr="00A3204A">
        <w:rPr>
          <w:rFonts w:ascii="Times New Roman" w:hAnsi="Times New Roman" w:cs="Times New Roman"/>
          <w:i/>
          <w:iCs/>
          <w:sz w:val="24"/>
          <w:szCs w:val="24"/>
        </w:rPr>
        <w:t>The Lancet, 10,</w:t>
      </w:r>
      <w:r w:rsidRPr="00A3204A">
        <w:rPr>
          <w:rFonts w:ascii="Times New Roman" w:hAnsi="Times New Roman" w:cs="Times New Roman"/>
          <w:iCs/>
          <w:sz w:val="24"/>
          <w:szCs w:val="24"/>
        </w:rPr>
        <w:t xml:space="preserve"> 497-498.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iCs/>
          <w:sz w:val="24"/>
          <w:szCs w:val="24"/>
        </w:rPr>
        <w:t xml:space="preserve">Marshall, S., Teasell, R., Bayona, N., Lippert, C., Chundamala, J., Villamere, J., Mackie, D., Cullen, N., &amp; Bayley, M. (2007). Motor impairment rehabilitation post acquired brain injury. </w:t>
      </w:r>
      <w:r w:rsidRPr="00A3204A">
        <w:rPr>
          <w:rFonts w:ascii="Times New Roman" w:hAnsi="Times New Roman" w:cs="Times New Roman"/>
          <w:i/>
          <w:iCs/>
          <w:sz w:val="24"/>
          <w:szCs w:val="24"/>
        </w:rPr>
        <w:t>Brain Injury, 21,</w:t>
      </w:r>
      <w:r w:rsidRPr="00A3204A">
        <w:rPr>
          <w:rFonts w:ascii="Times New Roman" w:hAnsi="Times New Roman" w:cs="Times New Roman"/>
          <w:iCs/>
          <w:sz w:val="24"/>
          <w:szCs w:val="24"/>
        </w:rPr>
        <w:t xml:space="preserve"> 133-160. DOI: 10.1080/02699050701201383.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49" w:name="Martin2009"/>
      <w:bookmarkEnd w:id="849"/>
      <w:r w:rsidRPr="00A3204A">
        <w:rPr>
          <w:rFonts w:ascii="Times New Roman" w:hAnsi="Times New Roman" w:cs="Times New Roman"/>
          <w:sz w:val="24"/>
          <w:szCs w:val="24"/>
        </w:rPr>
        <w:t xml:space="preserve">Martin, A. J., Marottoli, R., &amp; O’Neill, D. (2009). Driving assessment for maintaining mobility and safety in drivers with dementia. </w:t>
      </w:r>
      <w:r w:rsidRPr="00A3204A">
        <w:rPr>
          <w:rFonts w:ascii="Times New Roman" w:hAnsi="Times New Roman" w:cs="Times New Roman"/>
          <w:i/>
          <w:iCs/>
          <w:sz w:val="24"/>
          <w:szCs w:val="24"/>
        </w:rPr>
        <w:t xml:space="preserve">Cochrane Database of Systematic Reviews, 1, </w:t>
      </w:r>
      <w:r w:rsidRPr="00A3204A">
        <w:rPr>
          <w:rFonts w:ascii="Times New Roman" w:hAnsi="Times New Roman" w:cs="Times New Roman"/>
          <w:iCs/>
          <w:sz w:val="24"/>
          <w:szCs w:val="24"/>
        </w:rPr>
        <w:t xml:space="preserve">1-22. </w:t>
      </w:r>
      <w:r w:rsidRPr="00A3204A">
        <w:rPr>
          <w:rFonts w:ascii="Times New Roman" w:hAnsi="Times New Roman" w:cs="Times New Roman"/>
          <w:sz w:val="24"/>
          <w:szCs w:val="24"/>
        </w:rPr>
        <w:t>DOI: 10.1002/14651858.CD006222.pub2.</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50" w:name="Marzo2004"/>
      <w:bookmarkEnd w:id="850"/>
      <w:r w:rsidRPr="00A3204A">
        <w:rPr>
          <w:rFonts w:ascii="Times New Roman" w:hAnsi="Times New Roman" w:cs="Times New Roman"/>
          <w:iCs/>
          <w:sz w:val="24"/>
          <w:szCs w:val="24"/>
        </w:rPr>
        <w:lastRenderedPageBreak/>
        <w:t xml:space="preserve">Marzo, S. J., Leonetti, J. P., Raffin, M. J., &amp; Letarte, P. (2004). Diagnosis and management of post-traumatic vertigo. </w:t>
      </w:r>
      <w:r w:rsidRPr="00A3204A">
        <w:rPr>
          <w:rFonts w:ascii="Times New Roman" w:hAnsi="Times New Roman" w:cs="Times New Roman"/>
          <w:i/>
          <w:iCs/>
          <w:sz w:val="24"/>
          <w:szCs w:val="24"/>
        </w:rPr>
        <w:t xml:space="preserve">Laryngoscope, 114, </w:t>
      </w:r>
      <w:r w:rsidRPr="00A3204A">
        <w:rPr>
          <w:rFonts w:ascii="Times New Roman" w:hAnsi="Times New Roman" w:cs="Times New Roman"/>
          <w:iCs/>
          <w:sz w:val="24"/>
          <w:szCs w:val="24"/>
        </w:rPr>
        <w:t>1720-1723.</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iCs/>
          <w:sz w:val="24"/>
          <w:szCs w:val="24"/>
        </w:rPr>
        <w:t xml:space="preserve">Masel, B. E. (2012) </w:t>
      </w:r>
      <w:r w:rsidRPr="00A3204A">
        <w:rPr>
          <w:rFonts w:ascii="Times New Roman" w:hAnsi="Times New Roman" w:cs="Times New Roman"/>
          <w:i/>
          <w:iCs/>
          <w:sz w:val="24"/>
          <w:szCs w:val="24"/>
        </w:rPr>
        <w:t>Brain Injury As A Chronic Disease</w:t>
      </w:r>
      <w:r w:rsidRPr="00A3204A">
        <w:rPr>
          <w:rFonts w:ascii="Times New Roman" w:hAnsi="Times New Roman" w:cs="Times New Roman"/>
          <w:iCs/>
          <w:sz w:val="24"/>
          <w:szCs w:val="24"/>
        </w:rPr>
        <w:t xml:space="preserve">. Transitional </w:t>
      </w:r>
      <w:smartTag w:uri="urn:schemas-microsoft-com:office:smarttags" w:element="PlaceName">
        <w:r w:rsidRPr="00A3204A">
          <w:rPr>
            <w:rFonts w:ascii="Times New Roman" w:hAnsi="Times New Roman" w:cs="Times New Roman"/>
            <w:iCs/>
            <w:sz w:val="24"/>
            <w:szCs w:val="24"/>
          </w:rPr>
          <w:t>Learning</w:t>
        </w:r>
      </w:smartTag>
      <w:r w:rsidRPr="00A3204A">
        <w:rPr>
          <w:rFonts w:ascii="Times New Roman" w:hAnsi="Times New Roman" w:cs="Times New Roman"/>
          <w:iCs/>
          <w:sz w:val="24"/>
          <w:szCs w:val="24"/>
        </w:rPr>
        <w:t xml:space="preserve"> </w:t>
      </w:r>
      <w:smartTag w:uri="urn:schemas-microsoft-com:office:smarttags" w:element="PlaceType">
        <w:r w:rsidRPr="00A3204A">
          <w:rPr>
            <w:rFonts w:ascii="Times New Roman" w:hAnsi="Times New Roman" w:cs="Times New Roman"/>
            <w:iCs/>
            <w:sz w:val="24"/>
            <w:szCs w:val="24"/>
          </w:rPr>
          <w:t>Center</w:t>
        </w:r>
      </w:smartTag>
      <w:r w:rsidRPr="00A3204A">
        <w:rPr>
          <w:rFonts w:ascii="Times New Roman" w:hAnsi="Times New Roman" w:cs="Times New Roman"/>
          <w:iCs/>
          <w:sz w:val="24"/>
          <w:szCs w:val="24"/>
        </w:rPr>
        <w:t xml:space="preserve"> </w:t>
      </w:r>
      <w:smartTag w:uri="urn:schemas-microsoft-com:office:smarttags" w:element="place">
        <w:smartTag w:uri="urn:schemas-microsoft-com:office:smarttags" w:element="City">
          <w:r w:rsidRPr="00A3204A">
            <w:rPr>
              <w:rFonts w:ascii="Times New Roman" w:hAnsi="Times New Roman" w:cs="Times New Roman"/>
              <w:iCs/>
              <w:sz w:val="24"/>
              <w:szCs w:val="24"/>
            </w:rPr>
            <w:t>Galveston</w:t>
          </w:r>
        </w:smartTag>
        <w:r w:rsidRPr="00A3204A">
          <w:rPr>
            <w:rFonts w:ascii="Times New Roman" w:hAnsi="Times New Roman" w:cs="Times New Roman"/>
            <w:iCs/>
            <w:sz w:val="24"/>
            <w:szCs w:val="24"/>
          </w:rPr>
          <w:t xml:space="preserve">, </w:t>
        </w:r>
        <w:smartTag w:uri="urn:schemas-microsoft-com:office:smarttags" w:element="State">
          <w:r w:rsidRPr="00A3204A">
            <w:rPr>
              <w:rFonts w:ascii="Times New Roman" w:hAnsi="Times New Roman" w:cs="Times New Roman"/>
              <w:iCs/>
              <w:sz w:val="24"/>
              <w:szCs w:val="24"/>
            </w:rPr>
            <w:t>Texas</w:t>
          </w:r>
        </w:smartTag>
      </w:smartTag>
      <w:r w:rsidRPr="00A3204A">
        <w:rPr>
          <w:rFonts w:ascii="Times New Roman" w:hAnsi="Times New Roman" w:cs="Times New Roman"/>
          <w:iCs/>
          <w:sz w:val="24"/>
          <w:szCs w:val="24"/>
        </w:rPr>
        <w:t>.</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iCs/>
          <w:sz w:val="24"/>
          <w:szCs w:val="24"/>
        </w:rPr>
        <w:t xml:space="preserve">Masel, B. E., &amp; DeWitt, D. S. (2010). Traumatic brain injury: A disease process, not an event. </w:t>
      </w:r>
      <w:r w:rsidRPr="00A3204A">
        <w:rPr>
          <w:rFonts w:ascii="Times New Roman" w:hAnsi="Times New Roman" w:cs="Times New Roman"/>
          <w:i/>
          <w:iCs/>
          <w:sz w:val="24"/>
          <w:szCs w:val="24"/>
        </w:rPr>
        <w:t xml:space="preserve">Journal of Neurotrauma, 27, </w:t>
      </w:r>
      <w:r w:rsidRPr="00A3204A">
        <w:rPr>
          <w:rFonts w:ascii="Times New Roman" w:hAnsi="Times New Roman" w:cs="Times New Roman"/>
          <w:iCs/>
          <w:sz w:val="24"/>
          <w:szCs w:val="24"/>
        </w:rPr>
        <w:t>1529-1540. DOI: 10.1089/neu.2010.1358.</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Maskell, F., Chiarelli, P., &amp; Isles, R. (2006). Dizziness after traumatic brain injury: Overview and measurement in the clinical setting. </w:t>
      </w:r>
      <w:r w:rsidRPr="00A3204A">
        <w:rPr>
          <w:rFonts w:ascii="Times New Roman" w:hAnsi="Times New Roman" w:cs="Times New Roman"/>
          <w:i/>
          <w:sz w:val="24"/>
          <w:szCs w:val="24"/>
        </w:rPr>
        <w:t>Brain Injury, 20(3),</w:t>
      </w:r>
      <w:r w:rsidRPr="00A3204A">
        <w:rPr>
          <w:rFonts w:ascii="Times New Roman" w:hAnsi="Times New Roman" w:cs="Times New Roman"/>
          <w:sz w:val="24"/>
          <w:szCs w:val="24"/>
        </w:rPr>
        <w:t xml:space="preserve"> 293-305. DOI:10.1080/02699050500488041.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Maskell, F., Chiarelli, P., &amp; Isles, R. (2007). Dizziness after traumatic brain injury: Results from an interview study. </w:t>
      </w:r>
      <w:r w:rsidRPr="00A3204A">
        <w:rPr>
          <w:rFonts w:ascii="Times New Roman" w:hAnsi="Times New Roman" w:cs="Times New Roman"/>
          <w:i/>
          <w:sz w:val="24"/>
          <w:szCs w:val="24"/>
        </w:rPr>
        <w:t>Brain Injury, 21(7),</w:t>
      </w:r>
      <w:r w:rsidRPr="00A3204A">
        <w:rPr>
          <w:rFonts w:ascii="Times New Roman" w:hAnsi="Times New Roman" w:cs="Times New Roman"/>
          <w:sz w:val="24"/>
          <w:szCs w:val="24"/>
        </w:rPr>
        <w:t xml:space="preserve"> 741-752. DOI:10.1080/02699050701672109.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Mathew, N. T., Frishberg, B. M., Gawel, M.,. . . Turkel, C. (2005). Botulinum toxin type A (BOTOX®) for the prophylactic treatment of chronic daily headache: A randomized, double-blind, placebo-controlled trial. </w:t>
      </w:r>
      <w:r w:rsidRPr="00A3204A">
        <w:rPr>
          <w:rFonts w:ascii="Times New Roman" w:hAnsi="Times New Roman" w:cs="Times New Roman"/>
          <w:i/>
          <w:sz w:val="24"/>
          <w:szCs w:val="24"/>
        </w:rPr>
        <w:t>Headache, 12,</w:t>
      </w:r>
      <w:r w:rsidRPr="00A3204A">
        <w:rPr>
          <w:rFonts w:ascii="Times New Roman" w:hAnsi="Times New Roman" w:cs="Times New Roman"/>
          <w:sz w:val="24"/>
          <w:szCs w:val="24"/>
        </w:rPr>
        <w:t xml:space="preserve"> 293-307.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Matsushita, M., Hosoda, K., Naitoh, Y., Yamashita, H., &amp; Kohmura, E. (2011). Utility of diffusion tensor imaging in the acute stage of mild to moderate traumatic brain injury for detecting white matter lesions and predicting long-term cognitive function in adults. </w:t>
      </w:r>
      <w:r w:rsidRPr="00A3204A">
        <w:rPr>
          <w:rFonts w:ascii="Times New Roman" w:hAnsi="Times New Roman" w:cs="Times New Roman"/>
          <w:i/>
          <w:sz w:val="24"/>
          <w:szCs w:val="24"/>
        </w:rPr>
        <w:t xml:space="preserve">Journal of Neurosurgery, 115, </w:t>
      </w:r>
      <w:r w:rsidRPr="00A3204A">
        <w:rPr>
          <w:rFonts w:ascii="Times New Roman" w:hAnsi="Times New Roman" w:cs="Times New Roman"/>
          <w:sz w:val="24"/>
          <w:szCs w:val="24"/>
        </w:rPr>
        <w:t xml:space="preserve">130-139.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51" w:name="McCauley2009"/>
      <w:bookmarkEnd w:id="851"/>
      <w:r w:rsidRPr="00A3204A">
        <w:rPr>
          <w:rFonts w:ascii="Times New Roman" w:hAnsi="Times New Roman" w:cs="Times New Roman"/>
          <w:sz w:val="24"/>
          <w:szCs w:val="24"/>
        </w:rPr>
        <w:t xml:space="preserve">McCauley, R. J., </w:t>
      </w:r>
      <w:smartTag w:uri="urn:schemas-microsoft-com:office:smarttags" w:element="place">
        <w:r w:rsidRPr="00A3204A">
          <w:rPr>
            <w:rFonts w:ascii="Times New Roman" w:hAnsi="Times New Roman" w:cs="Times New Roman"/>
            <w:sz w:val="24"/>
            <w:szCs w:val="24"/>
          </w:rPr>
          <w:t>Strand</w:t>
        </w:r>
      </w:smartTag>
      <w:r w:rsidRPr="00A3204A">
        <w:rPr>
          <w:rFonts w:ascii="Times New Roman" w:hAnsi="Times New Roman" w:cs="Times New Roman"/>
          <w:sz w:val="24"/>
          <w:szCs w:val="24"/>
        </w:rPr>
        <w:t xml:space="preserve">, E., Lof, G. L., Schooling, T., &amp; Frymark, T. (2009). Evidence-based systematic review: Effects of nonspeech oral motor exercises on speech. </w:t>
      </w:r>
      <w:r w:rsidRPr="00A3204A">
        <w:rPr>
          <w:rFonts w:ascii="Times New Roman" w:hAnsi="Times New Roman" w:cs="Times New Roman"/>
          <w:i/>
          <w:sz w:val="24"/>
          <w:szCs w:val="24"/>
        </w:rPr>
        <w:t>American Journal of Speech-Language Pathology, 18,</w:t>
      </w:r>
      <w:r w:rsidRPr="00A3204A">
        <w:rPr>
          <w:rFonts w:ascii="Times New Roman" w:hAnsi="Times New Roman" w:cs="Times New Roman"/>
          <w:sz w:val="24"/>
          <w:szCs w:val="24"/>
        </w:rPr>
        <w:t xml:space="preserve"> 343-360.</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McCrea, M., Guskiewicz, K. M., Marshall, S. W., Barr, W., Randolph, C., Cantu, R. C., …Kelly, J. P. (2003). Acute effects and recovery time following concussion in collegiate football players: The NCAA concussion study. </w:t>
      </w:r>
      <w:r w:rsidRPr="00A3204A">
        <w:rPr>
          <w:rFonts w:ascii="Times New Roman" w:hAnsi="Times New Roman" w:cs="Times New Roman"/>
          <w:i/>
          <w:iCs/>
          <w:sz w:val="24"/>
          <w:szCs w:val="24"/>
        </w:rPr>
        <w:t>Journal of the American Medical Association</w:t>
      </w:r>
      <w:r w:rsidRPr="00A3204A">
        <w:rPr>
          <w:rFonts w:ascii="Times New Roman" w:hAnsi="Times New Roman" w:cs="Times New Roman"/>
          <w:i/>
          <w:sz w:val="24"/>
          <w:szCs w:val="24"/>
        </w:rPr>
        <w:t xml:space="preserve">, 290(19), </w:t>
      </w:r>
      <w:r w:rsidRPr="00A3204A">
        <w:rPr>
          <w:rFonts w:ascii="Times New Roman" w:hAnsi="Times New Roman" w:cs="Times New Roman"/>
          <w:sz w:val="24"/>
          <w:szCs w:val="24"/>
        </w:rPr>
        <w:t xml:space="preserve">2556-2563. </w:t>
      </w:r>
      <w:hyperlink r:id="rId74" w:history="1">
        <w:r w:rsidRPr="00A3204A">
          <w:rPr>
            <w:rFonts w:ascii="Times New Roman" w:hAnsi="Times New Roman" w:cs="Times New Roman"/>
            <w:color w:val="0000FF"/>
            <w:sz w:val="24"/>
            <w:szCs w:val="24"/>
            <w:u w:val="single"/>
          </w:rPr>
          <w:t>http://www.jama.com</w:t>
        </w:r>
      </w:hyperlink>
      <w:r w:rsidRPr="00A3204A">
        <w:rPr>
          <w:rFonts w:ascii="Times New Roman" w:hAnsi="Times New Roman" w:cs="Times New Roman"/>
          <w:sz w:val="24"/>
          <w:szCs w:val="24"/>
          <w:u w:val="single"/>
        </w:rPr>
        <w:t xml:space="preserve">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52" w:name="McCrea2009"/>
      <w:bookmarkEnd w:id="852"/>
      <w:r w:rsidRPr="00A3204A">
        <w:rPr>
          <w:rFonts w:ascii="Times New Roman" w:hAnsi="Times New Roman" w:cs="Times New Roman"/>
          <w:sz w:val="24"/>
          <w:szCs w:val="24"/>
        </w:rPr>
        <w:t xml:space="preserve">McCrea, M., Iverson, G. L., McAllister, T. W., Hammeke, T. A., Powell, M. R., Barr, W. B. &amp; Kelly, J. P. (2009). An integrated review of recovery after mild traumatic brain injury (MTBI): Implications for clinical management. </w:t>
      </w:r>
      <w:r w:rsidRPr="00A3204A">
        <w:rPr>
          <w:rFonts w:ascii="Times New Roman" w:hAnsi="Times New Roman" w:cs="Times New Roman"/>
          <w:i/>
          <w:sz w:val="24"/>
          <w:szCs w:val="24"/>
        </w:rPr>
        <w:t>The Clinical Neuropsychologist, 23,</w:t>
      </w:r>
      <w:r w:rsidRPr="00A3204A">
        <w:rPr>
          <w:rFonts w:ascii="Times New Roman" w:hAnsi="Times New Roman" w:cs="Times New Roman"/>
          <w:sz w:val="24"/>
          <w:szCs w:val="24"/>
        </w:rPr>
        <w:t xml:space="preserve"> 1368-1390. ISSN:1385-4046 print/1744-4144 online, DOI: 10.1080/13854040903074652. </w:t>
      </w:r>
    </w:p>
    <w:p w:rsidR="00A3204A" w:rsidRPr="00A3204A" w:rsidRDefault="00A3204A" w:rsidP="009C3DC2">
      <w:pPr>
        <w:numPr>
          <w:ilvl w:val="0"/>
          <w:numId w:val="33"/>
        </w:numPr>
        <w:spacing w:before="0" w:after="120"/>
        <w:rPr>
          <w:rFonts w:ascii="Times New Roman" w:hAnsi="Times New Roman" w:cs="Times New Roman"/>
          <w:i/>
          <w:sz w:val="24"/>
          <w:szCs w:val="24"/>
        </w:rPr>
      </w:pPr>
      <w:bookmarkStart w:id="853" w:name="McCrory2003"/>
      <w:bookmarkEnd w:id="853"/>
      <w:r w:rsidRPr="00A3204A">
        <w:rPr>
          <w:rFonts w:ascii="Times New Roman" w:hAnsi="Times New Roman" w:cs="Times New Roman"/>
          <w:sz w:val="24"/>
          <w:szCs w:val="24"/>
        </w:rPr>
        <w:t xml:space="preserve">McCrory, D. C., &amp; Gray R. N., (2003). Oral sumatriptan for acute migraine. </w:t>
      </w:r>
      <w:r w:rsidRPr="00A3204A">
        <w:rPr>
          <w:rFonts w:ascii="Times New Roman" w:hAnsi="Times New Roman" w:cs="Times New Roman"/>
          <w:i/>
          <w:sz w:val="24"/>
          <w:szCs w:val="24"/>
        </w:rPr>
        <w:t xml:space="preserve">Cochrane Database of Systematic Reviews, 3, </w:t>
      </w:r>
      <w:r w:rsidRPr="00A3204A">
        <w:rPr>
          <w:rFonts w:ascii="Times New Roman" w:hAnsi="Times New Roman" w:cs="Times New Roman"/>
          <w:sz w:val="24"/>
          <w:szCs w:val="24"/>
        </w:rPr>
        <w:t xml:space="preserve">1-91. DOI:10.1002/14651858. CD002915.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r w:rsidRPr="00A3204A">
        <w:rPr>
          <w:rFonts w:ascii="Times New Roman" w:hAnsi="Times New Roman" w:cs="Times New Roman"/>
          <w:i/>
          <w:sz w:val="24"/>
          <w:szCs w:val="24"/>
        </w:rPr>
        <w:t xml:space="preserve">.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color w:val="231F20"/>
          <w:sz w:val="24"/>
          <w:szCs w:val="24"/>
        </w:rPr>
        <w:t xml:space="preserve">McCrory, P., Meeuwisse, W., </w:t>
      </w:r>
      <w:smartTag w:uri="urn:schemas-microsoft-com:office:smarttags" w:element="place">
        <w:smartTag w:uri="urn:schemas-microsoft-com:office:smarttags" w:element="City">
          <w:r w:rsidRPr="00A3204A">
            <w:rPr>
              <w:rFonts w:ascii="Times New Roman" w:hAnsi="Times New Roman" w:cs="Times New Roman"/>
              <w:color w:val="231F20"/>
              <w:sz w:val="24"/>
              <w:szCs w:val="24"/>
            </w:rPr>
            <w:t>Johnston</w:t>
          </w:r>
        </w:smartTag>
      </w:smartTag>
      <w:r w:rsidRPr="00A3204A">
        <w:rPr>
          <w:rFonts w:ascii="Times New Roman" w:hAnsi="Times New Roman" w:cs="Times New Roman"/>
          <w:color w:val="231F20"/>
          <w:sz w:val="24"/>
          <w:szCs w:val="24"/>
        </w:rPr>
        <w:t>, K., Dvorak, J., Aubry, M., Molloy, M., &amp; Cantu, R. (2009).</w:t>
      </w:r>
      <w:r w:rsidRPr="00A3204A">
        <w:rPr>
          <w:rFonts w:ascii="AdvPS9779" w:hAnsi="AdvPS9779" w:cs="AdvPS9779"/>
          <w:color w:val="231F20"/>
          <w:sz w:val="40"/>
          <w:szCs w:val="40"/>
        </w:rPr>
        <w:t xml:space="preserve"> </w:t>
      </w:r>
      <w:r w:rsidRPr="00A3204A">
        <w:rPr>
          <w:rFonts w:ascii="Times New Roman" w:hAnsi="Times New Roman" w:cs="Times New Roman"/>
          <w:color w:val="231F20"/>
          <w:sz w:val="24"/>
          <w:szCs w:val="24"/>
        </w:rPr>
        <w:t xml:space="preserve">Consensus statement on concussion in sport 3rd international conference on concussion in sport held in </w:t>
      </w:r>
      <w:smartTag w:uri="urn:schemas-microsoft-com:office:smarttags" w:element="City">
        <w:smartTag w:uri="urn:schemas-microsoft-com:office:smarttags" w:element="place">
          <w:r w:rsidRPr="00A3204A">
            <w:rPr>
              <w:rFonts w:ascii="Times New Roman" w:hAnsi="Times New Roman" w:cs="Times New Roman"/>
              <w:color w:val="231F20"/>
              <w:sz w:val="24"/>
              <w:szCs w:val="24"/>
            </w:rPr>
            <w:t>Zurich</w:t>
          </w:r>
        </w:smartTag>
      </w:smartTag>
      <w:r w:rsidRPr="00A3204A">
        <w:rPr>
          <w:rFonts w:ascii="Times New Roman" w:hAnsi="Times New Roman" w:cs="Times New Roman"/>
          <w:color w:val="231F20"/>
          <w:sz w:val="24"/>
          <w:szCs w:val="24"/>
        </w:rPr>
        <w:t xml:space="preserve">, November 2008. </w:t>
      </w:r>
      <w:r w:rsidRPr="00A3204A">
        <w:rPr>
          <w:rFonts w:ascii="Times New Roman" w:hAnsi="Times New Roman" w:cs="Times New Roman"/>
          <w:i/>
          <w:color w:val="231F20"/>
          <w:sz w:val="24"/>
          <w:szCs w:val="24"/>
        </w:rPr>
        <w:t>Clinical Journal of Sport Medicine, 19,</w:t>
      </w:r>
      <w:r w:rsidRPr="00A3204A">
        <w:rPr>
          <w:rFonts w:ascii="Times New Roman" w:hAnsi="Times New Roman" w:cs="Times New Roman"/>
          <w:color w:val="231F20"/>
          <w:sz w:val="24"/>
          <w:szCs w:val="24"/>
        </w:rPr>
        <w:t xml:space="preserve"> 185–200.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54" w:name="McDowell1998"/>
      <w:bookmarkEnd w:id="854"/>
      <w:r w:rsidRPr="00A3204A">
        <w:rPr>
          <w:rFonts w:ascii="Times New Roman" w:hAnsi="Times New Roman" w:cs="Times New Roman"/>
          <w:sz w:val="24"/>
          <w:szCs w:val="24"/>
        </w:rPr>
        <w:t xml:space="preserve">McDowell, S., Whyte, J., &amp; D’Esposito, M. (1998). Differential effect of a dopaminergic agonist on prefrontal function in traumatic brain injury patients. </w:t>
      </w:r>
      <w:r w:rsidRPr="00A3204A">
        <w:rPr>
          <w:rFonts w:ascii="Times New Roman" w:hAnsi="Times New Roman" w:cs="Times New Roman"/>
          <w:i/>
          <w:sz w:val="24"/>
          <w:szCs w:val="24"/>
        </w:rPr>
        <w:t xml:space="preserve">Brain, 121, </w:t>
      </w:r>
      <w:r w:rsidRPr="00A3204A">
        <w:rPr>
          <w:rFonts w:ascii="Times New Roman" w:hAnsi="Times New Roman" w:cs="Times New Roman"/>
          <w:sz w:val="24"/>
          <w:szCs w:val="24"/>
        </w:rPr>
        <w:t xml:space="preserve">1155-1164.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lastRenderedPageBreak/>
        <w:t xml:space="preserve">McFadden, K. L., Healy, K. M., Dettmann, M. L., Kaye, J. T., Ito, T. A., &amp; Hernandez, T. D. (2011). Acupressure as a non-pharmacological intervention for traumatic brain injury (TBI). </w:t>
      </w:r>
      <w:r w:rsidRPr="00A3204A">
        <w:rPr>
          <w:rFonts w:ascii="Times New Roman" w:hAnsi="Times New Roman" w:cs="Times New Roman"/>
          <w:i/>
          <w:sz w:val="24"/>
          <w:szCs w:val="24"/>
        </w:rPr>
        <w:t xml:space="preserve">Journal of Neurotrauma, 28, </w:t>
      </w:r>
      <w:r w:rsidRPr="00A3204A">
        <w:rPr>
          <w:rFonts w:ascii="Times New Roman" w:hAnsi="Times New Roman" w:cs="Times New Roman"/>
          <w:sz w:val="24"/>
          <w:szCs w:val="24"/>
        </w:rPr>
        <w:t>21-34. DOI: 10.1089/neu.2010.1515.</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McFadden, K. L., &amp; Hernandez, T. D. (2010). </w:t>
      </w:r>
      <w:r w:rsidRPr="00A3204A">
        <w:rPr>
          <w:rFonts w:ascii="Times New Roman" w:hAnsi="Times New Roman" w:cs="Times New Roman"/>
          <w:bCs/>
          <w:sz w:val="24"/>
          <w:szCs w:val="24"/>
        </w:rPr>
        <w:t xml:space="preserve">Cardiovascular benefits of acupressure (Jin Shin) following stroke. </w:t>
      </w:r>
      <w:r w:rsidRPr="00A3204A">
        <w:rPr>
          <w:rFonts w:ascii="Times New Roman" w:hAnsi="Times New Roman" w:cs="Times New Roman"/>
          <w:bCs/>
          <w:i/>
          <w:sz w:val="24"/>
          <w:szCs w:val="24"/>
        </w:rPr>
        <w:t xml:space="preserve">Complementary Therapies in Medicine, 18, </w:t>
      </w:r>
      <w:r w:rsidRPr="00A3204A">
        <w:rPr>
          <w:rFonts w:ascii="Times New Roman" w:hAnsi="Times New Roman" w:cs="Times New Roman"/>
          <w:bCs/>
          <w:sz w:val="24"/>
          <w:szCs w:val="24"/>
        </w:rPr>
        <w:t>42-48. DOI:10.1016/j.ctim.2010.01.001.</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55" w:name="McFadzean2006"/>
      <w:bookmarkEnd w:id="855"/>
      <w:r w:rsidRPr="00A3204A">
        <w:rPr>
          <w:rFonts w:ascii="Times New Roman" w:hAnsi="Times New Roman" w:cs="Times New Roman"/>
          <w:bCs/>
          <w:sz w:val="24"/>
          <w:szCs w:val="24"/>
        </w:rPr>
        <w:t xml:space="preserve">McFadzean, R. M. (2006). NovaVision: vision restoration therapy. </w:t>
      </w:r>
      <w:r w:rsidRPr="00A3204A">
        <w:rPr>
          <w:rFonts w:ascii="Times New Roman" w:hAnsi="Times New Roman" w:cs="Times New Roman"/>
          <w:bCs/>
          <w:i/>
          <w:sz w:val="24"/>
          <w:szCs w:val="24"/>
        </w:rPr>
        <w:t xml:space="preserve">Current Opinion in Ophthalmology, 17, </w:t>
      </w:r>
      <w:r w:rsidRPr="00A3204A">
        <w:rPr>
          <w:rFonts w:ascii="Times New Roman" w:hAnsi="Times New Roman" w:cs="Times New Roman"/>
          <w:bCs/>
          <w:sz w:val="24"/>
          <w:szCs w:val="24"/>
        </w:rPr>
        <w:t xml:space="preserve">498–503.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u w:val="single"/>
        </w:rPr>
      </w:pPr>
      <w:r w:rsidRPr="00A3204A">
        <w:rPr>
          <w:rFonts w:ascii="Times New Roman" w:hAnsi="Times New Roman" w:cs="Times New Roman"/>
          <w:sz w:val="24"/>
          <w:szCs w:val="24"/>
        </w:rPr>
        <w:t xml:space="preserve">McIntyre, L. A., Fergusson, D. A., Hebert, P. C., Moher, D., &amp; Hutchison, J. S. (2003). Prolonged therapeutic hypothermia after traumatic brain injury in adults a systematic review. </w:t>
      </w:r>
      <w:r w:rsidRPr="00A3204A">
        <w:rPr>
          <w:rFonts w:ascii="Times New Roman" w:hAnsi="Times New Roman" w:cs="Times New Roman"/>
          <w:i/>
          <w:sz w:val="24"/>
          <w:szCs w:val="24"/>
        </w:rPr>
        <w:t xml:space="preserve">Journal of the American Medical Association, 289(22), </w:t>
      </w:r>
      <w:r w:rsidRPr="00A3204A">
        <w:rPr>
          <w:rFonts w:ascii="Times New Roman" w:hAnsi="Times New Roman" w:cs="Times New Roman"/>
          <w:sz w:val="24"/>
          <w:szCs w:val="24"/>
        </w:rPr>
        <w:t xml:space="preserve">2992-2999. </w:t>
      </w:r>
      <w:hyperlink r:id="rId75" w:history="1">
        <w:r w:rsidRPr="00A3204A">
          <w:rPr>
            <w:rFonts w:ascii="Times New Roman" w:hAnsi="Times New Roman" w:cs="Times New Roman"/>
            <w:color w:val="0000FF"/>
            <w:sz w:val="24"/>
            <w:szCs w:val="24"/>
            <w:u w:val="single"/>
          </w:rPr>
          <w:t>http://www.JAMA.com</w:t>
        </w:r>
      </w:hyperlink>
      <w:r w:rsidRPr="00A3204A">
        <w:rPr>
          <w:rFonts w:ascii="Times New Roman" w:hAnsi="Times New Roman" w:cs="Times New Roman"/>
          <w:sz w:val="24"/>
          <w:szCs w:val="24"/>
          <w:u w:val="single"/>
        </w:rPr>
        <w:t xml:space="preserve">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u w:val="single"/>
        </w:rPr>
      </w:pPr>
      <w:r w:rsidRPr="00A3204A">
        <w:rPr>
          <w:rFonts w:ascii="Times New Roman" w:hAnsi="Times New Roman" w:cs="Times New Roman"/>
          <w:color w:val="171718"/>
          <w:sz w:val="24"/>
          <w:szCs w:val="24"/>
        </w:rPr>
        <w:t xml:space="preserve">Mehrazin, M., Nezameddini-Kachooer, S. A., Fallahi, B., Derakhshanl, M. K., Beiki, D., Ghodsi, S. M., Assadi, M., Pooyafard, F., &amp; Eftekhari, M. (2011). </w:t>
      </w:r>
      <w:r w:rsidRPr="00A3204A">
        <w:rPr>
          <w:rFonts w:ascii="Times New Roman" w:hAnsi="Times New Roman" w:cs="Times New Roman"/>
          <w:color w:val="2A303E"/>
          <w:sz w:val="24"/>
          <w:szCs w:val="24"/>
        </w:rPr>
        <w:t>Pr</w:t>
      </w:r>
      <w:r w:rsidRPr="00A3204A">
        <w:rPr>
          <w:rFonts w:ascii="Times New Roman" w:hAnsi="Times New Roman" w:cs="Times New Roman"/>
          <w:color w:val="171718"/>
          <w:sz w:val="24"/>
          <w:szCs w:val="24"/>
        </w:rPr>
        <w:t>os</w:t>
      </w:r>
      <w:r w:rsidRPr="00A3204A">
        <w:rPr>
          <w:rFonts w:ascii="Times New Roman" w:hAnsi="Times New Roman" w:cs="Times New Roman"/>
          <w:color w:val="2A303E"/>
          <w:sz w:val="24"/>
          <w:szCs w:val="24"/>
        </w:rPr>
        <w:t xml:space="preserve">pective evaluation of </w:t>
      </w:r>
      <w:r w:rsidRPr="00A3204A">
        <w:rPr>
          <w:rFonts w:ascii="Times New Roman" w:hAnsi="Times New Roman" w:cs="Times New Roman"/>
          <w:color w:val="171718"/>
          <w:sz w:val="24"/>
          <w:szCs w:val="24"/>
        </w:rPr>
        <w:t>te</w:t>
      </w:r>
      <w:r w:rsidRPr="00A3204A">
        <w:rPr>
          <w:rFonts w:ascii="Times New Roman" w:hAnsi="Times New Roman" w:cs="Times New Roman"/>
          <w:color w:val="2A303E"/>
          <w:sz w:val="24"/>
          <w:szCs w:val="24"/>
        </w:rPr>
        <w:t>chne</w:t>
      </w:r>
      <w:r w:rsidRPr="00A3204A">
        <w:rPr>
          <w:rFonts w:ascii="Times New Roman" w:hAnsi="Times New Roman" w:cs="Times New Roman"/>
          <w:color w:val="171718"/>
          <w:sz w:val="24"/>
          <w:szCs w:val="24"/>
        </w:rPr>
        <w:t>t</w:t>
      </w:r>
      <w:r w:rsidRPr="00A3204A">
        <w:rPr>
          <w:rFonts w:ascii="Times New Roman" w:hAnsi="Times New Roman" w:cs="Times New Roman"/>
          <w:color w:val="2A303E"/>
          <w:sz w:val="24"/>
          <w:szCs w:val="24"/>
        </w:rPr>
        <w:t>ium</w:t>
      </w:r>
      <w:r w:rsidRPr="00A3204A">
        <w:rPr>
          <w:rFonts w:ascii="Times New Roman" w:hAnsi="Times New Roman" w:cs="Times New Roman"/>
          <w:color w:val="171718"/>
          <w:sz w:val="24"/>
          <w:szCs w:val="24"/>
        </w:rPr>
        <w:t>-9</w:t>
      </w:r>
      <w:r w:rsidRPr="00A3204A">
        <w:rPr>
          <w:rFonts w:ascii="Times New Roman" w:hAnsi="Times New Roman" w:cs="Times New Roman"/>
          <w:color w:val="2A303E"/>
          <w:sz w:val="24"/>
          <w:szCs w:val="24"/>
        </w:rPr>
        <w:t>9m ECD SP</w:t>
      </w:r>
      <w:r w:rsidRPr="00A3204A">
        <w:rPr>
          <w:rFonts w:ascii="Times New Roman" w:hAnsi="Times New Roman" w:cs="Times New Roman"/>
          <w:color w:val="171718"/>
          <w:sz w:val="24"/>
          <w:szCs w:val="24"/>
        </w:rPr>
        <w:t>E</w:t>
      </w:r>
      <w:r w:rsidRPr="00A3204A">
        <w:rPr>
          <w:rFonts w:ascii="Times New Roman" w:hAnsi="Times New Roman" w:cs="Times New Roman"/>
          <w:color w:val="2A303E"/>
          <w:sz w:val="24"/>
          <w:szCs w:val="24"/>
        </w:rPr>
        <w:t xml:space="preserve">T </w:t>
      </w:r>
      <w:r w:rsidRPr="00A3204A">
        <w:rPr>
          <w:rFonts w:ascii="Times New Roman" w:hAnsi="Times New Roman" w:cs="Times New Roman"/>
          <w:color w:val="171718"/>
          <w:sz w:val="24"/>
          <w:szCs w:val="24"/>
        </w:rPr>
        <w:t>i</w:t>
      </w:r>
      <w:r w:rsidRPr="00A3204A">
        <w:rPr>
          <w:rFonts w:ascii="Times New Roman" w:hAnsi="Times New Roman" w:cs="Times New Roman"/>
          <w:color w:val="2A303E"/>
          <w:sz w:val="24"/>
          <w:szCs w:val="24"/>
        </w:rPr>
        <w:t>n mild tr</w:t>
      </w:r>
      <w:r w:rsidRPr="00A3204A">
        <w:rPr>
          <w:rFonts w:ascii="Times New Roman" w:hAnsi="Times New Roman" w:cs="Times New Roman"/>
          <w:color w:val="171718"/>
          <w:sz w:val="24"/>
          <w:szCs w:val="24"/>
        </w:rPr>
        <w:t>a</w:t>
      </w:r>
      <w:r w:rsidRPr="00A3204A">
        <w:rPr>
          <w:rFonts w:ascii="Times New Roman" w:hAnsi="Times New Roman" w:cs="Times New Roman"/>
          <w:color w:val="2A303E"/>
          <w:sz w:val="24"/>
          <w:szCs w:val="24"/>
        </w:rPr>
        <w:t>u</w:t>
      </w:r>
      <w:r w:rsidRPr="00A3204A">
        <w:rPr>
          <w:rFonts w:ascii="Times New Roman" w:hAnsi="Times New Roman" w:cs="Times New Roman"/>
          <w:color w:val="171718"/>
          <w:sz w:val="24"/>
          <w:szCs w:val="24"/>
        </w:rPr>
        <w:t>m</w:t>
      </w:r>
      <w:r w:rsidRPr="00A3204A">
        <w:rPr>
          <w:rFonts w:ascii="Times New Roman" w:hAnsi="Times New Roman" w:cs="Times New Roman"/>
          <w:color w:val="2A303E"/>
          <w:sz w:val="24"/>
          <w:szCs w:val="24"/>
        </w:rPr>
        <w:t>at</w:t>
      </w:r>
      <w:r w:rsidRPr="00A3204A">
        <w:rPr>
          <w:rFonts w:ascii="Times New Roman" w:hAnsi="Times New Roman" w:cs="Times New Roman"/>
          <w:color w:val="171718"/>
          <w:sz w:val="24"/>
          <w:szCs w:val="24"/>
        </w:rPr>
        <w:t>ic bra</w:t>
      </w:r>
      <w:r w:rsidRPr="00A3204A">
        <w:rPr>
          <w:rFonts w:ascii="Times New Roman" w:hAnsi="Times New Roman" w:cs="Times New Roman"/>
          <w:color w:val="2A303E"/>
          <w:sz w:val="24"/>
          <w:szCs w:val="24"/>
        </w:rPr>
        <w:t>i</w:t>
      </w:r>
      <w:r w:rsidRPr="00A3204A">
        <w:rPr>
          <w:rFonts w:ascii="Times New Roman" w:hAnsi="Times New Roman" w:cs="Times New Roman"/>
          <w:color w:val="171718"/>
          <w:sz w:val="24"/>
          <w:szCs w:val="24"/>
        </w:rPr>
        <w:t xml:space="preserve">n </w:t>
      </w:r>
      <w:r w:rsidRPr="00A3204A">
        <w:rPr>
          <w:rFonts w:ascii="Times New Roman" w:hAnsi="Times New Roman" w:cs="Times New Roman"/>
          <w:color w:val="2A303E"/>
          <w:sz w:val="24"/>
          <w:szCs w:val="24"/>
        </w:rPr>
        <w:t>injur</w:t>
      </w:r>
      <w:r w:rsidRPr="00A3204A">
        <w:rPr>
          <w:rFonts w:ascii="Times New Roman" w:hAnsi="Times New Roman" w:cs="Times New Roman"/>
          <w:color w:val="171718"/>
          <w:sz w:val="24"/>
          <w:szCs w:val="24"/>
        </w:rPr>
        <w:t xml:space="preserve">y </w:t>
      </w:r>
      <w:r w:rsidRPr="00A3204A">
        <w:rPr>
          <w:rFonts w:ascii="Times New Roman" w:hAnsi="Times New Roman" w:cs="Times New Roman"/>
          <w:color w:val="2A303E"/>
          <w:sz w:val="24"/>
          <w:szCs w:val="24"/>
        </w:rPr>
        <w:t>f</w:t>
      </w:r>
      <w:r w:rsidRPr="00A3204A">
        <w:rPr>
          <w:rFonts w:ascii="Times New Roman" w:hAnsi="Times New Roman" w:cs="Times New Roman"/>
          <w:color w:val="171718"/>
          <w:sz w:val="24"/>
          <w:szCs w:val="24"/>
        </w:rPr>
        <w:t xml:space="preserve">or </w:t>
      </w:r>
      <w:r w:rsidRPr="00A3204A">
        <w:rPr>
          <w:rFonts w:ascii="Times New Roman" w:hAnsi="Times New Roman" w:cs="Times New Roman"/>
          <w:color w:val="2A303E"/>
          <w:sz w:val="24"/>
          <w:szCs w:val="24"/>
        </w:rPr>
        <w:t xml:space="preserve">the </w:t>
      </w:r>
      <w:r w:rsidRPr="00A3204A">
        <w:rPr>
          <w:rFonts w:ascii="Times New Roman" w:hAnsi="Times New Roman" w:cs="Times New Roman"/>
          <w:color w:val="171718"/>
          <w:sz w:val="24"/>
          <w:szCs w:val="24"/>
        </w:rPr>
        <w:t>p</w:t>
      </w:r>
      <w:r w:rsidRPr="00A3204A">
        <w:rPr>
          <w:rFonts w:ascii="Times New Roman" w:hAnsi="Times New Roman" w:cs="Times New Roman"/>
          <w:color w:val="2A303E"/>
          <w:sz w:val="24"/>
          <w:szCs w:val="24"/>
        </w:rPr>
        <w:t>r</w:t>
      </w:r>
      <w:r w:rsidRPr="00A3204A">
        <w:rPr>
          <w:rFonts w:ascii="Times New Roman" w:hAnsi="Times New Roman" w:cs="Times New Roman"/>
          <w:color w:val="171718"/>
          <w:sz w:val="24"/>
          <w:szCs w:val="24"/>
        </w:rPr>
        <w:t>ed</w:t>
      </w:r>
      <w:r w:rsidRPr="00A3204A">
        <w:rPr>
          <w:rFonts w:ascii="Times New Roman" w:hAnsi="Times New Roman" w:cs="Times New Roman"/>
          <w:color w:val="2A303E"/>
          <w:sz w:val="24"/>
          <w:szCs w:val="24"/>
        </w:rPr>
        <w:t xml:space="preserve">iction </w:t>
      </w:r>
      <w:r w:rsidRPr="00A3204A">
        <w:rPr>
          <w:rFonts w:ascii="Times New Roman" w:hAnsi="Times New Roman" w:cs="Times New Roman"/>
          <w:color w:val="171718"/>
          <w:sz w:val="24"/>
          <w:szCs w:val="24"/>
        </w:rPr>
        <w:t>of sus</w:t>
      </w:r>
      <w:r w:rsidRPr="00A3204A">
        <w:rPr>
          <w:rFonts w:ascii="Times New Roman" w:hAnsi="Times New Roman" w:cs="Times New Roman"/>
          <w:color w:val="2A303E"/>
          <w:sz w:val="24"/>
          <w:szCs w:val="24"/>
        </w:rPr>
        <w:t>tai</w:t>
      </w:r>
      <w:r w:rsidRPr="00A3204A">
        <w:rPr>
          <w:rFonts w:ascii="Times New Roman" w:hAnsi="Times New Roman" w:cs="Times New Roman"/>
          <w:color w:val="171718"/>
          <w:sz w:val="24"/>
          <w:szCs w:val="24"/>
        </w:rPr>
        <w:t>ne</w:t>
      </w:r>
      <w:r w:rsidRPr="00A3204A">
        <w:rPr>
          <w:rFonts w:ascii="Times New Roman" w:hAnsi="Times New Roman" w:cs="Times New Roman"/>
          <w:color w:val="2A303E"/>
          <w:sz w:val="24"/>
          <w:szCs w:val="24"/>
        </w:rPr>
        <w:t xml:space="preserve">d </w:t>
      </w:r>
      <w:r w:rsidRPr="00A3204A">
        <w:rPr>
          <w:rFonts w:ascii="Times New Roman" w:hAnsi="Times New Roman" w:cs="Times New Roman"/>
          <w:color w:val="171718"/>
          <w:sz w:val="24"/>
          <w:szCs w:val="24"/>
        </w:rPr>
        <w:t>n</w:t>
      </w:r>
      <w:r w:rsidRPr="00A3204A">
        <w:rPr>
          <w:rFonts w:ascii="Times New Roman" w:hAnsi="Times New Roman" w:cs="Times New Roman"/>
          <w:color w:val="2A303E"/>
          <w:sz w:val="24"/>
          <w:szCs w:val="24"/>
        </w:rPr>
        <w:t>eu</w:t>
      </w:r>
      <w:r w:rsidRPr="00A3204A">
        <w:rPr>
          <w:rFonts w:ascii="Times New Roman" w:hAnsi="Times New Roman" w:cs="Times New Roman"/>
          <w:color w:val="171718"/>
          <w:sz w:val="24"/>
          <w:szCs w:val="24"/>
        </w:rPr>
        <w:t>ropsycho</w:t>
      </w:r>
      <w:r w:rsidRPr="00A3204A">
        <w:rPr>
          <w:rFonts w:ascii="Times New Roman" w:hAnsi="Times New Roman" w:cs="Times New Roman"/>
          <w:color w:val="2A303E"/>
          <w:sz w:val="24"/>
          <w:szCs w:val="24"/>
        </w:rPr>
        <w:t>lo</w:t>
      </w:r>
      <w:r w:rsidRPr="00A3204A">
        <w:rPr>
          <w:rFonts w:ascii="Times New Roman" w:hAnsi="Times New Roman" w:cs="Times New Roman"/>
          <w:color w:val="171718"/>
          <w:sz w:val="24"/>
          <w:szCs w:val="24"/>
        </w:rPr>
        <w:t>gical s</w:t>
      </w:r>
      <w:r w:rsidRPr="00A3204A">
        <w:rPr>
          <w:rFonts w:ascii="Times New Roman" w:hAnsi="Times New Roman" w:cs="Times New Roman"/>
          <w:color w:val="2A303E"/>
          <w:sz w:val="24"/>
          <w:szCs w:val="24"/>
        </w:rPr>
        <w:t>e</w:t>
      </w:r>
      <w:r w:rsidRPr="00A3204A">
        <w:rPr>
          <w:rFonts w:ascii="Times New Roman" w:hAnsi="Times New Roman" w:cs="Times New Roman"/>
          <w:color w:val="171718"/>
          <w:sz w:val="24"/>
          <w:szCs w:val="24"/>
        </w:rPr>
        <w:t xml:space="preserve">quels. </w:t>
      </w:r>
      <w:r w:rsidRPr="00A3204A">
        <w:rPr>
          <w:rFonts w:ascii="Times New Roman" w:hAnsi="Times New Roman" w:cs="Times New Roman"/>
          <w:i/>
          <w:color w:val="171718"/>
          <w:sz w:val="24"/>
          <w:szCs w:val="24"/>
        </w:rPr>
        <w:t>Hellenic Journal of Nuclear Medicine, 74(3),</w:t>
      </w:r>
      <w:r w:rsidRPr="00A3204A">
        <w:rPr>
          <w:rFonts w:ascii="Times New Roman" w:hAnsi="Times New Roman" w:cs="Times New Roman"/>
          <w:color w:val="171718"/>
          <w:sz w:val="24"/>
          <w:szCs w:val="24"/>
        </w:rPr>
        <w:t xml:space="preserve"> 243-250.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u w:val="single"/>
        </w:rPr>
      </w:pPr>
      <w:r w:rsidRPr="00A3204A">
        <w:rPr>
          <w:rFonts w:ascii="Times New Roman" w:hAnsi="Times New Roman" w:cs="Times New Roman"/>
          <w:sz w:val="24"/>
          <w:szCs w:val="24"/>
        </w:rPr>
        <w:t xml:space="preserve">Mehrholz, J., Kugler, J., &amp; Pohl, M. (2011). Water-based exercises for improving activities of daily living after stroke. </w:t>
      </w:r>
      <w:r w:rsidRPr="00A3204A">
        <w:rPr>
          <w:rFonts w:ascii="Times New Roman" w:hAnsi="Times New Roman" w:cs="Times New Roman"/>
          <w:i/>
          <w:iCs/>
          <w:sz w:val="24"/>
          <w:szCs w:val="24"/>
        </w:rPr>
        <w:t>Cochrane Database of Systematic Reviews, 1,</w:t>
      </w:r>
      <w:r w:rsidRPr="00A3204A">
        <w:rPr>
          <w:rFonts w:ascii="Times New Roman" w:hAnsi="Times New Roman" w:cs="Times New Roman"/>
          <w:iCs/>
          <w:sz w:val="24"/>
          <w:szCs w:val="24"/>
        </w:rPr>
        <w:t xml:space="preserve"> 1-26. </w:t>
      </w:r>
      <w:r w:rsidRPr="00A3204A">
        <w:rPr>
          <w:rFonts w:ascii="Times New Roman" w:hAnsi="Times New Roman" w:cs="Times New Roman"/>
          <w:sz w:val="24"/>
          <w:szCs w:val="24"/>
        </w:rPr>
        <w:t>DOI: 10.1002/14651858.CD008186.pub2.</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u w:val="single"/>
        </w:rPr>
      </w:pPr>
      <w:r w:rsidRPr="00A3204A">
        <w:rPr>
          <w:rFonts w:ascii="Times New Roman" w:hAnsi="Times New Roman" w:cs="Times New Roman"/>
          <w:color w:val="171718"/>
          <w:sz w:val="24"/>
          <w:szCs w:val="24"/>
        </w:rPr>
        <w:t xml:space="preserve">Meyer, G. J., Finn, S. E., Eyde. L, D., Kay, G. G., Moreland, K. L., Dies, R. R.,… Reed, G. M. (2001). </w:t>
      </w:r>
      <w:r w:rsidRPr="00A3204A">
        <w:rPr>
          <w:rFonts w:ascii="Times New Roman" w:hAnsi="Times New Roman" w:cs="Times New Roman"/>
          <w:sz w:val="24"/>
          <w:szCs w:val="24"/>
        </w:rPr>
        <w:t>Psychological testing and psychological assessment a</w:t>
      </w:r>
      <w:r w:rsidRPr="00A3204A">
        <w:rPr>
          <w:rFonts w:ascii="Times New Roman" w:hAnsi="Times New Roman" w:cs="Times New Roman"/>
          <w:iCs/>
          <w:sz w:val="24"/>
          <w:szCs w:val="24"/>
        </w:rPr>
        <w:t xml:space="preserve"> review of evidence and issues. </w:t>
      </w:r>
      <w:r w:rsidRPr="00A3204A">
        <w:rPr>
          <w:rFonts w:ascii="Times New Roman" w:hAnsi="Times New Roman" w:cs="Times New Roman"/>
          <w:i/>
          <w:iCs/>
          <w:sz w:val="24"/>
          <w:szCs w:val="24"/>
        </w:rPr>
        <w:t xml:space="preserve">American Psychologist, 56(2), </w:t>
      </w:r>
      <w:r w:rsidRPr="00A3204A">
        <w:rPr>
          <w:rFonts w:ascii="Times New Roman" w:hAnsi="Times New Roman" w:cs="Times New Roman"/>
          <w:iCs/>
          <w:sz w:val="24"/>
          <w:szCs w:val="24"/>
        </w:rPr>
        <w:t>128-165. DOI: 10.1037//OOO3-O66X.56.2.128.</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Meythaler, J. M., Brunner, R. C., Johnson, A., &amp; Novack, T. A. (2002). Amantadine to improve neurorecovery in traumatic brain injury – associated diffuse anoxal injury: A pilot double-blind randomized trial. </w:t>
      </w:r>
      <w:r w:rsidRPr="00A3204A">
        <w:rPr>
          <w:rFonts w:ascii="Times New Roman" w:hAnsi="Times New Roman" w:cs="Times New Roman"/>
          <w:i/>
          <w:sz w:val="24"/>
          <w:szCs w:val="24"/>
        </w:rPr>
        <w:t>Journal of Head Trauma Rehabilitation, 17(4),</w:t>
      </w:r>
      <w:r w:rsidRPr="00A3204A">
        <w:rPr>
          <w:rFonts w:ascii="Times New Roman" w:hAnsi="Times New Roman" w:cs="Times New Roman"/>
          <w:sz w:val="24"/>
          <w:szCs w:val="24"/>
        </w:rPr>
        <w:t xml:space="preserve"> 300-313.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Mishra, A., Davis S., Speers, R., &amp; Shepard, N. T. (2009). Head shake computerized dynamic posturography in peripheral vestibular lesions. </w:t>
      </w:r>
      <w:r w:rsidRPr="00A3204A">
        <w:rPr>
          <w:rFonts w:ascii="Times New Roman" w:hAnsi="Times New Roman" w:cs="Times New Roman"/>
          <w:i/>
          <w:sz w:val="24"/>
          <w:szCs w:val="24"/>
        </w:rPr>
        <w:t xml:space="preserve">American Journal of Audiology, 18, </w:t>
      </w:r>
      <w:r w:rsidRPr="00A3204A">
        <w:rPr>
          <w:rFonts w:ascii="Times New Roman" w:hAnsi="Times New Roman" w:cs="Times New Roman"/>
          <w:sz w:val="24"/>
          <w:szCs w:val="24"/>
        </w:rPr>
        <w:t xml:space="preserve">53-59. DOI: 10.1044/1059-0889(2009/06/0024).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Mittenberg, W., Canyock, E. M., Condit, D., &amp; Patton, C. (2001). Treatment of post-concussion syndrome following mild head injury</w:t>
      </w:r>
      <w:r w:rsidRPr="00A3204A">
        <w:rPr>
          <w:rFonts w:ascii="Times New Roman" w:hAnsi="Times New Roman" w:cs="Times New Roman"/>
          <w:i/>
          <w:sz w:val="24"/>
          <w:szCs w:val="24"/>
        </w:rPr>
        <w:t>. Journal of Clinical and Experimental Neuropsychology, 23(6),</w:t>
      </w:r>
      <w:r w:rsidRPr="00A3204A">
        <w:rPr>
          <w:rFonts w:ascii="Times New Roman" w:hAnsi="Times New Roman" w:cs="Times New Roman"/>
          <w:sz w:val="24"/>
          <w:szCs w:val="24"/>
        </w:rPr>
        <w:t xml:space="preserve"> 829-836).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56" w:name="Moja2005"/>
      <w:bookmarkEnd w:id="856"/>
      <w:r w:rsidRPr="00A3204A">
        <w:rPr>
          <w:rFonts w:ascii="Times New Roman" w:hAnsi="Times New Roman" w:cs="Times New Roman"/>
          <w:sz w:val="24"/>
          <w:szCs w:val="24"/>
        </w:rPr>
        <w:t xml:space="preserve">Moja, L., Cusi C., Sterzi R., &amp; Canepari C. (2005). Selective serotonin re-uptake inhibitors (SSRIs) for preventing migraine and tension-type headaches. </w:t>
      </w:r>
      <w:r w:rsidRPr="00A3204A">
        <w:rPr>
          <w:rFonts w:ascii="Times New Roman" w:hAnsi="Times New Roman" w:cs="Times New Roman"/>
          <w:i/>
          <w:sz w:val="24"/>
          <w:szCs w:val="24"/>
        </w:rPr>
        <w:t xml:space="preserve">Cochrane Database of Systematic Reviews, 3, </w:t>
      </w:r>
      <w:r w:rsidRPr="00A3204A">
        <w:rPr>
          <w:rFonts w:ascii="Times New Roman" w:hAnsi="Times New Roman" w:cs="Times New Roman"/>
          <w:sz w:val="24"/>
          <w:szCs w:val="24"/>
        </w:rPr>
        <w:t xml:space="preserve">1-69, DOI:10.1002/14651858. CD002919. pub 2.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Mooney, G. F., &amp; Haas, L. J. (1993). Effect of methylphenidate on brain injury-related anger. </w:t>
      </w:r>
      <w:r w:rsidRPr="00A3204A">
        <w:rPr>
          <w:rFonts w:ascii="Times New Roman" w:hAnsi="Times New Roman" w:cs="Times New Roman"/>
          <w:i/>
          <w:sz w:val="24"/>
          <w:szCs w:val="24"/>
        </w:rPr>
        <w:t>Archeives of Physical Medince and Rehabilitation, 74(2),</w:t>
      </w:r>
      <w:r w:rsidRPr="00A3204A">
        <w:rPr>
          <w:rFonts w:ascii="Times New Roman" w:hAnsi="Times New Roman" w:cs="Times New Roman"/>
          <w:sz w:val="24"/>
          <w:szCs w:val="24"/>
        </w:rPr>
        <w:t xml:space="preserve"> 153-160.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Morgan, S. S., Beck, W. G., &amp; Dobie, R. A. (2002). Can posturography identify informed malingerers? </w:t>
      </w:r>
      <w:r w:rsidRPr="00A3204A">
        <w:rPr>
          <w:rFonts w:ascii="Times New Roman" w:hAnsi="Times New Roman" w:cs="Times New Roman"/>
          <w:i/>
          <w:sz w:val="24"/>
          <w:szCs w:val="24"/>
        </w:rPr>
        <w:t xml:space="preserve">Otology &amp; Neurotology, 23, </w:t>
      </w:r>
      <w:r w:rsidRPr="00A3204A">
        <w:rPr>
          <w:rFonts w:ascii="Times New Roman" w:hAnsi="Times New Roman" w:cs="Times New Roman"/>
          <w:sz w:val="24"/>
          <w:szCs w:val="24"/>
        </w:rPr>
        <w:t xml:space="preserve">214-217.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lastRenderedPageBreak/>
        <w:t xml:space="preserve">Morillo, L. E. (2004). Migraine headache in adults. </w:t>
      </w:r>
      <w:r w:rsidRPr="00A3204A">
        <w:rPr>
          <w:rFonts w:ascii="Times New Roman" w:hAnsi="Times New Roman" w:cs="Times New Roman"/>
          <w:i/>
          <w:sz w:val="24"/>
          <w:szCs w:val="24"/>
        </w:rPr>
        <w:t xml:space="preserve">BMJ Publishing Group, Ltd., Clinical Evidence, 5, </w:t>
      </w:r>
      <w:r w:rsidRPr="00A3204A">
        <w:rPr>
          <w:rFonts w:ascii="Times New Roman" w:hAnsi="Times New Roman" w:cs="Times New Roman"/>
          <w:sz w:val="24"/>
          <w:szCs w:val="24"/>
        </w:rPr>
        <w:t xml:space="preserve">2-21.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57" w:name="Moseley2005"/>
      <w:bookmarkEnd w:id="857"/>
      <w:r w:rsidRPr="00A3204A">
        <w:rPr>
          <w:rFonts w:ascii="Times New Roman" w:hAnsi="Times New Roman" w:cs="Times New Roman"/>
          <w:sz w:val="24"/>
          <w:szCs w:val="24"/>
        </w:rPr>
        <w:t xml:space="preserve">Moseley, A. M., Stark, A., Cameron, </w:t>
      </w:r>
      <w:smartTag w:uri="urn:schemas-microsoft-com:office:smarttags" w:element="place">
        <w:smartTag w:uri="urn:schemas:contacts" w:element="middlename">
          <w:r w:rsidRPr="00A3204A">
            <w:rPr>
              <w:rFonts w:ascii="Times New Roman" w:hAnsi="Times New Roman" w:cs="Times New Roman"/>
              <w:sz w:val="24"/>
              <w:szCs w:val="24"/>
            </w:rPr>
            <w:t>I.</w:t>
          </w:r>
        </w:smartTag>
        <w:r w:rsidRPr="00A3204A">
          <w:rPr>
            <w:rFonts w:ascii="Times New Roman" w:hAnsi="Times New Roman" w:cs="Times New Roman"/>
            <w:sz w:val="24"/>
            <w:szCs w:val="24"/>
          </w:rPr>
          <w:t xml:space="preserve"> </w:t>
        </w:r>
        <w:smartTag w:uri="urn:schemas:contacts" w:element="middlename">
          <w:r w:rsidRPr="00A3204A">
            <w:rPr>
              <w:rFonts w:ascii="Times New Roman" w:hAnsi="Times New Roman" w:cs="Times New Roman"/>
              <w:sz w:val="24"/>
              <w:szCs w:val="24"/>
            </w:rPr>
            <w:t>D.</w:t>
          </w:r>
        </w:smartTag>
      </w:smartTag>
      <w:r w:rsidRPr="00A3204A">
        <w:rPr>
          <w:rFonts w:ascii="Times New Roman" w:hAnsi="Times New Roman" w:cs="Times New Roman"/>
          <w:sz w:val="24"/>
          <w:szCs w:val="24"/>
        </w:rPr>
        <w:t xml:space="preserve">, &amp; Pollock, A. (2005). Treadmill training and body weight support for walking after stroke. </w:t>
      </w:r>
      <w:r w:rsidRPr="00A3204A">
        <w:rPr>
          <w:rFonts w:ascii="Times New Roman" w:hAnsi="Times New Roman" w:cs="Times New Roman"/>
          <w:i/>
          <w:iCs/>
          <w:sz w:val="24"/>
          <w:szCs w:val="24"/>
        </w:rPr>
        <w:t xml:space="preserve">Cochrane Database of Systematic Reviews, 4, </w:t>
      </w:r>
      <w:r w:rsidRPr="00A3204A">
        <w:rPr>
          <w:rFonts w:ascii="Times New Roman" w:hAnsi="Times New Roman" w:cs="Times New Roman"/>
          <w:iCs/>
          <w:sz w:val="24"/>
          <w:szCs w:val="24"/>
        </w:rPr>
        <w:t>1-89</w:t>
      </w:r>
      <w:r w:rsidRPr="00A3204A">
        <w:rPr>
          <w:rFonts w:ascii="Times New Roman" w:hAnsi="Times New Roman" w:cs="Times New Roman"/>
          <w:sz w:val="24"/>
          <w:szCs w:val="24"/>
        </w:rPr>
        <w:t>. DOI: 10.1002/14651858.CD002840.pub2.</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Müller, R., &amp; Büttner, P. (1994). A critical discussion of intraclass correlation coefficients. </w:t>
      </w:r>
      <w:r w:rsidRPr="00A3204A">
        <w:rPr>
          <w:rFonts w:ascii="Times New Roman" w:hAnsi="Times New Roman" w:cs="Times New Roman"/>
          <w:i/>
          <w:sz w:val="24"/>
          <w:szCs w:val="24"/>
        </w:rPr>
        <w:t xml:space="preserve">Statistics in Medicine, 13, </w:t>
      </w:r>
      <w:r w:rsidRPr="00A3204A">
        <w:rPr>
          <w:rFonts w:ascii="Times New Roman" w:hAnsi="Times New Roman" w:cs="Times New Roman"/>
          <w:sz w:val="24"/>
          <w:szCs w:val="24"/>
        </w:rPr>
        <w:t xml:space="preserve">2465-2476.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58" w:name="Murphy2006"/>
      <w:bookmarkEnd w:id="858"/>
      <w:r w:rsidRPr="00A3204A">
        <w:rPr>
          <w:rFonts w:ascii="Times New Roman" w:hAnsi="Times New Roman" w:cs="Times New Roman"/>
          <w:sz w:val="24"/>
          <w:szCs w:val="24"/>
        </w:rPr>
        <w:t xml:space="preserve">Murphy, L., Chamberlain, E., Weir, J., Alister, B., Nathaniel-James, D., &amp; Agnew, R. (2006). Effectiveness of vocational rehabilitation following acquired brain injury: Preliminary evaluation of a </w:t>
      </w:r>
      <w:smartTag w:uri="urn:schemas-microsoft-com:office:smarttags" w:element="country-region">
        <w:smartTag w:uri="urn:schemas-microsoft-com:office:smarttags" w:element="place">
          <w:r w:rsidRPr="00A3204A">
            <w:rPr>
              <w:rFonts w:ascii="Times New Roman" w:hAnsi="Times New Roman" w:cs="Times New Roman"/>
              <w:sz w:val="24"/>
              <w:szCs w:val="24"/>
            </w:rPr>
            <w:t>UK</w:t>
          </w:r>
        </w:smartTag>
      </w:smartTag>
      <w:r w:rsidRPr="00A3204A">
        <w:rPr>
          <w:rFonts w:ascii="Times New Roman" w:hAnsi="Times New Roman" w:cs="Times New Roman"/>
          <w:sz w:val="24"/>
          <w:szCs w:val="24"/>
        </w:rPr>
        <w:t xml:space="preserve"> specialist rehabilitation programme. </w:t>
      </w:r>
      <w:r w:rsidRPr="00A3204A">
        <w:rPr>
          <w:rFonts w:ascii="Times New Roman" w:hAnsi="Times New Roman" w:cs="Times New Roman"/>
          <w:i/>
          <w:sz w:val="24"/>
          <w:szCs w:val="24"/>
        </w:rPr>
        <w:t>Brain Injury, 20(11),</w:t>
      </w:r>
      <w:r w:rsidRPr="00A3204A">
        <w:rPr>
          <w:rFonts w:ascii="Times New Roman" w:hAnsi="Times New Roman" w:cs="Times New Roman"/>
          <w:sz w:val="24"/>
          <w:szCs w:val="24"/>
        </w:rPr>
        <w:t xml:space="preserve"> 1119-1129. DOI: 10.1080/02699050600664335.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Musicco, M., Emberti, L., Nappi, G., &amp; Caltagirone, C. (2003). </w:t>
      </w:r>
      <w:r w:rsidRPr="00A3204A">
        <w:rPr>
          <w:rFonts w:ascii="Times New Roman" w:hAnsi="Times New Roman" w:cs="Times New Roman"/>
          <w:bCs/>
          <w:sz w:val="24"/>
          <w:szCs w:val="24"/>
        </w:rPr>
        <w:t xml:space="preserve">Early and long-term outcome of rehabilitation in stroke patients: The role of patient characteristics, time of initiation, and duration of interventions. </w:t>
      </w:r>
      <w:r w:rsidRPr="00A3204A">
        <w:rPr>
          <w:rFonts w:ascii="Times New Roman" w:hAnsi="Times New Roman" w:cs="Times New Roman"/>
          <w:bCs/>
          <w:i/>
          <w:sz w:val="24"/>
          <w:szCs w:val="24"/>
        </w:rPr>
        <w:t>Arch Phys Med Rehabil, 84,</w:t>
      </w:r>
      <w:r w:rsidRPr="00A3204A">
        <w:rPr>
          <w:rFonts w:ascii="Times New Roman" w:hAnsi="Times New Roman" w:cs="Times New Roman"/>
          <w:bCs/>
          <w:sz w:val="24"/>
          <w:szCs w:val="24"/>
        </w:rPr>
        <w:t xml:space="preserve"> 551-558. DOI:10.1053/apmr.2003.50084.</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Nagamatsu, L. S., Handy, T. C., Laing Hsu, C., Voss, M., &amp; Liu-Ambrose, T. (2012) Resistance training promotes cognitive and functional brain plasticity in seniors with probable mild cognitive impairment. </w:t>
      </w:r>
      <w:r w:rsidRPr="00A3204A">
        <w:rPr>
          <w:rFonts w:ascii="Times New Roman" w:hAnsi="Times New Roman" w:cs="Times New Roman"/>
          <w:i/>
          <w:sz w:val="24"/>
          <w:szCs w:val="24"/>
        </w:rPr>
        <w:t xml:space="preserve">Arch Intern Med, 172(8), </w:t>
      </w:r>
      <w:r w:rsidRPr="00A3204A">
        <w:rPr>
          <w:rFonts w:ascii="Times New Roman" w:hAnsi="Times New Roman" w:cs="Times New Roman"/>
          <w:sz w:val="24"/>
          <w:szCs w:val="24"/>
        </w:rPr>
        <w:t>666-668.</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Narayan, R. K. (2001). Hypothermia for traumatic brain injury a good idea proved ineffective. </w:t>
      </w:r>
      <w:r w:rsidRPr="00A3204A">
        <w:rPr>
          <w:rFonts w:ascii="Times New Roman" w:hAnsi="Times New Roman" w:cs="Times New Roman"/>
          <w:i/>
          <w:sz w:val="24"/>
          <w:szCs w:val="24"/>
        </w:rPr>
        <w:t xml:space="preserve">The </w:t>
      </w:r>
      <w:smartTag w:uri="urn:schemas-microsoft-com:office:smarttags" w:element="place">
        <w:r w:rsidRPr="00A3204A">
          <w:rPr>
            <w:rFonts w:ascii="Times New Roman" w:hAnsi="Times New Roman" w:cs="Times New Roman"/>
            <w:i/>
            <w:sz w:val="24"/>
            <w:szCs w:val="24"/>
          </w:rPr>
          <w:t>New England</w:t>
        </w:r>
      </w:smartTag>
      <w:r w:rsidRPr="00A3204A">
        <w:rPr>
          <w:rFonts w:ascii="Times New Roman" w:hAnsi="Times New Roman" w:cs="Times New Roman"/>
          <w:i/>
          <w:sz w:val="24"/>
          <w:szCs w:val="24"/>
        </w:rPr>
        <w:t xml:space="preserve"> Journal of Medicine, 344(8), </w:t>
      </w:r>
      <w:r w:rsidRPr="00A3204A">
        <w:rPr>
          <w:rFonts w:ascii="Times New Roman" w:hAnsi="Times New Roman" w:cs="Times New Roman"/>
          <w:sz w:val="24"/>
          <w:szCs w:val="24"/>
        </w:rPr>
        <w:t xml:space="preserve">602-603. </w:t>
      </w:r>
      <w:hyperlink r:id="rId76" w:history="1">
        <w:r w:rsidRPr="00A3204A">
          <w:rPr>
            <w:rFonts w:ascii="Times New Roman" w:hAnsi="Times New Roman" w:cs="Times New Roman"/>
            <w:color w:val="0000FF"/>
            <w:sz w:val="24"/>
            <w:szCs w:val="24"/>
            <w:u w:val="single"/>
          </w:rPr>
          <w:t>http://www.nejm.org</w:t>
        </w:r>
      </w:hyperlink>
      <w:r w:rsidRPr="00A3204A">
        <w:rPr>
          <w:rFonts w:ascii="Times New Roman" w:hAnsi="Times New Roman" w:cs="Times New Roman"/>
          <w:sz w:val="24"/>
          <w:szCs w:val="24"/>
          <w:u w:val="single"/>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Nashner, L. M. (1993). Computerized dynamic posturography: Clinical applications. </w:t>
      </w:r>
      <w:r w:rsidRPr="00A3204A">
        <w:rPr>
          <w:rFonts w:ascii="Times New Roman" w:hAnsi="Times New Roman" w:cs="Times New Roman"/>
          <w:i/>
          <w:sz w:val="24"/>
          <w:szCs w:val="24"/>
        </w:rPr>
        <w:t xml:space="preserve">Handbook of Balance Function Testing, 13,14, </w:t>
      </w:r>
      <w:r w:rsidRPr="00A3204A">
        <w:rPr>
          <w:rFonts w:ascii="Times New Roman" w:hAnsi="Times New Roman" w:cs="Times New Roman"/>
          <w:sz w:val="24"/>
          <w:szCs w:val="24"/>
        </w:rPr>
        <w:t xml:space="preserve">308-318. ISBN: 0-8016-6814-X.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Nasreddine, Z., Phillips, N., &amp; Chertkow, H. (n.d.). </w:t>
      </w:r>
      <w:smartTag w:uri="urn:schemas-microsoft-com:office:smarttags" w:element="City">
        <w:smartTag w:uri="urn:schemas-microsoft-com:office:smarttags" w:element="place">
          <w:r w:rsidRPr="00A3204A">
            <w:rPr>
              <w:rFonts w:ascii="Times New Roman" w:hAnsi="Times New Roman" w:cs="Times New Roman"/>
              <w:sz w:val="24"/>
              <w:szCs w:val="24"/>
            </w:rPr>
            <w:t>Montreal</w:t>
          </w:r>
        </w:smartTag>
      </w:smartTag>
      <w:r w:rsidRPr="00A3204A">
        <w:rPr>
          <w:rFonts w:ascii="Times New Roman" w:hAnsi="Times New Roman" w:cs="Times New Roman"/>
          <w:sz w:val="24"/>
          <w:szCs w:val="24"/>
        </w:rPr>
        <w:t xml:space="preserve"> Cognitive Assessments (MOCA) Ver.7.1, 7.2, &amp; 7.3. </w:t>
      </w:r>
      <w:hyperlink r:id="rId77" w:history="1">
        <w:r w:rsidRPr="00A3204A">
          <w:rPr>
            <w:rFonts w:ascii="Times New Roman" w:hAnsi="Times New Roman" w:cs="Times New Roman"/>
            <w:color w:val="0000FF"/>
            <w:sz w:val="24"/>
            <w:szCs w:val="24"/>
            <w:u w:val="single"/>
          </w:rPr>
          <w:t>http://www.mocatest.org</w:t>
        </w:r>
      </w:hyperlink>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u w:val="single"/>
        </w:rPr>
      </w:pPr>
      <w:bookmarkStart w:id="859" w:name="NICE2007a"/>
      <w:bookmarkEnd w:id="859"/>
      <w:r w:rsidRPr="00A3204A">
        <w:rPr>
          <w:rFonts w:ascii="Times New Roman" w:hAnsi="Times New Roman" w:cs="Times New Roman"/>
          <w:sz w:val="24"/>
          <w:szCs w:val="24"/>
        </w:rPr>
        <w:t xml:space="preserve">National Institute for Health and Clinical Excellence [NICE], (2007a). Head injury: Triage, assessment, investigation and early management of head injury in infants, children and adults. </w:t>
      </w:r>
      <w:r w:rsidRPr="00A3204A">
        <w:rPr>
          <w:rFonts w:ascii="Times New Roman" w:hAnsi="Times New Roman" w:cs="Times New Roman"/>
          <w:i/>
          <w:sz w:val="24"/>
          <w:szCs w:val="24"/>
        </w:rPr>
        <w:t xml:space="preserve">National Health Services, 56, </w:t>
      </w:r>
      <w:r w:rsidRPr="00A3204A">
        <w:rPr>
          <w:rFonts w:ascii="Times New Roman" w:hAnsi="Times New Roman" w:cs="Times New Roman"/>
          <w:sz w:val="24"/>
          <w:szCs w:val="24"/>
        </w:rPr>
        <w:t xml:space="preserve">1-56. </w:t>
      </w:r>
      <w:hyperlink r:id="rId78" w:history="1">
        <w:r w:rsidRPr="00A3204A">
          <w:rPr>
            <w:rFonts w:ascii="Times New Roman" w:hAnsi="Times New Roman" w:cs="Times New Roman"/>
            <w:color w:val="0000FF"/>
            <w:sz w:val="24"/>
            <w:szCs w:val="24"/>
            <w:u w:val="single"/>
          </w:rPr>
          <w:t>http://www.nice.org.uk</w:t>
        </w:r>
      </w:hyperlink>
      <w:r w:rsidRPr="00A3204A">
        <w:rPr>
          <w:rFonts w:ascii="Times New Roman" w:hAnsi="Times New Roman" w:cs="Times New Roman"/>
          <w:sz w:val="24"/>
          <w:szCs w:val="24"/>
          <w:u w:val="single"/>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60" w:name="NICE2007b"/>
      <w:bookmarkEnd w:id="860"/>
      <w:r w:rsidRPr="00A3204A">
        <w:rPr>
          <w:rFonts w:ascii="Times New Roman" w:hAnsi="Times New Roman" w:cs="Times New Roman"/>
          <w:sz w:val="24"/>
          <w:szCs w:val="24"/>
        </w:rPr>
        <w:t xml:space="preserve">National Institute for Health and Clinical Excellence [NICE]. (2007b). Head injury: Triage, assessment, investigation and early management of head injury in infants, children and adults, Methods, Evidence &amp; Guidance. </w:t>
      </w:r>
      <w:r w:rsidRPr="00A3204A">
        <w:rPr>
          <w:rFonts w:ascii="Times New Roman" w:hAnsi="Times New Roman" w:cs="Times New Roman"/>
          <w:i/>
          <w:sz w:val="24"/>
          <w:szCs w:val="24"/>
        </w:rPr>
        <w:t xml:space="preserve">National Collaborating Center for Acute Care, </w:t>
      </w:r>
      <w:r w:rsidRPr="00A3204A">
        <w:rPr>
          <w:rFonts w:ascii="Times New Roman" w:hAnsi="Times New Roman" w:cs="Times New Roman"/>
          <w:sz w:val="24"/>
          <w:szCs w:val="24"/>
        </w:rPr>
        <w:t xml:space="preserve">1-230, ISBN 0-9549760-5-3. </w:t>
      </w:r>
    </w:p>
    <w:p w:rsidR="00A3204A" w:rsidRPr="00A3204A" w:rsidRDefault="00A3204A" w:rsidP="009C3DC2">
      <w:pPr>
        <w:keepLines/>
        <w:widowControl w:val="0"/>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61" w:name="NICE2007c"/>
      <w:bookmarkEnd w:id="861"/>
      <w:r w:rsidRPr="00A3204A">
        <w:rPr>
          <w:rFonts w:ascii="Times New Roman" w:hAnsi="Times New Roman" w:cs="Times New Roman"/>
          <w:sz w:val="24"/>
          <w:szCs w:val="24"/>
        </w:rPr>
        <w:t xml:space="preserve">National Institute for Health and Clinical Excellence [NICE]. (2007c). Head injury: triage, assessment, investigation and early management of head injury in infants, children and adults, APPENDICES. </w:t>
      </w:r>
      <w:r w:rsidRPr="00A3204A">
        <w:rPr>
          <w:rFonts w:ascii="Times New Roman" w:hAnsi="Times New Roman" w:cs="Times New Roman"/>
          <w:i/>
          <w:sz w:val="24"/>
          <w:szCs w:val="24"/>
        </w:rPr>
        <w:t xml:space="preserve">National Collaborating Center for Acute Care, </w:t>
      </w:r>
      <w:r w:rsidRPr="00A3204A">
        <w:rPr>
          <w:rFonts w:ascii="Times New Roman" w:hAnsi="Times New Roman" w:cs="Times New Roman"/>
          <w:sz w:val="24"/>
          <w:szCs w:val="24"/>
        </w:rPr>
        <w:t xml:space="preserve">1-226, ISBN 0-9549760-5-3.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62" w:name="Naumann2008"/>
      <w:bookmarkEnd w:id="862"/>
      <w:r w:rsidRPr="00A3204A">
        <w:rPr>
          <w:rFonts w:ascii="Times New Roman" w:hAnsi="Times New Roman" w:cs="Times New Roman"/>
          <w:sz w:val="24"/>
          <w:szCs w:val="24"/>
        </w:rPr>
        <w:t xml:space="preserve">Naumann, M., So, Y., Argoff, C. E., Childers, M. K., Dykstra, D. D., Gronseth, G. S.,… Simpson, D. M. (2008). Assessment: Botulinum neurotoxin in the treatment of autonomic disorders and pain (an evidence-based review): Report of the Therapeutics and Technology Assessment Subcommittee of the </w:t>
      </w:r>
      <w:smartTag w:uri="urn:schemas-microsoft-com:office:smarttags" w:element="place">
        <w:smartTag w:uri="urn:schemas-microsoft-com:office:smarttags" w:element="PlaceName">
          <w:r w:rsidRPr="00A3204A">
            <w:rPr>
              <w:rFonts w:ascii="Times New Roman" w:hAnsi="Times New Roman" w:cs="Times New Roman"/>
              <w:sz w:val="24"/>
              <w:szCs w:val="24"/>
            </w:rPr>
            <w:t>American</w:t>
          </w:r>
        </w:smartTag>
        <w:r w:rsidRPr="00A3204A">
          <w:rPr>
            <w:rFonts w:ascii="Times New Roman" w:hAnsi="Times New Roman" w:cs="Times New Roman"/>
            <w:sz w:val="24"/>
            <w:szCs w:val="24"/>
          </w:rPr>
          <w:t xml:space="preserve"> </w:t>
        </w:r>
        <w:smartTag w:uri="urn:schemas-microsoft-com:office:smarttags" w:element="PlaceType">
          <w:r w:rsidRPr="00A3204A">
            <w:rPr>
              <w:rFonts w:ascii="Times New Roman" w:hAnsi="Times New Roman" w:cs="Times New Roman"/>
              <w:sz w:val="24"/>
              <w:szCs w:val="24"/>
            </w:rPr>
            <w:t>Academy</w:t>
          </w:r>
        </w:smartTag>
      </w:smartTag>
      <w:r w:rsidRPr="00A3204A">
        <w:rPr>
          <w:rFonts w:ascii="Times New Roman" w:hAnsi="Times New Roman" w:cs="Times New Roman"/>
          <w:sz w:val="24"/>
          <w:szCs w:val="24"/>
        </w:rPr>
        <w:t xml:space="preserve"> of Neurology. </w:t>
      </w:r>
      <w:r w:rsidRPr="00A3204A">
        <w:rPr>
          <w:rFonts w:ascii="Times New Roman" w:hAnsi="Times New Roman" w:cs="Times New Roman"/>
          <w:i/>
          <w:sz w:val="24"/>
          <w:szCs w:val="24"/>
        </w:rPr>
        <w:t>Neurology, 70,</w:t>
      </w:r>
      <w:r w:rsidRPr="00A3204A">
        <w:rPr>
          <w:rFonts w:ascii="Times New Roman" w:hAnsi="Times New Roman" w:cs="Times New Roman"/>
          <w:sz w:val="24"/>
          <w:szCs w:val="24"/>
        </w:rPr>
        <w:t xml:space="preserve"> 1707. DOI 10.1212/01. wnl.0000311390.87642. d8.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lastRenderedPageBreak/>
        <w:t xml:space="preserve">Neeper, S. A., Gomez-Pinilla, F., Choi, J., &amp; Cotman, C. (1995). Exercise and brain neurotrophins. </w:t>
      </w:r>
      <w:r w:rsidRPr="00A3204A">
        <w:rPr>
          <w:rFonts w:ascii="Times New Roman" w:hAnsi="Times New Roman" w:cs="Times New Roman"/>
          <w:i/>
          <w:sz w:val="24"/>
          <w:szCs w:val="24"/>
        </w:rPr>
        <w:t xml:space="preserve">Nature, 373, </w:t>
      </w:r>
      <w:r w:rsidRPr="00A3204A">
        <w:rPr>
          <w:rFonts w:ascii="Times New Roman" w:hAnsi="Times New Roman" w:cs="Times New Roman"/>
          <w:sz w:val="24"/>
          <w:szCs w:val="24"/>
        </w:rPr>
        <w:t xml:space="preserve">109.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Nestoriuc, Y., Martin, A., Rief, W., &amp; Andrasik, F. (2008a). Biofeedback treatment for headache disorders: A comprehensive efficacy review. </w:t>
      </w:r>
      <w:r w:rsidRPr="00A3204A">
        <w:rPr>
          <w:rFonts w:ascii="Times New Roman" w:hAnsi="Times New Roman" w:cs="Times New Roman"/>
          <w:i/>
          <w:sz w:val="24"/>
          <w:szCs w:val="24"/>
        </w:rPr>
        <w:t xml:space="preserve">Appl Psychophysiol Biofeedback, 33, </w:t>
      </w:r>
      <w:r w:rsidRPr="00A3204A">
        <w:rPr>
          <w:rFonts w:ascii="Times New Roman" w:hAnsi="Times New Roman" w:cs="Times New Roman"/>
          <w:sz w:val="24"/>
          <w:szCs w:val="24"/>
        </w:rPr>
        <w:t>125–140. DOI 10.1007/s10484-008-9060-3.</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Nestoriuc, Y., Rief, W., &amp; Martin, A. (2008b). Meta-analysis of biofeedback for tension-type headache: Efficacy, specificity, and treatment moderators. </w:t>
      </w:r>
      <w:r w:rsidRPr="00A3204A">
        <w:rPr>
          <w:rFonts w:ascii="Times New Roman" w:hAnsi="Times New Roman" w:cs="Times New Roman"/>
          <w:i/>
          <w:sz w:val="24"/>
          <w:szCs w:val="24"/>
        </w:rPr>
        <w:t xml:space="preserve">Journal of Consulting and Clinical Psychology, 76(3), </w:t>
      </w:r>
      <w:r w:rsidRPr="00A3204A">
        <w:rPr>
          <w:rFonts w:ascii="Times New Roman" w:hAnsi="Times New Roman" w:cs="Times New Roman"/>
          <w:sz w:val="24"/>
          <w:szCs w:val="24"/>
        </w:rPr>
        <w:t>379–396. DOI: 10.1037/0022-006X.76.3.379.</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Novack, T. A., Banos, J. H., Brunner, R., Renfroe, S., &amp; Meythaler, J. M. (2009). Impact of early administration of sertraline on depressive symptoms in the first year after traumatic brain injury. </w:t>
      </w:r>
      <w:r w:rsidRPr="00A3204A">
        <w:rPr>
          <w:rFonts w:ascii="Times New Roman" w:hAnsi="Times New Roman" w:cs="Times New Roman"/>
          <w:i/>
          <w:sz w:val="24"/>
          <w:szCs w:val="24"/>
        </w:rPr>
        <w:t xml:space="preserve">Journal of Neurotrauma, 26, </w:t>
      </w:r>
      <w:r w:rsidRPr="00A3204A">
        <w:rPr>
          <w:rFonts w:ascii="Times New Roman" w:hAnsi="Times New Roman" w:cs="Times New Roman"/>
          <w:sz w:val="24"/>
          <w:szCs w:val="24"/>
        </w:rPr>
        <w:t>1921-1928. DOI: 10.1089=neu.2009.0895.</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Nuwer, M. R., Hovda, D. A., Schrader, L. M., &amp; Vespa, P. M. (2005). Invited review routine and quantitive EEG in mild traumatic brain injury. </w:t>
      </w:r>
      <w:r w:rsidRPr="00A3204A">
        <w:rPr>
          <w:rFonts w:ascii="Times New Roman" w:hAnsi="Times New Roman" w:cs="Times New Roman"/>
          <w:i/>
          <w:sz w:val="24"/>
          <w:szCs w:val="24"/>
        </w:rPr>
        <w:t xml:space="preserve">Clinical Neurophysiology, 116, </w:t>
      </w:r>
      <w:r w:rsidRPr="00A3204A">
        <w:rPr>
          <w:rFonts w:ascii="Times New Roman" w:hAnsi="Times New Roman" w:cs="Times New Roman"/>
          <w:sz w:val="24"/>
          <w:szCs w:val="24"/>
        </w:rPr>
        <w:t>2001-2025. DOI:10.1016/j.clinph.2005.05.008.</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O’Neill, D. E, Gill-Body, K. M., &amp; Krebs, D. E. (1998). Posturography changes do not predict functional performance changes. </w:t>
      </w:r>
      <w:r w:rsidRPr="00A3204A">
        <w:rPr>
          <w:rFonts w:ascii="Times New Roman" w:hAnsi="Times New Roman" w:cs="Times New Roman"/>
          <w:i/>
          <w:sz w:val="24"/>
          <w:szCs w:val="24"/>
        </w:rPr>
        <w:t xml:space="preserve">The American Journal of Otology, 19, </w:t>
      </w:r>
      <w:r w:rsidRPr="00A3204A">
        <w:rPr>
          <w:rFonts w:ascii="Times New Roman" w:hAnsi="Times New Roman" w:cs="Times New Roman"/>
          <w:sz w:val="24"/>
          <w:szCs w:val="24"/>
        </w:rPr>
        <w:t xml:space="preserve">797-803.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Orff, H. J., Ayalon, L., &amp; Drummond, S. P. A. (2009). Traumatic brain injury and sleep disturbance: A review of current research. </w:t>
      </w:r>
      <w:r w:rsidRPr="00A3204A">
        <w:rPr>
          <w:rFonts w:ascii="Times New Roman" w:hAnsi="Times New Roman" w:cs="Times New Roman"/>
          <w:i/>
          <w:sz w:val="24"/>
          <w:szCs w:val="24"/>
        </w:rPr>
        <w:t xml:space="preserve">Journal of Head Trauma Rehabilitation, 24(3), </w:t>
      </w:r>
      <w:r w:rsidRPr="00A3204A">
        <w:rPr>
          <w:rFonts w:ascii="Times New Roman" w:hAnsi="Times New Roman" w:cs="Times New Roman"/>
          <w:sz w:val="24"/>
          <w:szCs w:val="24"/>
        </w:rPr>
        <w:t>155-165.</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u w:val="single"/>
        </w:rPr>
      </w:pPr>
      <w:r w:rsidRPr="00A3204A">
        <w:rPr>
          <w:rFonts w:ascii="Times New Roman" w:hAnsi="Times New Roman" w:cs="Times New Roman"/>
          <w:sz w:val="24"/>
          <w:szCs w:val="24"/>
        </w:rPr>
        <w:t xml:space="preserve">Orman, J. A. L., Kraus, J. F., Zaloshnja, E. &amp; Miller, T. (2011). Epidemiology. </w:t>
      </w:r>
      <w:r w:rsidRPr="00A3204A">
        <w:rPr>
          <w:rFonts w:ascii="Times New Roman" w:hAnsi="Times New Roman" w:cs="Times New Roman"/>
          <w:i/>
          <w:sz w:val="24"/>
          <w:szCs w:val="24"/>
        </w:rPr>
        <w:t>American Psychiatric Association, 1,</w:t>
      </w:r>
      <w:r w:rsidRPr="00A3204A">
        <w:rPr>
          <w:rFonts w:ascii="Times New Roman" w:hAnsi="Times New Roman" w:cs="Times New Roman"/>
          <w:sz w:val="24"/>
          <w:szCs w:val="24"/>
        </w:rPr>
        <w:t xml:space="preserve"> 1-9. DOI: 10.1176/appl. books.9781585624201.670001. </w:t>
      </w:r>
      <w:hyperlink r:id="rId79" w:history="1">
        <w:r w:rsidRPr="00A3204A">
          <w:rPr>
            <w:rFonts w:ascii="Times New Roman" w:hAnsi="Times New Roman" w:cs="Times New Roman"/>
            <w:color w:val="0000FF"/>
            <w:sz w:val="24"/>
            <w:szCs w:val="24"/>
            <w:u w:val="single"/>
          </w:rPr>
          <w:t>http://www.psychiatryonline.com</w:t>
        </w:r>
      </w:hyperlink>
      <w:r w:rsidRPr="00A3204A">
        <w:rPr>
          <w:rFonts w:ascii="Times New Roman" w:hAnsi="Times New Roman" w:cs="Times New Roman"/>
          <w:sz w:val="24"/>
          <w:szCs w:val="24"/>
          <w:u w:val="single"/>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u w:val="single"/>
        </w:rPr>
      </w:pPr>
      <w:bookmarkStart w:id="863" w:name="OutpatientServTri2003"/>
      <w:bookmarkEnd w:id="863"/>
      <w:r w:rsidRPr="00A3204A">
        <w:rPr>
          <w:rFonts w:ascii="Times New Roman" w:hAnsi="Times New Roman" w:cs="Times New Roman"/>
          <w:sz w:val="24"/>
          <w:szCs w:val="24"/>
        </w:rPr>
        <w:t xml:space="preserve">Outpatient Service Trialists. (2003). Therapy-based rehabilitation services for stroke patients at home. </w:t>
      </w:r>
      <w:r w:rsidRPr="00A3204A">
        <w:rPr>
          <w:rFonts w:ascii="Times New Roman" w:hAnsi="Times New Roman" w:cs="Times New Roman"/>
          <w:i/>
          <w:iCs/>
          <w:sz w:val="24"/>
          <w:szCs w:val="24"/>
        </w:rPr>
        <w:t>Cochrane Database of Systematic Reviews, 1,</w:t>
      </w:r>
      <w:r w:rsidRPr="00A3204A">
        <w:rPr>
          <w:rFonts w:ascii="Times New Roman" w:hAnsi="Times New Roman" w:cs="Times New Roman"/>
          <w:iCs/>
          <w:sz w:val="24"/>
          <w:szCs w:val="24"/>
        </w:rPr>
        <w:t xml:space="preserve"> 1-68. </w:t>
      </w:r>
      <w:r w:rsidRPr="00A3204A">
        <w:rPr>
          <w:rFonts w:ascii="Times New Roman" w:hAnsi="Times New Roman" w:cs="Times New Roman"/>
          <w:sz w:val="24"/>
          <w:szCs w:val="24"/>
        </w:rPr>
        <w:t xml:space="preserve">DOI: 10.1002/14651858.CD002925.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u w:val="single"/>
        </w:rPr>
      </w:pPr>
      <w:r w:rsidRPr="00A3204A">
        <w:rPr>
          <w:rFonts w:ascii="Times New Roman" w:hAnsi="Times New Roman" w:cs="Times New Roman"/>
          <w:sz w:val="24"/>
          <w:szCs w:val="24"/>
        </w:rPr>
        <w:t xml:space="preserve">Ozdemir, F., Birtane, M., Tabatabaei, R., Kokino, S., &amp; Ekuklu, G. (2001). </w:t>
      </w:r>
      <w:r w:rsidRPr="00A3204A">
        <w:rPr>
          <w:rFonts w:ascii="Times New Roman" w:hAnsi="Times New Roman" w:cs="Times New Roman"/>
          <w:bCs/>
          <w:sz w:val="24"/>
          <w:szCs w:val="24"/>
        </w:rPr>
        <w:t xml:space="preserve">Comparing stroke rehabilitation outcomes between acute inpatient and nonintense home settings. </w:t>
      </w:r>
      <w:r w:rsidRPr="00A3204A">
        <w:rPr>
          <w:rFonts w:ascii="Times New Roman" w:hAnsi="Times New Roman" w:cs="Times New Roman"/>
          <w:bCs/>
          <w:i/>
          <w:sz w:val="24"/>
          <w:szCs w:val="24"/>
        </w:rPr>
        <w:t>Arch Phys Med Rehabil, 82,</w:t>
      </w:r>
      <w:r w:rsidRPr="00A3204A">
        <w:rPr>
          <w:rFonts w:ascii="Times New Roman" w:hAnsi="Times New Roman" w:cs="Times New Roman"/>
          <w:bCs/>
          <w:sz w:val="24"/>
          <w:szCs w:val="24"/>
        </w:rPr>
        <w:t xml:space="preserve"> 1375-1379. DOI:10.1053/apmr.2001.25973.</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u w:val="single"/>
        </w:rPr>
      </w:pPr>
      <w:r w:rsidRPr="00A3204A">
        <w:rPr>
          <w:rFonts w:ascii="Times New Roman" w:hAnsi="Times New Roman" w:cs="Times New Roman"/>
          <w:bCs/>
          <w:sz w:val="24"/>
          <w:szCs w:val="24"/>
        </w:rPr>
        <w:t xml:space="preserve">Padula, W. V., &amp; Argyris, S. (1996). Post trauma vision syndrome and visual midline shift syndrome. </w:t>
      </w:r>
      <w:r w:rsidRPr="00A3204A">
        <w:rPr>
          <w:rFonts w:ascii="Times New Roman" w:hAnsi="Times New Roman" w:cs="Times New Roman"/>
          <w:bCs/>
          <w:i/>
          <w:sz w:val="24"/>
          <w:szCs w:val="24"/>
        </w:rPr>
        <w:t>NeuroRehabilitation, 6,</w:t>
      </w:r>
      <w:r w:rsidRPr="00A3204A">
        <w:rPr>
          <w:rFonts w:ascii="Times New Roman" w:hAnsi="Times New Roman" w:cs="Times New Roman"/>
          <w:bCs/>
          <w:sz w:val="24"/>
          <w:szCs w:val="24"/>
        </w:rPr>
        <w:t xml:space="preserve"> 165-171. http://www.padulainstitute.com/post_trauma_vision_syndrome.htm</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Pang, M. Y. C., Lam, F. M., Wong, G. H., </w:t>
      </w:r>
      <w:smartTag w:uri="urn:schemas-microsoft-com:office:smarttags" w:element="place">
        <w:smartTag w:uri="urn:schemas:contacts" w:element="middlename">
          <w:r w:rsidRPr="00A3204A">
            <w:rPr>
              <w:rFonts w:ascii="Times New Roman" w:hAnsi="Times New Roman" w:cs="Times New Roman"/>
              <w:sz w:val="24"/>
              <w:szCs w:val="24"/>
            </w:rPr>
            <w:t>Au</w:t>
          </w:r>
        </w:smartTag>
        <w:r w:rsidRPr="00A3204A">
          <w:rPr>
            <w:rFonts w:ascii="Times New Roman" w:hAnsi="Times New Roman" w:cs="Times New Roman"/>
            <w:sz w:val="24"/>
            <w:szCs w:val="24"/>
          </w:rPr>
          <w:t xml:space="preserve"> </w:t>
        </w:r>
        <w:smartTag w:uri="urn:schemas:contacts" w:element="middlename">
          <w:r w:rsidRPr="00A3204A">
            <w:rPr>
              <w:rFonts w:ascii="Times New Roman" w:hAnsi="Times New Roman" w:cs="Times New Roman"/>
              <w:sz w:val="24"/>
              <w:szCs w:val="24"/>
            </w:rPr>
            <w:t>I.</w:t>
          </w:r>
        </w:smartTag>
      </w:smartTag>
      <w:r w:rsidRPr="00A3204A">
        <w:rPr>
          <w:rFonts w:ascii="Times New Roman" w:hAnsi="Times New Roman" w:cs="Times New Roman"/>
          <w:sz w:val="24"/>
          <w:szCs w:val="24"/>
        </w:rPr>
        <w:t xml:space="preserve"> H, &amp; Chow, D. L. (2011). Balance performance in head-shake computerized dynamic posturography: Aging effects and test-retest reliability. </w:t>
      </w:r>
      <w:r w:rsidRPr="00A3204A">
        <w:rPr>
          <w:rFonts w:ascii="Times New Roman" w:hAnsi="Times New Roman" w:cs="Times New Roman"/>
          <w:i/>
          <w:sz w:val="24"/>
          <w:szCs w:val="24"/>
        </w:rPr>
        <w:t xml:space="preserve">Physical Therapy, 91(2), </w:t>
      </w:r>
      <w:r w:rsidRPr="00A3204A">
        <w:rPr>
          <w:rFonts w:ascii="Times New Roman" w:hAnsi="Times New Roman" w:cs="Times New Roman"/>
          <w:sz w:val="24"/>
          <w:szCs w:val="24"/>
        </w:rPr>
        <w:t xml:space="preserve">246-253. DOI:10.2522/ptj.20100221.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Patel, R., Ciuffreda, K. J., Tannen, B., &amp; Kapoor, N. (2011). Elevated coherent motion thresholds in mild traumatic brain injury. </w:t>
      </w:r>
      <w:r w:rsidRPr="00A3204A">
        <w:rPr>
          <w:rFonts w:ascii="Times New Roman" w:hAnsi="Times New Roman" w:cs="Times New Roman"/>
          <w:i/>
          <w:sz w:val="24"/>
          <w:szCs w:val="24"/>
        </w:rPr>
        <w:t xml:space="preserve">American Optometric Association, 82, </w:t>
      </w:r>
      <w:r w:rsidRPr="00A3204A">
        <w:rPr>
          <w:rFonts w:ascii="Times New Roman" w:hAnsi="Times New Roman" w:cs="Times New Roman"/>
          <w:sz w:val="24"/>
          <w:szCs w:val="24"/>
        </w:rPr>
        <w:t xml:space="preserve">284-289. DOI:10.1016/J. OPTM.2010.10.012.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lastRenderedPageBreak/>
        <w:t xml:space="preserve">Pavlou, M., Lingeswaran, A., Davies, R. A., Gresty, M. A., &amp; Bronstein, A. M. (2004). Simulator based rehabilitation in refractory dizziness. </w:t>
      </w:r>
      <w:r w:rsidRPr="00A3204A">
        <w:rPr>
          <w:rFonts w:ascii="Times New Roman" w:hAnsi="Times New Roman" w:cs="Times New Roman"/>
          <w:i/>
          <w:sz w:val="24"/>
          <w:szCs w:val="24"/>
        </w:rPr>
        <w:t>Journal or Neurology, 251,</w:t>
      </w:r>
      <w:r w:rsidRPr="00A3204A">
        <w:rPr>
          <w:rFonts w:ascii="Times New Roman" w:hAnsi="Times New Roman" w:cs="Times New Roman"/>
          <w:sz w:val="24"/>
          <w:szCs w:val="24"/>
        </w:rPr>
        <w:t xml:space="preserve"> 983-995. DOI: 10.1007/s00415-004-0476-2.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64" w:name="Pelak2007"/>
      <w:bookmarkEnd w:id="864"/>
      <w:r w:rsidRPr="00A3204A">
        <w:rPr>
          <w:rFonts w:ascii="Times New Roman" w:hAnsi="Times New Roman" w:cs="Times New Roman"/>
          <w:sz w:val="24"/>
          <w:szCs w:val="24"/>
        </w:rPr>
        <w:t xml:space="preserve">Pelak, V. S., Dubin, M, &amp; Whitney, E. (2007). Homonymous hemianopia: A critical analysis of optical devices, compensatory training, and NovaVision. </w:t>
      </w:r>
      <w:r w:rsidRPr="00A3204A">
        <w:rPr>
          <w:rFonts w:ascii="Times New Roman" w:hAnsi="Times New Roman" w:cs="Times New Roman"/>
          <w:i/>
          <w:sz w:val="24"/>
          <w:szCs w:val="24"/>
        </w:rPr>
        <w:t xml:space="preserve">Current Treatment Options in Neurology, 9(1), </w:t>
      </w:r>
      <w:r w:rsidRPr="00A3204A">
        <w:rPr>
          <w:rFonts w:ascii="Times New Roman" w:hAnsi="Times New Roman" w:cs="Times New Roman"/>
          <w:sz w:val="24"/>
          <w:szCs w:val="24"/>
        </w:rPr>
        <w:t>41-47. DOI: 10.1007/s11940-007-0029-y.</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Perel, P., Roberts, P. P., Shakur, </w:t>
      </w:r>
      <w:smartTag w:uri="urn:schemas-microsoft-com:office:smarttags" w:element="place">
        <w:r w:rsidRPr="00A3204A">
          <w:rPr>
            <w:rFonts w:ascii="Times New Roman" w:hAnsi="Times New Roman" w:cs="Times New Roman"/>
            <w:sz w:val="24"/>
            <w:szCs w:val="24"/>
          </w:rPr>
          <w:t>I.</w:t>
        </w:r>
      </w:smartTag>
      <w:r w:rsidRPr="00A3204A">
        <w:rPr>
          <w:rFonts w:ascii="Times New Roman" w:hAnsi="Times New Roman" w:cs="Times New Roman"/>
          <w:sz w:val="24"/>
          <w:szCs w:val="24"/>
        </w:rPr>
        <w:t xml:space="preserve">, Thinkhamrop H., Phuenpathom, B., &amp; Yutthakasemsunt S. (2010). Haemostatic drugs for traumatic brain injury (Review). </w:t>
      </w:r>
      <w:r w:rsidRPr="00A3204A">
        <w:rPr>
          <w:rFonts w:ascii="Times New Roman" w:hAnsi="Times New Roman" w:cs="Times New Roman"/>
          <w:bCs/>
          <w:i/>
          <w:sz w:val="24"/>
          <w:szCs w:val="24"/>
        </w:rPr>
        <w:t>Cochrane Database of Systematic Reviews</w:t>
      </w:r>
      <w:r w:rsidRPr="00A3204A">
        <w:rPr>
          <w:rFonts w:ascii="Times New Roman" w:hAnsi="Times New Roman" w:cs="Times New Roman"/>
          <w:i/>
          <w:sz w:val="24"/>
          <w:szCs w:val="24"/>
        </w:rPr>
        <w:t xml:space="preserve">, 1, </w:t>
      </w:r>
      <w:r w:rsidRPr="00A3204A">
        <w:rPr>
          <w:rFonts w:ascii="Times New Roman" w:hAnsi="Times New Roman" w:cs="Times New Roman"/>
          <w:sz w:val="24"/>
          <w:szCs w:val="24"/>
        </w:rPr>
        <w:t xml:space="preserve">1-17 </w:t>
      </w:r>
      <w:hyperlink r:id="rId80" w:history="1">
        <w:r w:rsidRPr="00A3204A">
          <w:rPr>
            <w:rFonts w:ascii="Times New Roman" w:hAnsi="Times New Roman" w:cs="Times New Roman"/>
            <w:color w:val="0000FF"/>
            <w:sz w:val="24"/>
            <w:szCs w:val="24"/>
            <w:u w:val="single"/>
          </w:rPr>
          <w:t>http://www.thecochranelibrary.com</w:t>
        </w:r>
      </w:hyperlink>
      <w:r w:rsidRPr="00A3204A">
        <w:rPr>
          <w:rFonts w:ascii="Times New Roman" w:hAnsi="Times New Roman" w:cs="Times New Roman"/>
          <w:sz w:val="24"/>
          <w:szCs w:val="24"/>
          <w:u w:val="single"/>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Perel, P., Yanagawa, T., Bunn, F., Roberts, </w:t>
      </w:r>
      <w:smartTag w:uri="urn:schemas-microsoft-com:office:smarttags" w:element="place">
        <w:r w:rsidRPr="00A3204A">
          <w:rPr>
            <w:rFonts w:ascii="Times New Roman" w:hAnsi="Times New Roman" w:cs="Times New Roman"/>
            <w:sz w:val="24"/>
            <w:szCs w:val="24"/>
          </w:rPr>
          <w:t>I.</w:t>
        </w:r>
      </w:smartTag>
      <w:r w:rsidRPr="00A3204A">
        <w:rPr>
          <w:rFonts w:ascii="Times New Roman" w:hAnsi="Times New Roman" w:cs="Times New Roman"/>
          <w:sz w:val="24"/>
          <w:szCs w:val="24"/>
        </w:rPr>
        <w:t xml:space="preserve"> G., &amp; Wentz, R. (2006). </w:t>
      </w:r>
      <w:r w:rsidRPr="00A3204A">
        <w:rPr>
          <w:rFonts w:ascii="Times New Roman" w:hAnsi="Times New Roman" w:cs="Times New Roman"/>
          <w:bCs/>
          <w:sz w:val="24"/>
          <w:szCs w:val="24"/>
        </w:rPr>
        <w:t>Nutritional support for head-injured patients (Review)</w:t>
      </w:r>
      <w:r w:rsidRPr="00A3204A">
        <w:rPr>
          <w:rFonts w:ascii="Times New Roman" w:hAnsi="Times New Roman" w:cs="Times New Roman"/>
          <w:sz w:val="24"/>
          <w:szCs w:val="24"/>
        </w:rPr>
        <w:t xml:space="preserve">. </w:t>
      </w:r>
      <w:r w:rsidRPr="00A3204A">
        <w:rPr>
          <w:rFonts w:ascii="Times New Roman" w:hAnsi="Times New Roman" w:cs="Times New Roman"/>
          <w:bCs/>
          <w:i/>
          <w:sz w:val="24"/>
          <w:szCs w:val="24"/>
        </w:rPr>
        <w:t>Cochrane Database of Systematic Reviews</w:t>
      </w:r>
      <w:r w:rsidRPr="00A3204A">
        <w:rPr>
          <w:rFonts w:ascii="Times New Roman" w:hAnsi="Times New Roman" w:cs="Times New Roman"/>
          <w:i/>
          <w:sz w:val="24"/>
          <w:szCs w:val="24"/>
        </w:rPr>
        <w:t xml:space="preserve">, 4, </w:t>
      </w:r>
      <w:r w:rsidRPr="00A3204A">
        <w:rPr>
          <w:rFonts w:ascii="Times New Roman" w:hAnsi="Times New Roman" w:cs="Times New Roman"/>
          <w:sz w:val="24"/>
          <w:szCs w:val="24"/>
        </w:rPr>
        <w:t xml:space="preserve">1-22. </w:t>
      </w:r>
      <w:hyperlink r:id="rId81" w:history="1">
        <w:r w:rsidRPr="00A3204A">
          <w:rPr>
            <w:rFonts w:ascii="Times New Roman" w:hAnsi="Times New Roman" w:cs="Times New Roman"/>
            <w:color w:val="0000FF"/>
            <w:sz w:val="24"/>
            <w:szCs w:val="24"/>
            <w:u w:val="single"/>
          </w:rPr>
          <w:t>http://www.thecochranelibrary.com</w:t>
        </w:r>
      </w:hyperlink>
      <w:r w:rsidRPr="00A3204A">
        <w:rPr>
          <w:rFonts w:ascii="Times New Roman" w:hAnsi="Times New Roman" w:cs="Times New Roman"/>
          <w:sz w:val="24"/>
          <w:szCs w:val="24"/>
          <w:u w:val="single"/>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Pẻrez, N., Martin, E., &amp; Garcia-Tapia, R. (2003). Dizziness relating the severity of vertigo to the degree of handicap by measuring vestibular impairment. </w:t>
      </w:r>
      <w:r w:rsidRPr="00A3204A">
        <w:rPr>
          <w:rFonts w:ascii="Times New Roman" w:hAnsi="Times New Roman" w:cs="Times New Roman"/>
          <w:i/>
          <w:sz w:val="24"/>
          <w:szCs w:val="24"/>
        </w:rPr>
        <w:t xml:space="preserve">Otolaryngology – Head and Neck Surgery, 128, </w:t>
      </w:r>
      <w:r w:rsidRPr="00A3204A">
        <w:rPr>
          <w:rFonts w:ascii="Times New Roman" w:hAnsi="Times New Roman" w:cs="Times New Roman"/>
          <w:sz w:val="24"/>
          <w:szCs w:val="24"/>
        </w:rPr>
        <w:t xml:space="preserve">372-381. DOI:10.1067/mhn.2003.102.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Perez-Lloret, S., &amp; Rascol, O. (2010). Dopamine receptor agonists for the treatment of early or advanced Parkinson's Disease. </w:t>
      </w:r>
      <w:r w:rsidRPr="00A3204A">
        <w:rPr>
          <w:rFonts w:ascii="Times New Roman" w:hAnsi="Times New Roman" w:cs="Times New Roman"/>
          <w:i/>
          <w:sz w:val="24"/>
          <w:szCs w:val="24"/>
        </w:rPr>
        <w:t xml:space="preserve">CNS Drugs, 24(11), </w:t>
      </w:r>
      <w:r w:rsidRPr="00A3204A">
        <w:rPr>
          <w:rFonts w:ascii="Times New Roman" w:hAnsi="Times New Roman" w:cs="Times New Roman"/>
          <w:sz w:val="24"/>
          <w:szCs w:val="24"/>
        </w:rPr>
        <w:t xml:space="preserve">941-968.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865" w:name="Permsirivanich2009"/>
      <w:bookmarkEnd w:id="865"/>
      <w:r w:rsidRPr="00A3204A">
        <w:rPr>
          <w:rFonts w:ascii="Times New Roman" w:hAnsi="Times New Roman" w:cs="Times New Roman"/>
          <w:color w:val="231F20"/>
          <w:sz w:val="24"/>
          <w:szCs w:val="24"/>
        </w:rPr>
        <w:t xml:space="preserve">Permsirivanich, W., Tipchatyotin, S., Wongchai, M., Leelamanit, V., Setthawatcharawanich, S., Sathirapanya, P.,… Boonmeeprakob, A. (2009). </w:t>
      </w:r>
      <w:r w:rsidRPr="00A3204A">
        <w:rPr>
          <w:rFonts w:ascii="Times New Roman" w:hAnsi="Times New Roman" w:cs="Times New Roman"/>
          <w:bCs/>
          <w:color w:val="231F20"/>
          <w:sz w:val="24"/>
          <w:szCs w:val="24"/>
        </w:rPr>
        <w:t xml:space="preserve">Comparing the effects of rehabilitation swallowing therapy vs. neuromuscular electrical stimulation therapy among stroke patients with persistent pharyngeal dysphagia: A randomized controlled study. </w:t>
      </w:r>
      <w:r w:rsidRPr="00A3204A">
        <w:rPr>
          <w:rFonts w:ascii="Times New Roman" w:hAnsi="Times New Roman" w:cs="Times New Roman"/>
          <w:bCs/>
          <w:i/>
          <w:color w:val="231F20"/>
          <w:sz w:val="24"/>
          <w:szCs w:val="24"/>
        </w:rPr>
        <w:t xml:space="preserve">J Medicine Assoc Thai, 92(2), </w:t>
      </w:r>
      <w:r w:rsidRPr="00A3204A">
        <w:rPr>
          <w:rFonts w:ascii="Times New Roman" w:hAnsi="Times New Roman" w:cs="Times New Roman"/>
          <w:bCs/>
          <w:color w:val="231F20"/>
          <w:sz w:val="24"/>
          <w:szCs w:val="24"/>
        </w:rPr>
        <w:t xml:space="preserve">259-265.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Polderman, K. H. (2008a). Induced hypothermia and fever control for prevention and treatment of neurological injuries. </w:t>
      </w:r>
      <w:r w:rsidRPr="00A3204A">
        <w:rPr>
          <w:rFonts w:ascii="Times New Roman" w:hAnsi="Times New Roman" w:cs="Times New Roman"/>
          <w:i/>
          <w:sz w:val="24"/>
          <w:szCs w:val="24"/>
        </w:rPr>
        <w:t xml:space="preserve">The Lancet, 371, </w:t>
      </w:r>
      <w:r w:rsidRPr="00A3204A">
        <w:rPr>
          <w:rFonts w:ascii="Times New Roman" w:hAnsi="Times New Roman" w:cs="Times New Roman"/>
          <w:sz w:val="24"/>
          <w:szCs w:val="24"/>
        </w:rPr>
        <w:t xml:space="preserve">1955-1969. </w:t>
      </w:r>
      <w:hyperlink r:id="rId82" w:history="1">
        <w:r w:rsidRPr="00A3204A">
          <w:rPr>
            <w:rFonts w:ascii="Times New Roman" w:hAnsi="Times New Roman" w:cs="Times New Roman"/>
            <w:color w:val="0000FF"/>
            <w:sz w:val="24"/>
            <w:szCs w:val="24"/>
            <w:u w:val="single"/>
          </w:rPr>
          <w:t>http://www.thelancet.com</w:t>
        </w:r>
      </w:hyperlink>
      <w:r w:rsidRPr="00A3204A">
        <w:rPr>
          <w:rFonts w:ascii="Times New Roman" w:hAnsi="Times New Roman" w:cs="Times New Roman"/>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66" w:name="Polderman2009"/>
      <w:bookmarkEnd w:id="866"/>
      <w:r w:rsidRPr="00A3204A">
        <w:rPr>
          <w:rFonts w:ascii="Times New Roman" w:hAnsi="Times New Roman" w:cs="Times New Roman"/>
          <w:sz w:val="24"/>
          <w:szCs w:val="24"/>
        </w:rPr>
        <w:t xml:space="preserve">Polderman, K. H. (2009). Mechanisms of action, physiological effects, and complications of hypothermia. </w:t>
      </w:r>
      <w:r w:rsidRPr="00A3204A">
        <w:rPr>
          <w:rFonts w:ascii="Times New Roman" w:hAnsi="Times New Roman" w:cs="Times New Roman"/>
          <w:i/>
          <w:sz w:val="24"/>
          <w:szCs w:val="24"/>
        </w:rPr>
        <w:t xml:space="preserve">Society of Critical Care Medicine, 37(7), </w:t>
      </w:r>
      <w:r w:rsidRPr="00A3204A">
        <w:rPr>
          <w:rFonts w:ascii="Times New Roman" w:hAnsi="Times New Roman" w:cs="Times New Roman"/>
          <w:sz w:val="24"/>
          <w:szCs w:val="24"/>
        </w:rPr>
        <w:t xml:space="preserve">S186-S202. </w:t>
      </w:r>
      <w:r w:rsidRPr="00A3204A">
        <w:rPr>
          <w:rFonts w:ascii="Times New Roman" w:hAnsi="Times New Roman" w:cs="Times New Roman"/>
          <w:bCs/>
          <w:sz w:val="24"/>
          <w:szCs w:val="24"/>
        </w:rPr>
        <w:t>DOI: 10.1097/CCM.0b013e3181aa5241</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Polderman, K. H., Mayer, S. A., &amp; Menon, D. (2008b). </w:t>
      </w:r>
      <w:r w:rsidRPr="00A3204A">
        <w:rPr>
          <w:rFonts w:ascii="Times New Roman" w:hAnsi="Times New Roman" w:cs="Times New Roman"/>
          <w:bCs/>
          <w:sz w:val="24"/>
          <w:szCs w:val="24"/>
        </w:rPr>
        <w:t xml:space="preserve">Hypothermia therapy after traumatic brain injury in children. </w:t>
      </w:r>
      <w:r w:rsidRPr="00A3204A">
        <w:rPr>
          <w:rFonts w:ascii="Times New Roman" w:hAnsi="Times New Roman" w:cs="Times New Roman"/>
          <w:bCs/>
          <w:i/>
          <w:sz w:val="24"/>
          <w:szCs w:val="24"/>
        </w:rPr>
        <w:t xml:space="preserve">The </w:t>
      </w:r>
      <w:smartTag w:uri="urn:schemas-microsoft-com:office:smarttags" w:element="place">
        <w:r w:rsidRPr="00A3204A">
          <w:rPr>
            <w:rFonts w:ascii="Times New Roman" w:hAnsi="Times New Roman" w:cs="Times New Roman"/>
            <w:bCs/>
            <w:i/>
            <w:sz w:val="24"/>
            <w:szCs w:val="24"/>
          </w:rPr>
          <w:t>New England</w:t>
        </w:r>
      </w:smartTag>
      <w:r w:rsidRPr="00A3204A">
        <w:rPr>
          <w:rFonts w:ascii="Times New Roman" w:hAnsi="Times New Roman" w:cs="Times New Roman"/>
          <w:bCs/>
          <w:i/>
          <w:sz w:val="24"/>
          <w:szCs w:val="24"/>
        </w:rPr>
        <w:t xml:space="preserve"> Journal of Medicine, 359(11), </w:t>
      </w:r>
      <w:r w:rsidRPr="00A3204A">
        <w:rPr>
          <w:rFonts w:ascii="Times New Roman" w:hAnsi="Times New Roman" w:cs="Times New Roman"/>
          <w:bCs/>
          <w:sz w:val="24"/>
          <w:szCs w:val="24"/>
        </w:rPr>
        <w:t xml:space="preserve">1178-1180. </w:t>
      </w:r>
      <w:hyperlink r:id="rId83" w:history="1">
        <w:r w:rsidRPr="00A3204A">
          <w:rPr>
            <w:rFonts w:ascii="Times New Roman" w:hAnsi="Times New Roman" w:cs="Times New Roman"/>
            <w:bCs/>
            <w:color w:val="0000FF"/>
            <w:sz w:val="24"/>
            <w:szCs w:val="24"/>
            <w:u w:val="single"/>
          </w:rPr>
          <w:t>http://www.nejm.org</w:t>
        </w:r>
      </w:hyperlink>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Pollock, A., Baer, G., Pomeroy, V. M., &amp; Langhorne, P. (2007). Physiotherapy treatment approaches for the recovery of postural control and lower limb function following stroke. </w:t>
      </w:r>
      <w:r w:rsidRPr="00A3204A">
        <w:rPr>
          <w:rFonts w:ascii="Times New Roman" w:hAnsi="Times New Roman" w:cs="Times New Roman"/>
          <w:i/>
          <w:iCs/>
          <w:sz w:val="24"/>
          <w:szCs w:val="24"/>
        </w:rPr>
        <w:t>Cochrane Database of Systematic Reviews, 1,</w:t>
      </w:r>
      <w:r w:rsidRPr="00A3204A">
        <w:rPr>
          <w:rFonts w:ascii="Times New Roman" w:hAnsi="Times New Roman" w:cs="Times New Roman"/>
          <w:iCs/>
          <w:sz w:val="24"/>
          <w:szCs w:val="24"/>
        </w:rPr>
        <w:t xml:space="preserve"> 1-90. </w:t>
      </w:r>
      <w:r w:rsidRPr="00A3204A">
        <w:rPr>
          <w:rFonts w:ascii="Times New Roman" w:hAnsi="Times New Roman" w:cs="Times New Roman"/>
          <w:sz w:val="24"/>
          <w:szCs w:val="24"/>
        </w:rPr>
        <w:t>DOI: 10.1002/14651858.CD001920.pub2.</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Pollock, A., Hazelton, C., Henderson, C. A., Angilley, J., Dhillon, B., Langhorne, P.,… Shahani, U. (2011a). Interventions for disorders of eye movement in patients with stroke. </w:t>
      </w:r>
      <w:r w:rsidRPr="00A3204A">
        <w:rPr>
          <w:rFonts w:ascii="Times New Roman" w:hAnsi="Times New Roman" w:cs="Times New Roman"/>
          <w:i/>
          <w:iCs/>
          <w:sz w:val="24"/>
          <w:szCs w:val="24"/>
        </w:rPr>
        <w:t>Cochrane Database of Systematic Reviews, 10,</w:t>
      </w:r>
      <w:r w:rsidRPr="00A3204A">
        <w:rPr>
          <w:rFonts w:ascii="Times New Roman" w:hAnsi="Times New Roman" w:cs="Times New Roman"/>
          <w:iCs/>
          <w:sz w:val="24"/>
          <w:szCs w:val="24"/>
        </w:rPr>
        <w:t xml:space="preserve"> 1-33.</w:t>
      </w:r>
      <w:r w:rsidRPr="00A3204A">
        <w:rPr>
          <w:rFonts w:ascii="Times New Roman" w:hAnsi="Times New Roman" w:cs="Times New Roman"/>
          <w:sz w:val="24"/>
          <w:szCs w:val="24"/>
        </w:rPr>
        <w:t xml:space="preserve"> DOI: 10.1002/14651858.CD008389.pub2.</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lastRenderedPageBreak/>
        <w:t xml:space="preserve">Pollock, A., Hazelton, C., Henderson, C. A., Angilley, J., Dhillon, B., Langhorne, P.,… Shahani, U. (2011b). Interventions for visual field defects in patients with stroke. </w:t>
      </w:r>
      <w:r w:rsidRPr="00A3204A">
        <w:rPr>
          <w:rFonts w:ascii="Times New Roman" w:hAnsi="Times New Roman" w:cs="Times New Roman"/>
          <w:i/>
          <w:iCs/>
          <w:sz w:val="24"/>
          <w:szCs w:val="24"/>
        </w:rPr>
        <w:t>Cochrane Database of Systematic Reviews</w:t>
      </w:r>
      <w:r w:rsidRPr="00A3204A">
        <w:rPr>
          <w:rFonts w:ascii="Times New Roman" w:hAnsi="Times New Roman" w:cs="Times New Roman"/>
          <w:sz w:val="24"/>
          <w:szCs w:val="24"/>
        </w:rPr>
        <w:t>,</w:t>
      </w:r>
      <w:r w:rsidRPr="00A3204A">
        <w:rPr>
          <w:rFonts w:ascii="Times New Roman" w:hAnsi="Times New Roman" w:cs="Times New Roman"/>
          <w:i/>
          <w:sz w:val="24"/>
          <w:szCs w:val="24"/>
        </w:rPr>
        <w:t xml:space="preserve"> 10,</w:t>
      </w:r>
      <w:r w:rsidRPr="00A3204A">
        <w:rPr>
          <w:rFonts w:ascii="Times New Roman" w:hAnsi="Times New Roman" w:cs="Times New Roman"/>
          <w:sz w:val="24"/>
          <w:szCs w:val="24"/>
        </w:rPr>
        <w:t xml:space="preserve"> 1-84. DOI: 10.1002/14651858.CD008388.pub2.</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67" w:name="Ponsford2012"/>
      <w:bookmarkEnd w:id="867"/>
      <w:r w:rsidRPr="00A3204A">
        <w:rPr>
          <w:rFonts w:ascii="Times New Roman" w:hAnsi="Times New Roman" w:cs="Times New Roman"/>
          <w:sz w:val="24"/>
          <w:szCs w:val="24"/>
        </w:rPr>
        <w:t xml:space="preserve">Ponsford, J. L., Ziino, C., Parcell, D. L., Shekleton, J. A., Roper, M., Redman, J. R.,… Rajaratnam, S. M. W. (2012) Fatigue and sleep disturbance following traumatic brain injury—their nature, causes, and potential treatments. </w:t>
      </w:r>
      <w:r w:rsidRPr="00A3204A">
        <w:rPr>
          <w:rFonts w:ascii="Times New Roman" w:hAnsi="Times New Roman" w:cs="Times New Roman"/>
          <w:i/>
          <w:sz w:val="24"/>
          <w:szCs w:val="24"/>
        </w:rPr>
        <w:t xml:space="preserve">Journal of Head Trauma and Rehabilitation, 27(3), </w:t>
      </w:r>
      <w:r w:rsidRPr="00A3204A">
        <w:rPr>
          <w:rFonts w:ascii="Times New Roman" w:hAnsi="Times New Roman" w:cs="Times New Roman"/>
          <w:sz w:val="24"/>
          <w:szCs w:val="24"/>
        </w:rPr>
        <w:t>224-233. DOI: 10.1097/HTR.0b013e31824ee1a8.</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Possl, J, Jurgensmeyer, S., Karlbauer, F., Wenz, C., &amp; Goldenberg, G. (2001). Stability of employment after brain injury: a 7- year follow-up study. </w:t>
      </w:r>
      <w:r w:rsidRPr="00A3204A">
        <w:rPr>
          <w:rFonts w:ascii="Times New Roman" w:hAnsi="Times New Roman" w:cs="Times New Roman"/>
          <w:i/>
          <w:sz w:val="24"/>
          <w:szCs w:val="24"/>
        </w:rPr>
        <w:t>Brain Injury, 15(1),</w:t>
      </w:r>
      <w:r w:rsidRPr="00A3204A">
        <w:rPr>
          <w:rFonts w:ascii="Times New Roman" w:hAnsi="Times New Roman" w:cs="Times New Roman"/>
          <w:sz w:val="24"/>
          <w:szCs w:val="24"/>
        </w:rPr>
        <w:t xml:space="preserve"> 15-27.</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Povlishock, J. T., &amp; Wei, E. P. (2009). Posthypothermic rewarming considerations following traumatic brain injury. </w:t>
      </w:r>
      <w:r w:rsidRPr="00A3204A">
        <w:rPr>
          <w:rFonts w:ascii="Times New Roman" w:hAnsi="Times New Roman" w:cs="Times New Roman"/>
          <w:i/>
          <w:sz w:val="24"/>
          <w:szCs w:val="24"/>
        </w:rPr>
        <w:t xml:space="preserve">Journal of Neurotrauma, 26, </w:t>
      </w:r>
      <w:r w:rsidRPr="00A3204A">
        <w:rPr>
          <w:rFonts w:ascii="Times New Roman" w:hAnsi="Times New Roman" w:cs="Times New Roman"/>
          <w:sz w:val="24"/>
          <w:szCs w:val="24"/>
        </w:rPr>
        <w:t>333-340. DOI: 10.1089=neu.2008.0604.</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Powell, J., Heslin, J., &amp; </w:t>
      </w:r>
      <w:smartTag w:uri="urn:schemas-microsoft-com:office:smarttags" w:element="place">
        <w:smartTag w:uri="urn:schemas-microsoft-com:office:smarttags" w:element="City">
          <w:r w:rsidRPr="00A3204A">
            <w:rPr>
              <w:rFonts w:ascii="Times New Roman" w:hAnsi="Times New Roman" w:cs="Times New Roman"/>
              <w:sz w:val="24"/>
              <w:szCs w:val="24"/>
            </w:rPr>
            <w:t>Greenwood</w:t>
          </w:r>
        </w:smartTag>
      </w:smartTag>
      <w:r w:rsidRPr="00A3204A">
        <w:rPr>
          <w:rFonts w:ascii="Times New Roman" w:hAnsi="Times New Roman" w:cs="Times New Roman"/>
          <w:sz w:val="24"/>
          <w:szCs w:val="24"/>
        </w:rPr>
        <w:t xml:space="preserve">, R. (2002). Community based rehabilitation after severe traumatic brain injury: a randomised controlled trial. </w:t>
      </w:r>
      <w:r w:rsidRPr="00A3204A">
        <w:rPr>
          <w:rFonts w:ascii="Times New Roman" w:hAnsi="Times New Roman" w:cs="Times New Roman"/>
          <w:i/>
          <w:sz w:val="24"/>
          <w:szCs w:val="24"/>
        </w:rPr>
        <w:t xml:space="preserve">J Neurol Neurosurg Psychiatry, 72, </w:t>
      </w:r>
      <w:r w:rsidRPr="00A3204A">
        <w:rPr>
          <w:rFonts w:ascii="Times New Roman" w:hAnsi="Times New Roman" w:cs="Times New Roman"/>
          <w:sz w:val="24"/>
          <w:szCs w:val="24"/>
        </w:rPr>
        <w:t xml:space="preserve">193–202.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Prvu Bettger, J. A., Stineman, M. G. (2007). </w:t>
      </w:r>
      <w:r w:rsidRPr="00A3204A">
        <w:rPr>
          <w:rFonts w:ascii="Times New Roman" w:hAnsi="Times New Roman" w:cs="Times New Roman"/>
          <w:bCs/>
          <w:sz w:val="24"/>
          <w:szCs w:val="24"/>
        </w:rPr>
        <w:t xml:space="preserve">Effectiveness of multidisciplinary rehabilitation services in postacute care: State-of-the-Science. A review. </w:t>
      </w:r>
      <w:r w:rsidRPr="00A3204A">
        <w:rPr>
          <w:rFonts w:ascii="Times New Roman" w:hAnsi="Times New Roman" w:cs="Times New Roman"/>
          <w:bCs/>
          <w:i/>
          <w:sz w:val="24"/>
          <w:szCs w:val="24"/>
        </w:rPr>
        <w:t>Arch Phys Med Rehabil, 88,</w:t>
      </w:r>
      <w:r w:rsidRPr="00A3204A">
        <w:rPr>
          <w:rFonts w:ascii="Times New Roman" w:hAnsi="Times New Roman" w:cs="Times New Roman"/>
          <w:bCs/>
          <w:sz w:val="24"/>
          <w:szCs w:val="24"/>
        </w:rPr>
        <w:t xml:space="preserve"> 1526-1534. DOI:10.1016/j.apmr.2007.06.768.</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Putukian, M. (2011). Neuropsychological testing as it relates to recovery from sports-related concussion. </w:t>
      </w:r>
      <w:r w:rsidRPr="00A3204A">
        <w:rPr>
          <w:rFonts w:ascii="Times New Roman" w:hAnsi="Times New Roman" w:cs="Times New Roman"/>
          <w:i/>
          <w:sz w:val="24"/>
          <w:szCs w:val="24"/>
        </w:rPr>
        <w:t xml:space="preserve">American </w:t>
      </w:r>
      <w:smartTag w:uri="urn:schemas-microsoft-com:office:smarttags" w:element="place">
        <w:smartTag w:uri="urn:schemas-microsoft-com:office:smarttags" w:element="PlaceType">
          <w:r w:rsidRPr="00A3204A">
            <w:rPr>
              <w:rFonts w:ascii="Times New Roman" w:hAnsi="Times New Roman" w:cs="Times New Roman"/>
              <w:i/>
              <w:sz w:val="24"/>
              <w:szCs w:val="24"/>
            </w:rPr>
            <w:t>Academy</w:t>
          </w:r>
        </w:smartTag>
        <w:r w:rsidRPr="00A3204A">
          <w:rPr>
            <w:rFonts w:ascii="Times New Roman" w:hAnsi="Times New Roman" w:cs="Times New Roman"/>
            <w:i/>
            <w:sz w:val="24"/>
            <w:szCs w:val="24"/>
          </w:rPr>
          <w:t xml:space="preserve"> of </w:t>
        </w:r>
        <w:smartTag w:uri="urn:schemas-microsoft-com:office:smarttags" w:element="PlaceName">
          <w:r w:rsidRPr="00A3204A">
            <w:rPr>
              <w:rFonts w:ascii="Times New Roman" w:hAnsi="Times New Roman" w:cs="Times New Roman"/>
              <w:i/>
              <w:sz w:val="24"/>
              <w:szCs w:val="24"/>
            </w:rPr>
            <w:t>Physical Medicine</w:t>
          </w:r>
        </w:smartTag>
      </w:smartTag>
      <w:r w:rsidRPr="00A3204A">
        <w:rPr>
          <w:rFonts w:ascii="Times New Roman" w:hAnsi="Times New Roman" w:cs="Times New Roman"/>
          <w:i/>
          <w:sz w:val="24"/>
          <w:szCs w:val="24"/>
        </w:rPr>
        <w:t xml:space="preserve"> and Rehabilitation, 3, </w:t>
      </w:r>
      <w:r w:rsidRPr="00A3204A">
        <w:rPr>
          <w:rFonts w:ascii="Times New Roman" w:hAnsi="Times New Roman" w:cs="Times New Roman"/>
          <w:sz w:val="24"/>
          <w:szCs w:val="24"/>
        </w:rPr>
        <w:t>S425-S432. DOI: 10.1016/j. pmrj.2011.08.003.</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Qiu, W., Zhang, Y., Sheng, H., Zhang, J., Wang, W., Liu, W., … Xu, Z. (2007). Effects of therapeutic mild hypothermia on patients with severe traumatic brain injury after craniotomy. </w:t>
      </w:r>
      <w:r w:rsidRPr="00A3204A">
        <w:rPr>
          <w:rFonts w:ascii="Times New Roman" w:hAnsi="Times New Roman" w:cs="Times New Roman"/>
          <w:i/>
          <w:sz w:val="24"/>
          <w:szCs w:val="24"/>
        </w:rPr>
        <w:t xml:space="preserve">Journal of Critical Care, 22, </w:t>
      </w:r>
      <w:r w:rsidRPr="00A3204A">
        <w:rPr>
          <w:rFonts w:ascii="Times New Roman" w:hAnsi="Times New Roman" w:cs="Times New Roman"/>
          <w:sz w:val="24"/>
          <w:szCs w:val="24"/>
        </w:rPr>
        <w:t>229-236. DOI:10.1016/j.jcrc.2006.06.011.</w:t>
      </w:r>
    </w:p>
    <w:p w:rsidR="00A3204A" w:rsidRPr="00A3204A" w:rsidRDefault="00A3204A" w:rsidP="009C3DC2">
      <w:pPr>
        <w:numPr>
          <w:ilvl w:val="0"/>
          <w:numId w:val="33"/>
        </w:numPr>
        <w:spacing w:before="0" w:after="120"/>
        <w:rPr>
          <w:rFonts w:ascii="Times New Roman" w:hAnsi="Times New Roman" w:cs="Times New Roman"/>
          <w:i/>
          <w:sz w:val="24"/>
          <w:szCs w:val="24"/>
        </w:rPr>
      </w:pPr>
      <w:bookmarkStart w:id="868" w:name="Rabbie2010"/>
      <w:bookmarkEnd w:id="868"/>
      <w:r w:rsidRPr="00A3204A">
        <w:rPr>
          <w:rFonts w:ascii="Times New Roman" w:hAnsi="Times New Roman" w:cs="Times New Roman"/>
          <w:sz w:val="24"/>
          <w:szCs w:val="24"/>
        </w:rPr>
        <w:t xml:space="preserve">Rabbie R., </w:t>
      </w:r>
      <w:smartTag w:uri="urn:schemas-microsoft-com:office:smarttags" w:element="place">
        <w:r w:rsidRPr="00A3204A">
          <w:rPr>
            <w:rFonts w:ascii="Times New Roman" w:hAnsi="Times New Roman" w:cs="Times New Roman"/>
            <w:sz w:val="24"/>
            <w:szCs w:val="24"/>
          </w:rPr>
          <w:t>Derry</w:t>
        </w:r>
      </w:smartTag>
      <w:r w:rsidRPr="00A3204A">
        <w:rPr>
          <w:rFonts w:ascii="Times New Roman" w:hAnsi="Times New Roman" w:cs="Times New Roman"/>
          <w:sz w:val="24"/>
          <w:szCs w:val="24"/>
        </w:rPr>
        <w:t xml:space="preserve"> S., Moore R. A., &amp; McQuay, H. J. (2010). Ibuprofen with our without an antiemetic for acute migraine headaches in adults. </w:t>
      </w:r>
      <w:r w:rsidRPr="00A3204A">
        <w:rPr>
          <w:rFonts w:ascii="Times New Roman" w:hAnsi="Times New Roman" w:cs="Times New Roman"/>
          <w:i/>
          <w:sz w:val="24"/>
          <w:szCs w:val="24"/>
        </w:rPr>
        <w:t>Vovhtsnr Fsysnsdr og Dydyrmsyiv</w:t>
      </w:r>
      <w:r w:rsidRPr="00A3204A">
        <w:rPr>
          <w:rFonts w:ascii="Times New Roman" w:hAnsi="Times New Roman" w:cs="Times New Roman"/>
          <w:sz w:val="24"/>
          <w:szCs w:val="24"/>
        </w:rPr>
        <w:t xml:space="preserve"> </w:t>
      </w:r>
      <w:r w:rsidRPr="00A3204A">
        <w:rPr>
          <w:rFonts w:ascii="Times New Roman" w:hAnsi="Times New Roman" w:cs="Times New Roman"/>
          <w:i/>
          <w:sz w:val="24"/>
          <w:szCs w:val="24"/>
        </w:rPr>
        <w:t>Trbired,</w:t>
      </w:r>
      <w:r w:rsidRPr="00A3204A">
        <w:rPr>
          <w:rFonts w:ascii="Times New Roman" w:hAnsi="Times New Roman" w:cs="Times New Roman"/>
          <w:sz w:val="24"/>
          <w:szCs w:val="24"/>
        </w:rPr>
        <w:t xml:space="preserve"> </w:t>
      </w:r>
      <w:r w:rsidRPr="00A3204A">
        <w:rPr>
          <w:rFonts w:ascii="Times New Roman" w:hAnsi="Times New Roman" w:cs="Times New Roman"/>
          <w:i/>
          <w:sz w:val="24"/>
          <w:szCs w:val="24"/>
        </w:rPr>
        <w:t xml:space="preserve">10, </w:t>
      </w:r>
      <w:r w:rsidRPr="00A3204A">
        <w:rPr>
          <w:rFonts w:ascii="Times New Roman" w:hAnsi="Times New Roman" w:cs="Times New Roman"/>
          <w:sz w:val="24"/>
          <w:szCs w:val="24"/>
        </w:rPr>
        <w:t xml:space="preserve">1-66. DOI:10.1002/14651858. CD008039. pub2.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r w:rsidRPr="00A3204A">
        <w:rPr>
          <w:rFonts w:ascii="Times New Roman" w:hAnsi="Times New Roman" w:cs="Times New Roman"/>
          <w:i/>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smartTag w:uri="urn:schemas-microsoft-com:office:smarttags" w:element="place">
        <w:smartTag w:uri="urn:schemas-microsoft-com:office:smarttags" w:element="City">
          <w:r w:rsidRPr="00A3204A">
            <w:rPr>
              <w:rFonts w:ascii="Times New Roman" w:hAnsi="Times New Roman" w:cs="Times New Roman"/>
              <w:sz w:val="24"/>
              <w:szCs w:val="24"/>
            </w:rPr>
            <w:t>Randolph</w:t>
          </w:r>
        </w:smartTag>
      </w:smartTag>
      <w:r w:rsidRPr="00A3204A">
        <w:rPr>
          <w:rFonts w:ascii="Times New Roman" w:hAnsi="Times New Roman" w:cs="Times New Roman"/>
          <w:sz w:val="24"/>
          <w:szCs w:val="24"/>
        </w:rPr>
        <w:t xml:space="preserve">, C., Lovell, M., Laker, S. R. (2011). Neuropsychological testing point/counterpoint. </w:t>
      </w:r>
      <w:r w:rsidRPr="00A3204A">
        <w:rPr>
          <w:rFonts w:ascii="Times New Roman" w:hAnsi="Times New Roman" w:cs="Times New Roman"/>
          <w:i/>
          <w:sz w:val="24"/>
          <w:szCs w:val="24"/>
        </w:rPr>
        <w:t xml:space="preserve">American </w:t>
      </w:r>
      <w:smartTag w:uri="urn:schemas-microsoft-com:office:smarttags" w:element="place">
        <w:smartTag w:uri="urn:schemas-microsoft-com:office:smarttags" w:element="PlaceType">
          <w:r w:rsidRPr="00A3204A">
            <w:rPr>
              <w:rFonts w:ascii="Times New Roman" w:hAnsi="Times New Roman" w:cs="Times New Roman"/>
              <w:i/>
              <w:sz w:val="24"/>
              <w:szCs w:val="24"/>
            </w:rPr>
            <w:t>Academy</w:t>
          </w:r>
        </w:smartTag>
        <w:r w:rsidRPr="00A3204A">
          <w:rPr>
            <w:rFonts w:ascii="Times New Roman" w:hAnsi="Times New Roman" w:cs="Times New Roman"/>
            <w:i/>
            <w:sz w:val="24"/>
            <w:szCs w:val="24"/>
          </w:rPr>
          <w:t xml:space="preserve"> of </w:t>
        </w:r>
        <w:smartTag w:uri="urn:schemas-microsoft-com:office:smarttags" w:element="PlaceName">
          <w:r w:rsidRPr="00A3204A">
            <w:rPr>
              <w:rFonts w:ascii="Times New Roman" w:hAnsi="Times New Roman" w:cs="Times New Roman"/>
              <w:i/>
              <w:sz w:val="24"/>
              <w:szCs w:val="24"/>
            </w:rPr>
            <w:t>Physical Medicine</w:t>
          </w:r>
        </w:smartTag>
      </w:smartTag>
      <w:r w:rsidRPr="00A3204A">
        <w:rPr>
          <w:rFonts w:ascii="Times New Roman" w:hAnsi="Times New Roman" w:cs="Times New Roman"/>
          <w:i/>
          <w:sz w:val="24"/>
          <w:szCs w:val="24"/>
        </w:rPr>
        <w:t xml:space="preserve"> and Rehabilitation, 3, </w:t>
      </w:r>
      <w:r w:rsidRPr="00A3204A">
        <w:rPr>
          <w:rFonts w:ascii="Times New Roman" w:hAnsi="Times New Roman" w:cs="Times New Roman"/>
          <w:sz w:val="24"/>
          <w:szCs w:val="24"/>
        </w:rPr>
        <w:t xml:space="preserve">S433-S439. DOI: 10.1016/j. pmrj.2011.08.002.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Rappaport, M., Hall, K. M., </w:t>
      </w:r>
      <w:smartTag w:uri="urn:schemas-microsoft-com:office:smarttags" w:element="City">
        <w:r w:rsidRPr="00A3204A">
          <w:rPr>
            <w:rFonts w:ascii="Times New Roman" w:hAnsi="Times New Roman" w:cs="Times New Roman"/>
            <w:sz w:val="24"/>
            <w:szCs w:val="24"/>
          </w:rPr>
          <w:t>Hopkins</w:t>
        </w:r>
      </w:smartTag>
      <w:r w:rsidRPr="00A3204A">
        <w:rPr>
          <w:rFonts w:ascii="Times New Roman" w:hAnsi="Times New Roman" w:cs="Times New Roman"/>
          <w:sz w:val="24"/>
          <w:szCs w:val="24"/>
        </w:rPr>
        <w:t xml:space="preserve">, </w:t>
      </w:r>
      <w:smartTag w:uri="urn:schemas-microsoft-com:office:smarttags" w:element="place">
        <w:r w:rsidRPr="00A3204A">
          <w:rPr>
            <w:rFonts w:ascii="Times New Roman" w:hAnsi="Times New Roman" w:cs="Times New Roman"/>
            <w:sz w:val="24"/>
            <w:szCs w:val="24"/>
          </w:rPr>
          <w:t>I.</w:t>
        </w:r>
      </w:smartTag>
      <w:r w:rsidRPr="00A3204A">
        <w:rPr>
          <w:rFonts w:ascii="Times New Roman" w:hAnsi="Times New Roman" w:cs="Times New Roman"/>
          <w:sz w:val="24"/>
          <w:szCs w:val="24"/>
        </w:rPr>
        <w:t xml:space="preserve">, Belleza, T., &amp; Cope, D. N. (1982). Disability rating scale for severe head trauma: Coma to community. </w:t>
      </w:r>
      <w:r w:rsidRPr="00A3204A">
        <w:rPr>
          <w:rFonts w:ascii="Times New Roman" w:hAnsi="Times New Roman" w:cs="Times New Roman"/>
          <w:i/>
          <w:sz w:val="24"/>
          <w:szCs w:val="24"/>
        </w:rPr>
        <w:t xml:space="preserve">Archives Physical Medicine Rehabilitation, 63(3), </w:t>
      </w:r>
      <w:r w:rsidRPr="00A3204A">
        <w:rPr>
          <w:rFonts w:ascii="Times New Roman" w:hAnsi="Times New Roman" w:cs="Times New Roman"/>
          <w:sz w:val="24"/>
          <w:szCs w:val="24"/>
        </w:rPr>
        <w:t xml:space="preserve">118-123.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Reddy, C. C. (2011). Postconcussion syndrome: A physiatrist’s approach. </w:t>
      </w:r>
      <w:r w:rsidRPr="00A3204A">
        <w:rPr>
          <w:rFonts w:ascii="Times New Roman" w:hAnsi="Times New Roman" w:cs="Times New Roman"/>
          <w:i/>
          <w:sz w:val="24"/>
          <w:szCs w:val="24"/>
        </w:rPr>
        <w:t xml:space="preserve">American </w:t>
      </w:r>
      <w:smartTag w:uri="urn:schemas-microsoft-com:office:smarttags" w:element="place">
        <w:smartTag w:uri="urn:schemas-microsoft-com:office:smarttags" w:element="PlaceType">
          <w:r w:rsidRPr="00A3204A">
            <w:rPr>
              <w:rFonts w:ascii="Times New Roman" w:hAnsi="Times New Roman" w:cs="Times New Roman"/>
              <w:i/>
              <w:sz w:val="24"/>
              <w:szCs w:val="24"/>
            </w:rPr>
            <w:t>Academy</w:t>
          </w:r>
        </w:smartTag>
        <w:r w:rsidRPr="00A3204A">
          <w:rPr>
            <w:rFonts w:ascii="Times New Roman" w:hAnsi="Times New Roman" w:cs="Times New Roman"/>
            <w:i/>
            <w:sz w:val="24"/>
            <w:szCs w:val="24"/>
          </w:rPr>
          <w:t xml:space="preserve"> of </w:t>
        </w:r>
        <w:smartTag w:uri="urn:schemas-microsoft-com:office:smarttags" w:element="PlaceName">
          <w:r w:rsidRPr="00A3204A">
            <w:rPr>
              <w:rFonts w:ascii="Times New Roman" w:hAnsi="Times New Roman" w:cs="Times New Roman"/>
              <w:i/>
              <w:sz w:val="24"/>
              <w:szCs w:val="24"/>
            </w:rPr>
            <w:t>Physical Medicine</w:t>
          </w:r>
        </w:smartTag>
      </w:smartTag>
      <w:r w:rsidRPr="00A3204A">
        <w:rPr>
          <w:rFonts w:ascii="Times New Roman" w:hAnsi="Times New Roman" w:cs="Times New Roman"/>
          <w:i/>
          <w:sz w:val="24"/>
          <w:szCs w:val="24"/>
        </w:rPr>
        <w:t xml:space="preserve"> and Rehabilitation, 3, </w:t>
      </w:r>
      <w:r w:rsidRPr="00A3204A">
        <w:rPr>
          <w:rFonts w:ascii="Times New Roman" w:hAnsi="Times New Roman" w:cs="Times New Roman"/>
          <w:sz w:val="24"/>
          <w:szCs w:val="24"/>
        </w:rPr>
        <w:t xml:space="preserve">396-S405. DOI: 10.1016/j. prnrj.2011.07.012.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Reger, M. L., Poulos, A. M., Buen, F., </w:t>
      </w:r>
      <w:smartTag w:uri="urn:schemas-microsoft-com:office:smarttags" w:element="City">
        <w:smartTag w:uri="urn:schemas-microsoft-com:office:smarttags" w:element="place">
          <w:r w:rsidRPr="00A3204A">
            <w:rPr>
              <w:rFonts w:ascii="Times New Roman" w:hAnsi="Times New Roman" w:cs="Times New Roman"/>
              <w:sz w:val="24"/>
              <w:szCs w:val="24"/>
            </w:rPr>
            <w:t>Giza</w:t>
          </w:r>
        </w:smartTag>
      </w:smartTag>
      <w:r w:rsidRPr="00A3204A">
        <w:rPr>
          <w:rFonts w:ascii="Times New Roman" w:hAnsi="Times New Roman" w:cs="Times New Roman"/>
          <w:sz w:val="24"/>
          <w:szCs w:val="24"/>
        </w:rPr>
        <w:t xml:space="preserve">, C. C., Hovda, D. A., &amp; Fanselow, M. S. (2012). Concussive brain injury enhances fear learning and excitatory processes in the </w:t>
      </w:r>
      <w:r w:rsidRPr="00A3204A">
        <w:rPr>
          <w:rFonts w:ascii="Times New Roman" w:hAnsi="Times New Roman" w:cs="Times New Roman"/>
          <w:sz w:val="24"/>
          <w:szCs w:val="24"/>
        </w:rPr>
        <w:lastRenderedPageBreak/>
        <w:t xml:space="preserve">amygdala. </w:t>
      </w:r>
      <w:r w:rsidRPr="00A3204A">
        <w:rPr>
          <w:rFonts w:ascii="Times New Roman" w:hAnsi="Times New Roman" w:cs="Times New Roman"/>
          <w:i/>
          <w:sz w:val="24"/>
          <w:szCs w:val="24"/>
        </w:rPr>
        <w:t xml:space="preserve">Society of Biological Psychiatry, 71, </w:t>
      </w:r>
      <w:r w:rsidRPr="00A3204A">
        <w:rPr>
          <w:rFonts w:ascii="Times New Roman" w:hAnsi="Times New Roman" w:cs="Times New Roman"/>
          <w:sz w:val="24"/>
          <w:szCs w:val="24"/>
        </w:rPr>
        <w:t>335-343. DOI:10.1016/j.biopsych.2011.11.007.</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Reich, B. A. (1989). Non-Invasive treatment of vascular and muscle contraction headache: A comparative longitudinal clinical study. </w:t>
      </w:r>
      <w:r w:rsidRPr="00A3204A">
        <w:rPr>
          <w:rFonts w:ascii="Times New Roman" w:hAnsi="Times New Roman" w:cs="Times New Roman"/>
          <w:i/>
          <w:sz w:val="24"/>
          <w:szCs w:val="24"/>
        </w:rPr>
        <w:t xml:space="preserve">Headache, 29(1), </w:t>
      </w:r>
      <w:r w:rsidRPr="00A3204A">
        <w:rPr>
          <w:rFonts w:ascii="Times New Roman" w:hAnsi="Times New Roman" w:cs="Times New Roman"/>
          <w:sz w:val="24"/>
          <w:szCs w:val="24"/>
        </w:rPr>
        <w:t>34-41.</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69" w:name="Reinhard2005"/>
      <w:bookmarkEnd w:id="869"/>
      <w:r w:rsidRPr="00A3204A">
        <w:rPr>
          <w:rFonts w:ascii="Times New Roman" w:hAnsi="Times New Roman" w:cs="Times New Roman"/>
          <w:sz w:val="24"/>
          <w:szCs w:val="24"/>
        </w:rPr>
        <w:t xml:space="preserve">Reinhard, J., Schreiber, A., Schiefer, U., Kasten, E., Sabel, B. A., Kenkel, S.,… Trauzettel-Klosinski, S. (2005). </w:t>
      </w:r>
      <w:r w:rsidRPr="00A3204A">
        <w:rPr>
          <w:rFonts w:ascii="Times New Roman" w:eastAsia="AdvPA0C4" w:hAnsi="Times New Roman" w:cs="Times New Roman"/>
          <w:sz w:val="24"/>
          <w:szCs w:val="24"/>
        </w:rPr>
        <w:t xml:space="preserve">Does visual restitution training change absolute homonymous visual field defects? A fundus controlled study. </w:t>
      </w:r>
      <w:r w:rsidRPr="00A3204A">
        <w:rPr>
          <w:rFonts w:ascii="Times New Roman" w:eastAsia="AdvPA0C4" w:hAnsi="Times New Roman" w:cs="Times New Roman"/>
          <w:i/>
          <w:sz w:val="24"/>
          <w:szCs w:val="24"/>
        </w:rPr>
        <w:t>British Journal of Ophthalmology, 89,</w:t>
      </w:r>
      <w:r w:rsidRPr="00A3204A">
        <w:rPr>
          <w:rFonts w:ascii="Times New Roman" w:eastAsia="AdvPA0C4" w:hAnsi="Times New Roman" w:cs="Times New Roman"/>
          <w:sz w:val="24"/>
          <w:szCs w:val="24"/>
        </w:rPr>
        <w:t xml:space="preserve"> 30–35. DOI: 10.1136/bjo.2003.040543.</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Relja, M., </w:t>
      </w:r>
      <w:smartTag w:uri="urn:schemas-microsoft-com:office:smarttags" w:element="place">
        <w:r w:rsidRPr="00A3204A">
          <w:rPr>
            <w:rFonts w:ascii="Times New Roman" w:hAnsi="Times New Roman" w:cs="Times New Roman"/>
            <w:sz w:val="24"/>
            <w:szCs w:val="24"/>
          </w:rPr>
          <w:t>Poole</w:t>
        </w:r>
      </w:smartTag>
      <w:r w:rsidRPr="00A3204A">
        <w:rPr>
          <w:rFonts w:ascii="Times New Roman" w:hAnsi="Times New Roman" w:cs="Times New Roman"/>
          <w:sz w:val="24"/>
          <w:szCs w:val="24"/>
        </w:rPr>
        <w:t xml:space="preserve">, AC, Schoenen, J.,. . . Thompson, C. (2007). A multicentre, double-blind randomized, placebo-controlled, parallel group study of multiple treatments of botulinum toxin, type A (BoNTA) for the prophylaxis of episodic migraine headaches. </w:t>
      </w:r>
      <w:r w:rsidRPr="00A3204A">
        <w:rPr>
          <w:rFonts w:ascii="Times New Roman" w:hAnsi="Times New Roman" w:cs="Times New Roman"/>
          <w:i/>
          <w:sz w:val="24"/>
          <w:szCs w:val="24"/>
        </w:rPr>
        <w:t xml:space="preserve">Cephalalgia, 27, </w:t>
      </w:r>
      <w:r w:rsidRPr="00A3204A">
        <w:rPr>
          <w:rFonts w:ascii="Times New Roman" w:hAnsi="Times New Roman" w:cs="Times New Roman"/>
          <w:sz w:val="24"/>
          <w:szCs w:val="24"/>
        </w:rPr>
        <w:t xml:space="preserve">492-503. DOI: 10.1111/j.1468-2982.2007.01315. x.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RESCUE icp study. (2009). Randomized evaluation of surgery with craniectomy for uncontrollable elevation of intra-cranial pressure.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Reyna, V. F., (2008) A theory of medical decision making and health: Fuzzy trace theory. </w:t>
      </w:r>
      <w:r w:rsidRPr="00A3204A">
        <w:rPr>
          <w:rFonts w:ascii="Times New Roman" w:hAnsi="Times New Roman" w:cs="Times New Roman"/>
          <w:i/>
          <w:sz w:val="24"/>
          <w:szCs w:val="24"/>
        </w:rPr>
        <w:t>Medical Decision Making, 28(6),</w:t>
      </w:r>
      <w:r w:rsidRPr="00A3204A">
        <w:rPr>
          <w:rFonts w:ascii="Times New Roman" w:hAnsi="Times New Roman" w:cs="Times New Roman"/>
          <w:sz w:val="24"/>
          <w:szCs w:val="24"/>
        </w:rPr>
        <w:t xml:space="preserve"> 850-865. DOI: 10.1177/0272989X08327066.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Richards, P. M., &amp; Ruff, R. M. (2010). Introduction to special issue. </w:t>
      </w:r>
      <w:r w:rsidRPr="00A3204A">
        <w:rPr>
          <w:rFonts w:ascii="Times New Roman" w:hAnsi="Times New Roman" w:cs="Times New Roman"/>
          <w:i/>
          <w:sz w:val="24"/>
          <w:szCs w:val="24"/>
        </w:rPr>
        <w:t xml:space="preserve">Psychological Injury and Law, 3, </w:t>
      </w:r>
      <w:r w:rsidRPr="00A3204A">
        <w:rPr>
          <w:rFonts w:ascii="Times New Roman" w:hAnsi="Times New Roman" w:cs="Times New Roman"/>
          <w:sz w:val="24"/>
          <w:szCs w:val="24"/>
        </w:rPr>
        <w:t>1–2. DOI 10.1007/s12207-010-9070-3.</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Rigg, J. L. &amp; Mooney, S. R. (2011). Concussions and the military: Issues specific to servive members. </w:t>
      </w:r>
      <w:r w:rsidRPr="00A3204A">
        <w:rPr>
          <w:rFonts w:ascii="Times New Roman" w:hAnsi="Times New Roman" w:cs="Times New Roman"/>
          <w:i/>
          <w:sz w:val="24"/>
          <w:szCs w:val="24"/>
        </w:rPr>
        <w:t xml:space="preserve">American </w:t>
      </w:r>
      <w:smartTag w:uri="urn:schemas-microsoft-com:office:smarttags" w:element="place">
        <w:smartTag w:uri="urn:schemas-microsoft-com:office:smarttags" w:element="PlaceType">
          <w:r w:rsidRPr="00A3204A">
            <w:rPr>
              <w:rFonts w:ascii="Times New Roman" w:hAnsi="Times New Roman" w:cs="Times New Roman"/>
              <w:i/>
              <w:sz w:val="24"/>
              <w:szCs w:val="24"/>
            </w:rPr>
            <w:t>Academy</w:t>
          </w:r>
        </w:smartTag>
        <w:r w:rsidRPr="00A3204A">
          <w:rPr>
            <w:rFonts w:ascii="Times New Roman" w:hAnsi="Times New Roman" w:cs="Times New Roman"/>
            <w:i/>
            <w:sz w:val="24"/>
            <w:szCs w:val="24"/>
          </w:rPr>
          <w:t xml:space="preserve"> of </w:t>
        </w:r>
        <w:smartTag w:uri="urn:schemas-microsoft-com:office:smarttags" w:element="PlaceName">
          <w:r w:rsidRPr="00A3204A">
            <w:rPr>
              <w:rFonts w:ascii="Times New Roman" w:hAnsi="Times New Roman" w:cs="Times New Roman"/>
              <w:i/>
              <w:sz w:val="24"/>
              <w:szCs w:val="24"/>
            </w:rPr>
            <w:t>Physical Medicine</w:t>
          </w:r>
        </w:smartTag>
      </w:smartTag>
      <w:r w:rsidRPr="00A3204A">
        <w:rPr>
          <w:rFonts w:ascii="Times New Roman" w:hAnsi="Times New Roman" w:cs="Times New Roman"/>
          <w:i/>
          <w:sz w:val="24"/>
          <w:szCs w:val="24"/>
        </w:rPr>
        <w:t xml:space="preserve"> and Rehabilitation, 3, </w:t>
      </w:r>
      <w:r w:rsidRPr="00A3204A">
        <w:rPr>
          <w:rFonts w:ascii="Times New Roman" w:hAnsi="Times New Roman" w:cs="Times New Roman"/>
          <w:sz w:val="24"/>
          <w:szCs w:val="24"/>
        </w:rPr>
        <w:t xml:space="preserve">S380-386. DOI: 10.1016/j. prmrj.2011.08.055.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Ripley, D. L. (2011). Endocrinopathy after traumatic brain injury. </w:t>
      </w:r>
      <w:r w:rsidRPr="00A3204A">
        <w:rPr>
          <w:rFonts w:ascii="Times New Roman" w:hAnsi="Times New Roman" w:cs="Times New Roman"/>
          <w:i/>
          <w:sz w:val="24"/>
          <w:szCs w:val="24"/>
        </w:rPr>
        <w:t xml:space="preserve">Physical Medicine and Rehabilitation, 3(3), </w:t>
      </w:r>
      <w:r w:rsidRPr="00A3204A">
        <w:rPr>
          <w:rFonts w:ascii="Times New Roman" w:hAnsi="Times New Roman" w:cs="Times New Roman"/>
          <w:sz w:val="24"/>
          <w:szCs w:val="24"/>
        </w:rPr>
        <w:t>268-273. DOI:10.1016/j.pmrj.2011.01.008.</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Roberts, </w:t>
      </w:r>
      <w:smartTag w:uri="urn:schemas-microsoft-com:office:smarttags" w:element="place">
        <w:r w:rsidRPr="00A3204A">
          <w:rPr>
            <w:rFonts w:ascii="Times New Roman" w:hAnsi="Times New Roman" w:cs="Times New Roman"/>
            <w:sz w:val="24"/>
            <w:szCs w:val="24"/>
          </w:rPr>
          <w:t>I.</w:t>
        </w:r>
      </w:smartTag>
      <w:r w:rsidRPr="00A3204A">
        <w:rPr>
          <w:rFonts w:ascii="Times New Roman" w:hAnsi="Times New Roman" w:cs="Times New Roman"/>
          <w:sz w:val="24"/>
          <w:szCs w:val="24"/>
        </w:rPr>
        <w:t xml:space="preserve"> (1999a). Aminosteroids for acute traumatic brain injury (Review). </w:t>
      </w:r>
      <w:r w:rsidRPr="00A3204A">
        <w:rPr>
          <w:rFonts w:ascii="Times New Roman" w:hAnsi="Times New Roman" w:cs="Times New Roman"/>
          <w:bCs/>
          <w:i/>
          <w:sz w:val="24"/>
          <w:szCs w:val="24"/>
        </w:rPr>
        <w:t>Cochrane Database of Systematic Reviews</w:t>
      </w:r>
      <w:r w:rsidRPr="00A3204A">
        <w:rPr>
          <w:rFonts w:ascii="Times New Roman" w:hAnsi="Times New Roman" w:cs="Times New Roman"/>
          <w:i/>
          <w:sz w:val="24"/>
          <w:szCs w:val="24"/>
        </w:rPr>
        <w:t xml:space="preserve">, 3, </w:t>
      </w:r>
      <w:r w:rsidRPr="00A3204A">
        <w:rPr>
          <w:rFonts w:ascii="Times New Roman" w:hAnsi="Times New Roman" w:cs="Times New Roman"/>
          <w:sz w:val="24"/>
          <w:szCs w:val="24"/>
        </w:rPr>
        <w:t xml:space="preserve">1-17. </w:t>
      </w:r>
      <w:hyperlink r:id="rId84" w:history="1">
        <w:r w:rsidRPr="00A3204A">
          <w:rPr>
            <w:rFonts w:ascii="Times New Roman" w:hAnsi="Times New Roman" w:cs="Times New Roman"/>
            <w:color w:val="0000FF"/>
            <w:sz w:val="24"/>
            <w:szCs w:val="24"/>
            <w:u w:val="single"/>
          </w:rPr>
          <w:t>http://www.thecochranelibrary.com</w:t>
        </w:r>
      </w:hyperlink>
      <w:r w:rsidRPr="00A3204A">
        <w:rPr>
          <w:rFonts w:ascii="Times New Roman" w:hAnsi="Times New Roman" w:cs="Times New Roman"/>
          <w:sz w:val="24"/>
          <w:szCs w:val="24"/>
          <w:u w:val="single"/>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870" w:name="Roberts2009"/>
      <w:bookmarkEnd w:id="870"/>
      <w:r w:rsidRPr="00A3204A">
        <w:rPr>
          <w:rFonts w:ascii="Times New Roman" w:hAnsi="Times New Roman" w:cs="Times New Roman"/>
          <w:sz w:val="24"/>
          <w:szCs w:val="24"/>
        </w:rPr>
        <w:t xml:space="preserve">Roberts, </w:t>
      </w:r>
      <w:smartTag w:uri="urn:schemas-microsoft-com:office:smarttags" w:element="place">
        <w:r w:rsidRPr="00A3204A">
          <w:rPr>
            <w:rFonts w:ascii="Times New Roman" w:hAnsi="Times New Roman" w:cs="Times New Roman"/>
            <w:sz w:val="24"/>
            <w:szCs w:val="24"/>
          </w:rPr>
          <w:t>I.</w:t>
        </w:r>
      </w:smartTag>
      <w:r w:rsidRPr="00A3204A">
        <w:rPr>
          <w:rFonts w:ascii="Times New Roman" w:hAnsi="Times New Roman" w:cs="Times New Roman"/>
          <w:sz w:val="24"/>
          <w:szCs w:val="24"/>
        </w:rPr>
        <w:t xml:space="preserve">, &amp; Schierhout, G. (2009). Hyperventilation therapy for acute traumatic brain injury. </w:t>
      </w:r>
      <w:r w:rsidRPr="00A3204A">
        <w:rPr>
          <w:rFonts w:ascii="Times New Roman" w:hAnsi="Times New Roman" w:cs="Times New Roman"/>
          <w:i/>
          <w:iCs/>
          <w:sz w:val="24"/>
          <w:szCs w:val="24"/>
        </w:rPr>
        <w:t xml:space="preserve">Cochrane Database of Systematic Reviews, 4, </w:t>
      </w:r>
      <w:r w:rsidRPr="00A3204A">
        <w:rPr>
          <w:rFonts w:ascii="Times New Roman" w:hAnsi="Times New Roman" w:cs="Times New Roman"/>
          <w:iCs/>
          <w:sz w:val="24"/>
          <w:szCs w:val="24"/>
        </w:rPr>
        <w:t>1-14.</w:t>
      </w:r>
      <w:r w:rsidRPr="00A3204A">
        <w:rPr>
          <w:rFonts w:ascii="Times New Roman" w:hAnsi="Times New Roman" w:cs="Times New Roman"/>
          <w:sz w:val="24"/>
          <w:szCs w:val="24"/>
        </w:rPr>
        <w:t xml:space="preserve"> DOI: 10.1002/14651858.CD000566.</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Roberts, </w:t>
      </w:r>
      <w:smartTag w:uri="urn:schemas-microsoft-com:office:smarttags" w:element="place">
        <w:r w:rsidRPr="00A3204A">
          <w:rPr>
            <w:rFonts w:ascii="Times New Roman" w:hAnsi="Times New Roman" w:cs="Times New Roman"/>
            <w:sz w:val="24"/>
            <w:szCs w:val="24"/>
          </w:rPr>
          <w:t>I.</w:t>
        </w:r>
      </w:smartTag>
      <w:r w:rsidRPr="00A3204A">
        <w:rPr>
          <w:rFonts w:ascii="Times New Roman" w:hAnsi="Times New Roman" w:cs="Times New Roman"/>
          <w:sz w:val="24"/>
          <w:szCs w:val="24"/>
        </w:rPr>
        <w:t xml:space="preserve">, &amp; Sydenham, E. (1999b). Barbiturates for acute traumatic brain injury. </w:t>
      </w:r>
      <w:r w:rsidRPr="00A3204A">
        <w:rPr>
          <w:rFonts w:ascii="Times New Roman" w:hAnsi="Times New Roman" w:cs="Times New Roman"/>
          <w:i/>
          <w:iCs/>
          <w:sz w:val="24"/>
          <w:szCs w:val="24"/>
        </w:rPr>
        <w:t xml:space="preserve">Cochrane Database of Systematic Reviews, 3, </w:t>
      </w:r>
      <w:r w:rsidRPr="00A3204A">
        <w:rPr>
          <w:rFonts w:ascii="Times New Roman" w:hAnsi="Times New Roman" w:cs="Times New Roman"/>
          <w:iCs/>
          <w:sz w:val="24"/>
          <w:szCs w:val="24"/>
        </w:rPr>
        <w:t>1-23.</w:t>
      </w:r>
      <w:r w:rsidRPr="00A3204A">
        <w:rPr>
          <w:rFonts w:ascii="Times New Roman" w:hAnsi="Times New Roman" w:cs="Times New Roman"/>
          <w:sz w:val="24"/>
          <w:szCs w:val="24"/>
        </w:rPr>
        <w:t xml:space="preserve"> DOI: 10.1002/14651858.CD000033.</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Robertson, </w:t>
      </w:r>
      <w:smartTag w:uri="urn:schemas:contacts" w:element="middlename">
        <w:r w:rsidRPr="00A3204A">
          <w:rPr>
            <w:rFonts w:ascii="Times New Roman" w:hAnsi="Times New Roman" w:cs="Times New Roman"/>
            <w:sz w:val="24"/>
            <w:szCs w:val="24"/>
          </w:rPr>
          <w:t>D.</w:t>
        </w:r>
      </w:smartTag>
      <w:r w:rsidRPr="00A3204A">
        <w:rPr>
          <w:rFonts w:ascii="Times New Roman" w:hAnsi="Times New Roman" w:cs="Times New Roman"/>
          <w:sz w:val="24"/>
          <w:szCs w:val="24"/>
        </w:rPr>
        <w:t xml:space="preserve"> </w:t>
      </w:r>
      <w:smartTag w:uri="urn:schemas:contacts" w:element="middlename">
        <w:r w:rsidRPr="00A3204A">
          <w:rPr>
            <w:rFonts w:ascii="Times New Roman" w:hAnsi="Times New Roman" w:cs="Times New Roman"/>
            <w:sz w:val="24"/>
            <w:szCs w:val="24"/>
          </w:rPr>
          <w:t>D.</w:t>
        </w:r>
      </w:smartTag>
      <w:r w:rsidRPr="00A3204A">
        <w:rPr>
          <w:rFonts w:ascii="Times New Roman" w:hAnsi="Times New Roman" w:cs="Times New Roman"/>
          <w:sz w:val="24"/>
          <w:szCs w:val="24"/>
        </w:rPr>
        <w:t xml:space="preserve">, &amp; </w:t>
      </w:r>
      <w:smartTag w:uri="urn:schemas-microsoft-com:office:smarttags" w:element="place">
        <w:smartTag w:uri="urn:schemas-microsoft-com:office:smarttags" w:element="country-region">
          <w:r w:rsidRPr="00A3204A">
            <w:rPr>
              <w:rFonts w:ascii="Times New Roman" w:hAnsi="Times New Roman" w:cs="Times New Roman"/>
              <w:sz w:val="24"/>
              <w:szCs w:val="24"/>
            </w:rPr>
            <w:t>Ireland</w:t>
          </w:r>
        </w:smartTag>
      </w:smartTag>
      <w:r w:rsidRPr="00A3204A">
        <w:rPr>
          <w:rFonts w:ascii="Times New Roman" w:hAnsi="Times New Roman" w:cs="Times New Roman"/>
          <w:sz w:val="24"/>
          <w:szCs w:val="24"/>
        </w:rPr>
        <w:t xml:space="preserve">, D. J. (1995). Dizziness handicap inventory correlates of computerized dynamic posturography. </w:t>
      </w:r>
      <w:r w:rsidRPr="00A3204A">
        <w:rPr>
          <w:rFonts w:ascii="Times New Roman" w:hAnsi="Times New Roman" w:cs="Times New Roman"/>
          <w:i/>
          <w:sz w:val="24"/>
          <w:szCs w:val="24"/>
        </w:rPr>
        <w:t xml:space="preserve">The Journal of Otolaryngology, 24(2), </w:t>
      </w:r>
      <w:r w:rsidRPr="00A3204A">
        <w:rPr>
          <w:rFonts w:ascii="Times New Roman" w:hAnsi="Times New Roman" w:cs="Times New Roman"/>
          <w:sz w:val="24"/>
          <w:szCs w:val="24"/>
        </w:rPr>
        <w:t xml:space="preserve">118-124.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871" w:name="Rockswald2010"/>
      <w:bookmarkEnd w:id="871"/>
      <w:r w:rsidRPr="00A3204A">
        <w:rPr>
          <w:rFonts w:ascii="Times New Roman" w:hAnsi="Times New Roman" w:cs="Times New Roman"/>
          <w:sz w:val="24"/>
          <w:szCs w:val="24"/>
        </w:rPr>
        <w:t xml:space="preserve">Rockswold, S. B., Rockswold, G. L., </w:t>
      </w:r>
      <w:r w:rsidRPr="00A3204A">
        <w:rPr>
          <w:rFonts w:ascii="Times New Roman" w:hAnsi="Times New Roman" w:cs="Times New Roman"/>
          <w:bCs/>
          <w:sz w:val="24"/>
          <w:szCs w:val="24"/>
        </w:rPr>
        <w:t xml:space="preserve">Zaun, D. A., Zhang, X., Cerra, C. E., Bergm an, T. A., &amp; Liu, J. (2010). </w:t>
      </w:r>
      <w:r w:rsidRPr="00A3204A">
        <w:rPr>
          <w:rFonts w:ascii="Times New Roman" w:hAnsi="Times New Roman" w:cs="Times New Roman"/>
          <w:sz w:val="24"/>
          <w:szCs w:val="24"/>
        </w:rPr>
        <w:t xml:space="preserve">A prospective, randomized clinical trial to compare the effect of hyperbaric to normobaric hyperoxia on cerebral metabolism, intracranial pressure, and oxygen toxicity in severe traumatic brain injury. </w:t>
      </w:r>
      <w:r w:rsidRPr="00A3204A">
        <w:rPr>
          <w:rFonts w:ascii="Times New Roman" w:hAnsi="Times New Roman" w:cs="Times New Roman"/>
          <w:i/>
          <w:sz w:val="24"/>
          <w:szCs w:val="24"/>
        </w:rPr>
        <w:t>Journal of  Neurosurgery, 112,</w:t>
      </w:r>
      <w:r w:rsidRPr="00A3204A">
        <w:rPr>
          <w:rFonts w:ascii="Times New Roman" w:hAnsi="Times New Roman" w:cs="Times New Roman"/>
          <w:sz w:val="24"/>
          <w:szCs w:val="24"/>
        </w:rPr>
        <w:t xml:space="preserve"> 1080–1094.</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Rohling, M. L., Faust, M. E., Beverly, B., &amp; Demakis, G. (2009). </w:t>
      </w:r>
      <w:r w:rsidRPr="00A3204A">
        <w:rPr>
          <w:rFonts w:ascii="Times-Roman" w:hAnsi="Times-Roman" w:cs="Times-Roman"/>
          <w:sz w:val="24"/>
          <w:szCs w:val="24"/>
        </w:rPr>
        <w:t>Effectiveness of cognitive rehabilitation following acquired brain injury: A meta-analytic re-</w:t>
      </w:r>
      <w:r w:rsidRPr="00A3204A">
        <w:rPr>
          <w:rFonts w:ascii="Times-Roman" w:hAnsi="Times-Roman" w:cs="Times-Roman"/>
          <w:sz w:val="24"/>
          <w:szCs w:val="24"/>
        </w:rPr>
        <w:lastRenderedPageBreak/>
        <w:t xml:space="preserve">examination of Cicerone et al.’s (2000, 2005) Systematic Reviews. </w:t>
      </w:r>
      <w:r w:rsidRPr="00A3204A">
        <w:rPr>
          <w:rFonts w:ascii="Times New Roman" w:hAnsi="Times New Roman" w:cs="Times New Roman"/>
          <w:i/>
          <w:sz w:val="24"/>
          <w:szCs w:val="24"/>
        </w:rPr>
        <w:t>Neuropsychology, 23(1),</w:t>
      </w:r>
      <w:r w:rsidRPr="00A3204A">
        <w:rPr>
          <w:rFonts w:ascii="Times New Roman" w:hAnsi="Times New Roman" w:cs="Times New Roman"/>
          <w:sz w:val="24"/>
          <w:szCs w:val="24"/>
        </w:rPr>
        <w:t xml:space="preserve"> 20–39 DOI:10.1037/a0013659.</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Rosenberg, J. B., Shiloh, A. L., Savel, R. H., &amp; Eisen, L. A. (2011) Non-invasive methods of estimating intracranial pressue. </w:t>
      </w:r>
      <w:r w:rsidRPr="00A3204A">
        <w:rPr>
          <w:rFonts w:ascii="Times New Roman" w:hAnsi="Times New Roman" w:cs="Times New Roman"/>
          <w:i/>
          <w:sz w:val="24"/>
          <w:szCs w:val="24"/>
        </w:rPr>
        <w:t xml:space="preserve">Neurocritical Care. </w:t>
      </w:r>
      <w:r w:rsidRPr="00A3204A">
        <w:rPr>
          <w:rFonts w:ascii="Times New Roman" w:hAnsi="Times New Roman" w:cs="Times New Roman"/>
          <w:sz w:val="24"/>
          <w:szCs w:val="24"/>
        </w:rPr>
        <w:t>DOI:10.1007/s12028-011-9545-4.</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Rosenfeld, J. V., </w:t>
      </w:r>
      <w:smartTag w:uri="urn:schemas-microsoft-com:office:smarttags" w:element="place">
        <w:r w:rsidRPr="00A3204A">
          <w:rPr>
            <w:rFonts w:ascii="Times New Roman" w:hAnsi="Times New Roman" w:cs="Times New Roman"/>
            <w:sz w:val="24"/>
            <w:szCs w:val="24"/>
          </w:rPr>
          <w:t>Maas</w:t>
        </w:r>
      </w:smartTag>
      <w:r w:rsidRPr="00A3204A">
        <w:rPr>
          <w:rFonts w:ascii="Times New Roman" w:hAnsi="Times New Roman" w:cs="Times New Roman"/>
          <w:sz w:val="24"/>
          <w:szCs w:val="24"/>
        </w:rPr>
        <w:t xml:space="preserve">, A. I., Bragge, P., Morganti-Kossman, M. C., Manley, G. T., &amp; Gruen, R. L. (2012). Early management of severe traumatic brain injury. </w:t>
      </w:r>
      <w:r w:rsidRPr="00A3204A">
        <w:rPr>
          <w:rFonts w:ascii="Times New Roman" w:hAnsi="Times New Roman" w:cs="Times New Roman"/>
          <w:i/>
          <w:sz w:val="24"/>
          <w:szCs w:val="24"/>
        </w:rPr>
        <w:t>Lancet, 380,</w:t>
      </w:r>
      <w:r w:rsidRPr="00A3204A">
        <w:rPr>
          <w:rFonts w:ascii="Times New Roman" w:hAnsi="Times New Roman" w:cs="Times New Roman"/>
          <w:sz w:val="24"/>
          <w:szCs w:val="24"/>
        </w:rPr>
        <w:t xml:space="preserve"> 1088-1098.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Rosengren, S. M., Welgampola, M. S., &amp; Colebatch, J. G. (2010). Invited review vestibular evoked myogenic potentials: Past, present and future. </w:t>
      </w:r>
      <w:r w:rsidRPr="00A3204A">
        <w:rPr>
          <w:rFonts w:ascii="Times New Roman" w:hAnsi="Times New Roman" w:cs="Times New Roman"/>
          <w:i/>
          <w:sz w:val="24"/>
          <w:szCs w:val="24"/>
        </w:rPr>
        <w:t xml:space="preserve">Clinical Neurophysiology, 121, </w:t>
      </w:r>
      <w:r w:rsidRPr="00A3204A">
        <w:rPr>
          <w:rFonts w:ascii="Times New Roman" w:hAnsi="Times New Roman" w:cs="Times New Roman"/>
          <w:sz w:val="24"/>
          <w:szCs w:val="24"/>
        </w:rPr>
        <w:t>636–651. DOI:10.1016/j.clinph.2009.10.016.</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Rubin, A. M., Woolley, S. M., Dailey, V. M., &amp; Goebel J. A. (1995). Postural stability following mild head or whiplash injuries. </w:t>
      </w:r>
      <w:r w:rsidRPr="00A3204A">
        <w:rPr>
          <w:rFonts w:ascii="Times New Roman" w:hAnsi="Times New Roman" w:cs="Times New Roman"/>
          <w:i/>
          <w:sz w:val="24"/>
          <w:szCs w:val="24"/>
        </w:rPr>
        <w:t xml:space="preserve">The American Journal of Otology, 16(2), </w:t>
      </w:r>
      <w:r w:rsidRPr="00A3204A">
        <w:rPr>
          <w:rFonts w:ascii="Times New Roman" w:hAnsi="Times New Roman" w:cs="Times New Roman"/>
          <w:sz w:val="24"/>
          <w:szCs w:val="24"/>
        </w:rPr>
        <w:t xml:space="preserve">216-221.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Ruff, R. M., (2011). Mild traumatic brain injury and neural recovery: Rethinking the debate. </w:t>
      </w:r>
      <w:r w:rsidRPr="00A3204A">
        <w:rPr>
          <w:rFonts w:ascii="Times New Roman" w:hAnsi="Times New Roman" w:cs="Times New Roman"/>
          <w:i/>
          <w:sz w:val="24"/>
          <w:szCs w:val="24"/>
        </w:rPr>
        <w:t>NeuroRehabilitation, 28, 167</w:t>
      </w:r>
      <w:r w:rsidRPr="00A3204A">
        <w:rPr>
          <w:rFonts w:ascii="Times New Roman" w:hAnsi="Times New Roman" w:cs="Times New Roman"/>
          <w:sz w:val="24"/>
          <w:szCs w:val="24"/>
        </w:rPr>
        <w:t xml:space="preserve">-180. DOI: 10.3233/NRE-2011-0646.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872" w:name="Ruff2009"/>
      <w:bookmarkEnd w:id="872"/>
      <w:r w:rsidRPr="00A3204A">
        <w:rPr>
          <w:rFonts w:ascii="Times New Roman" w:hAnsi="Times New Roman" w:cs="Times New Roman"/>
          <w:sz w:val="24"/>
          <w:szCs w:val="24"/>
        </w:rPr>
        <w:t xml:space="preserve">Ruff, R. M., Iverson, G. L., Barth, F. T., Bush, S. S., Broshek, D. K., &amp; the </w:t>
      </w:r>
      <w:smartTag w:uri="urn:schemas-microsoft-com:office:smarttags" w:element="place">
        <w:r w:rsidRPr="00A3204A">
          <w:rPr>
            <w:rFonts w:ascii="Times New Roman" w:hAnsi="Times New Roman" w:cs="Times New Roman"/>
            <w:sz w:val="24"/>
            <w:szCs w:val="24"/>
          </w:rPr>
          <w:t>NAN</w:t>
        </w:r>
      </w:smartTag>
      <w:r w:rsidRPr="00A3204A">
        <w:rPr>
          <w:rFonts w:ascii="Times New Roman" w:hAnsi="Times New Roman" w:cs="Times New Roman"/>
          <w:sz w:val="24"/>
          <w:szCs w:val="24"/>
        </w:rPr>
        <w:t xml:space="preserve"> Policy and Planning Committee. (2009). Recommendations for diagnosing a mild traumatic brain injury: A National Academy of Neuropsychology Education paper. </w:t>
      </w:r>
      <w:r w:rsidRPr="00A3204A">
        <w:rPr>
          <w:rFonts w:ascii="Times New Roman" w:hAnsi="Times New Roman" w:cs="Times New Roman"/>
          <w:i/>
          <w:sz w:val="24"/>
          <w:szCs w:val="24"/>
        </w:rPr>
        <w:t xml:space="preserve">Archives of Clinical Neuropsychology, 24, </w:t>
      </w:r>
      <w:r w:rsidRPr="00A3204A">
        <w:rPr>
          <w:rFonts w:ascii="Times New Roman" w:hAnsi="Times New Roman" w:cs="Times New Roman"/>
          <w:sz w:val="24"/>
          <w:szCs w:val="24"/>
        </w:rPr>
        <w:t>3-10. DOI:10.1093/arclin/acp006.</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Ruff, R. M., &amp; Richards, P. M. (2003). </w:t>
      </w:r>
      <w:r w:rsidRPr="00A3204A">
        <w:rPr>
          <w:rFonts w:ascii="Times New Roman" w:hAnsi="Times New Roman" w:cs="Times New Roman"/>
          <w:bCs/>
          <w:sz w:val="24"/>
          <w:szCs w:val="24"/>
        </w:rPr>
        <w:t>Neuropsychological assessment and management of patients with persistent postconcussional disorders</w:t>
      </w:r>
      <w:r w:rsidRPr="00A3204A">
        <w:rPr>
          <w:rFonts w:ascii="Times New Roman" w:hAnsi="Times New Roman" w:cs="Times New Roman"/>
          <w:sz w:val="24"/>
          <w:szCs w:val="24"/>
        </w:rPr>
        <w:t xml:space="preserve">. </w:t>
      </w:r>
      <w:r w:rsidRPr="00A3204A">
        <w:rPr>
          <w:rFonts w:ascii="Times New Roman" w:hAnsi="Times New Roman" w:cs="Times New Roman"/>
          <w:i/>
          <w:sz w:val="24"/>
          <w:szCs w:val="24"/>
        </w:rPr>
        <w:t xml:space="preserve">Clinical Neuropsychology and Cost Outcome Research, </w:t>
      </w:r>
      <w:r w:rsidRPr="00A3204A">
        <w:rPr>
          <w:rFonts w:ascii="Times New Roman" w:hAnsi="Times New Roman" w:cs="Times New Roman"/>
          <w:sz w:val="24"/>
          <w:szCs w:val="24"/>
        </w:rPr>
        <w:t>(ch 4).</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873" w:name="Sahuquillo2006"/>
      <w:bookmarkEnd w:id="873"/>
      <w:r w:rsidRPr="00A3204A">
        <w:rPr>
          <w:rFonts w:ascii="Times New Roman" w:hAnsi="Times New Roman" w:cs="Times New Roman"/>
          <w:sz w:val="24"/>
          <w:szCs w:val="24"/>
        </w:rPr>
        <w:t xml:space="preserve">Sahuquillo, J. (2006). Decompressive craniectomy for the treatment of refractory high intracranial pressure in traumatic brain injury (Review). </w:t>
      </w:r>
      <w:r w:rsidRPr="00A3204A">
        <w:rPr>
          <w:rFonts w:ascii="Times New Roman" w:hAnsi="Times New Roman" w:cs="Times New Roman"/>
          <w:bCs/>
          <w:i/>
          <w:sz w:val="24"/>
          <w:szCs w:val="24"/>
        </w:rPr>
        <w:t>Cochrane Database of Systematic Reviews</w:t>
      </w:r>
      <w:r w:rsidRPr="00A3204A">
        <w:rPr>
          <w:rFonts w:ascii="Times New Roman" w:hAnsi="Times New Roman" w:cs="Times New Roman"/>
          <w:i/>
          <w:sz w:val="24"/>
          <w:szCs w:val="24"/>
        </w:rPr>
        <w:t xml:space="preserve">, 1, 1-41. </w:t>
      </w:r>
      <w:hyperlink r:id="rId85" w:history="1">
        <w:r w:rsidRPr="00A3204A">
          <w:rPr>
            <w:rFonts w:ascii="Times New Roman" w:hAnsi="Times New Roman" w:cs="Times New Roman"/>
            <w:color w:val="0000FF"/>
            <w:sz w:val="24"/>
            <w:szCs w:val="24"/>
            <w:u w:val="single"/>
          </w:rPr>
          <w:t>http://www.thecochranelibrary.com</w:t>
        </w:r>
      </w:hyperlink>
      <w:r w:rsidRPr="00A3204A">
        <w:rPr>
          <w:rFonts w:ascii="Times New Roman" w:hAnsi="Times New Roman" w:cs="Times New Roman"/>
          <w:sz w:val="24"/>
          <w:szCs w:val="24"/>
        </w:rPr>
        <w:t xml:space="preserve"> </w:t>
      </w:r>
    </w:p>
    <w:p w:rsidR="00A3204A" w:rsidRPr="00A3204A" w:rsidRDefault="00A3204A" w:rsidP="009C3DC2">
      <w:pPr>
        <w:numPr>
          <w:ilvl w:val="0"/>
          <w:numId w:val="33"/>
        </w:numPr>
        <w:spacing w:before="0" w:after="120"/>
        <w:rPr>
          <w:rFonts w:ascii="Times New Roman" w:hAnsi="Times New Roman" w:cs="Times New Roman"/>
          <w:i/>
          <w:sz w:val="24"/>
          <w:szCs w:val="24"/>
        </w:rPr>
      </w:pPr>
      <w:bookmarkStart w:id="874" w:name="Salazar2000"/>
      <w:bookmarkEnd w:id="874"/>
      <w:r w:rsidRPr="00A3204A">
        <w:rPr>
          <w:rFonts w:ascii="Times New Roman" w:hAnsi="Times New Roman" w:cs="Times New Roman"/>
          <w:sz w:val="24"/>
          <w:szCs w:val="24"/>
        </w:rPr>
        <w:t xml:space="preserve">Salazar, A. M., Warden, D. L., Schwab, K., Spector, J., Braverman, S., Walter, J., …Ellenbogen, R. G. (2000). Cognitive rehabilitation for traumatic brain injury a randomized trial. </w:t>
      </w:r>
      <w:r w:rsidRPr="00A3204A">
        <w:rPr>
          <w:rFonts w:ascii="Times New Roman" w:hAnsi="Times New Roman" w:cs="Times New Roman"/>
          <w:i/>
          <w:sz w:val="24"/>
          <w:szCs w:val="24"/>
        </w:rPr>
        <w:t xml:space="preserve">Journal of the American Medical Association, 283(23), </w:t>
      </w:r>
      <w:r w:rsidRPr="00A3204A">
        <w:rPr>
          <w:rFonts w:ascii="Times New Roman" w:hAnsi="Times New Roman" w:cs="Times New Roman"/>
          <w:sz w:val="24"/>
          <w:szCs w:val="24"/>
        </w:rPr>
        <w:t xml:space="preserve">3075-3081. </w:t>
      </w:r>
      <w:hyperlink r:id="rId86" w:history="1">
        <w:r w:rsidRPr="00A3204A">
          <w:rPr>
            <w:rFonts w:ascii="Times New Roman" w:hAnsi="Times New Roman" w:cs="Times New Roman"/>
            <w:color w:val="0000FF"/>
            <w:sz w:val="24"/>
            <w:szCs w:val="24"/>
            <w:u w:val="single"/>
          </w:rPr>
          <w:t>http://www.JAMA.com</w:t>
        </w:r>
      </w:hyperlink>
      <w:r w:rsidRPr="00A3204A">
        <w:rPr>
          <w:rFonts w:ascii="Times New Roman" w:hAnsi="Times New Roman" w:cs="Times New Roman"/>
          <w:sz w:val="24"/>
          <w:szCs w:val="24"/>
        </w:rPr>
        <w:t xml:space="preserve">.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r w:rsidRPr="00A3204A">
        <w:rPr>
          <w:rFonts w:ascii="Times New Roman" w:hAnsi="Times New Roman" w:cs="Times New Roman"/>
          <w:i/>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bCs/>
          <w:iCs/>
          <w:sz w:val="24"/>
          <w:szCs w:val="24"/>
        </w:rPr>
        <w:t xml:space="preserve">Sander, A. M., Roebuck, T. M., Struchen, M. A., Sherer, M., &amp; High, W. M. Jr. (2001). </w:t>
      </w:r>
      <w:r w:rsidRPr="00A3204A">
        <w:rPr>
          <w:rFonts w:ascii="Times New Roman" w:hAnsi="Times New Roman" w:cs="Times New Roman"/>
          <w:sz w:val="24"/>
          <w:szCs w:val="24"/>
        </w:rPr>
        <w:t xml:space="preserve">Long-term maintenance of gains obtained in postacute rehabilitation by persons with traumatic brain injury. </w:t>
      </w:r>
      <w:r w:rsidRPr="00A3204A">
        <w:rPr>
          <w:rFonts w:ascii="Times New Roman" w:hAnsi="Times New Roman" w:cs="Times New Roman"/>
          <w:i/>
          <w:sz w:val="24"/>
          <w:szCs w:val="24"/>
        </w:rPr>
        <w:t xml:space="preserve">Journal of Head Trauma Rehabilitation, 16(4), </w:t>
      </w:r>
      <w:r w:rsidRPr="00A3204A">
        <w:rPr>
          <w:rFonts w:ascii="Times New Roman" w:hAnsi="Times New Roman" w:cs="Times New Roman"/>
          <w:sz w:val="24"/>
          <w:szCs w:val="24"/>
        </w:rPr>
        <w:t>356–373.</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75" w:name="Sanders2009"/>
      <w:bookmarkEnd w:id="875"/>
      <w:r w:rsidRPr="00A3204A">
        <w:rPr>
          <w:rFonts w:ascii="Times New Roman" w:hAnsi="Times New Roman" w:cs="Times New Roman"/>
          <w:sz w:val="24"/>
          <w:szCs w:val="24"/>
        </w:rPr>
        <w:t xml:space="preserve">Sanders, L. (2009). Trawling the brain. </w:t>
      </w:r>
      <w:r w:rsidRPr="00A3204A">
        <w:rPr>
          <w:rFonts w:ascii="Times New Roman" w:hAnsi="Times New Roman" w:cs="Times New Roman"/>
          <w:i/>
          <w:sz w:val="24"/>
          <w:szCs w:val="24"/>
        </w:rPr>
        <w:t xml:space="preserve">Science News, 176(13), </w:t>
      </w:r>
      <w:r w:rsidRPr="00A3204A">
        <w:rPr>
          <w:rFonts w:ascii="Times New Roman" w:hAnsi="Times New Roman" w:cs="Times New Roman"/>
          <w:sz w:val="24"/>
          <w:szCs w:val="24"/>
        </w:rPr>
        <w:t xml:space="preserve">16-20.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76" w:name="Sarajuri2005"/>
      <w:bookmarkEnd w:id="876"/>
      <w:r w:rsidRPr="00A3204A">
        <w:rPr>
          <w:rFonts w:ascii="Times New Roman" w:hAnsi="Times New Roman" w:cs="Times New Roman"/>
          <w:bCs/>
          <w:iCs/>
          <w:sz w:val="24"/>
          <w:szCs w:val="24"/>
        </w:rPr>
        <w:t xml:space="preserve">Sarajuuri, J. M., Kaipio, M. –L., Koskinen, S. K., Niemelä, M. R., Servo, A. R., &amp; Vilkki, J. S. (2005). </w:t>
      </w:r>
      <w:r w:rsidRPr="00A3204A">
        <w:rPr>
          <w:rFonts w:ascii="Times New Roman" w:hAnsi="Times New Roman" w:cs="Times New Roman"/>
          <w:bCs/>
          <w:sz w:val="24"/>
          <w:szCs w:val="24"/>
        </w:rPr>
        <w:t xml:space="preserve">Outcome of a comprehensive neurorehabilitation program for patients with traumatic brain injury. </w:t>
      </w:r>
      <w:r w:rsidRPr="00A3204A">
        <w:rPr>
          <w:rFonts w:ascii="Times New Roman" w:hAnsi="Times New Roman" w:cs="Times New Roman"/>
          <w:bCs/>
          <w:i/>
          <w:sz w:val="24"/>
          <w:szCs w:val="24"/>
        </w:rPr>
        <w:t>Arch Phys Med Rehabil, 86,</w:t>
      </w:r>
      <w:r w:rsidRPr="00A3204A">
        <w:rPr>
          <w:rFonts w:ascii="Times New Roman" w:hAnsi="Times New Roman" w:cs="Times New Roman"/>
          <w:bCs/>
          <w:sz w:val="24"/>
          <w:szCs w:val="24"/>
        </w:rPr>
        <w:t xml:space="preserve"> 2296-2302. DOI:10.1016/j.apmr.2005.06.018.</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Saxena, M., Andrews P., &amp; Cheng A. (2008). Modest cooling therapies (34˚C to 37.5˚C) for traumatic brain injury. </w:t>
      </w:r>
      <w:r w:rsidRPr="00A3204A">
        <w:rPr>
          <w:rFonts w:ascii="Times New Roman" w:hAnsi="Times New Roman" w:cs="Times New Roman"/>
          <w:bCs/>
          <w:i/>
          <w:sz w:val="24"/>
          <w:szCs w:val="24"/>
        </w:rPr>
        <w:t>Cochrane Database of Systematic Reviews</w:t>
      </w:r>
      <w:r w:rsidRPr="00A3204A">
        <w:rPr>
          <w:rFonts w:ascii="Times New Roman" w:hAnsi="Times New Roman" w:cs="Times New Roman"/>
          <w:i/>
          <w:sz w:val="24"/>
          <w:szCs w:val="24"/>
        </w:rPr>
        <w:t xml:space="preserve">, 3, </w:t>
      </w:r>
      <w:r w:rsidRPr="00A3204A">
        <w:rPr>
          <w:rFonts w:ascii="Times New Roman" w:hAnsi="Times New Roman" w:cs="Times New Roman"/>
          <w:sz w:val="24"/>
          <w:szCs w:val="24"/>
        </w:rPr>
        <w:t xml:space="preserve">1-15. </w:t>
      </w:r>
      <w:hyperlink r:id="rId87" w:history="1">
        <w:r w:rsidRPr="00A3204A">
          <w:rPr>
            <w:rFonts w:ascii="Times New Roman" w:hAnsi="Times New Roman" w:cs="Times New Roman"/>
            <w:color w:val="0000FF"/>
            <w:sz w:val="24"/>
            <w:szCs w:val="24"/>
            <w:u w:val="single"/>
          </w:rPr>
          <w:t>http://www.thecochranelibrary.com</w:t>
        </w:r>
      </w:hyperlink>
      <w:r w:rsidRPr="00A3204A">
        <w:rPr>
          <w:rFonts w:ascii="Times New Roman" w:hAnsi="Times New Roman" w:cs="Times New Roman"/>
          <w:sz w:val="24"/>
          <w:szCs w:val="24"/>
        </w:rPr>
        <w:t xml:space="preserve">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lastRenderedPageBreak/>
        <w:t xml:space="preserve">Scheiman, M., Mitchell, G. L., M., Cotter, S., Kulp, M. T.,…Vensveen, J. (2005). A randomized clinical trial of vision therapy/orthoptics versus pencil pushups for the treatment of convergence insufficiency in young adults. </w:t>
      </w:r>
      <w:r w:rsidRPr="00A3204A">
        <w:rPr>
          <w:rFonts w:ascii="Times New Roman" w:hAnsi="Times New Roman" w:cs="Times New Roman"/>
          <w:i/>
          <w:sz w:val="24"/>
          <w:szCs w:val="24"/>
        </w:rPr>
        <w:t xml:space="preserve">Optometry and Vision Science, 82(7), </w:t>
      </w:r>
      <w:r w:rsidRPr="00A3204A">
        <w:rPr>
          <w:rFonts w:ascii="Times New Roman" w:hAnsi="Times New Roman" w:cs="Times New Roman"/>
          <w:sz w:val="24"/>
          <w:szCs w:val="24"/>
        </w:rPr>
        <w:t xml:space="preserve">E583-E595. DOI:10.1040-5488/8207-0583/0.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Schneider, H. J., Kreitschmann-Andermahr, </w:t>
      </w:r>
      <w:smartTag w:uri="urn:schemas-microsoft-com:office:smarttags" w:element="place">
        <w:r w:rsidRPr="00A3204A">
          <w:rPr>
            <w:rFonts w:ascii="Times New Roman" w:hAnsi="Times New Roman" w:cs="Times New Roman"/>
            <w:sz w:val="24"/>
            <w:szCs w:val="24"/>
          </w:rPr>
          <w:t>I.</w:t>
        </w:r>
      </w:smartTag>
      <w:r w:rsidRPr="00A3204A">
        <w:rPr>
          <w:rFonts w:ascii="Times New Roman" w:hAnsi="Times New Roman" w:cs="Times New Roman"/>
          <w:sz w:val="24"/>
          <w:szCs w:val="24"/>
        </w:rPr>
        <w:t xml:space="preserve">, Ghigo, E., Stalla, G. K., &amp; Agha, A. (2007). Hypothalamopituitary dysfunction following traumatic brain injury and aneurysmal subarachnoid hemorrhage a systematic review. </w:t>
      </w:r>
      <w:r w:rsidRPr="00A3204A">
        <w:rPr>
          <w:rFonts w:ascii="Times New Roman" w:hAnsi="Times New Roman" w:cs="Times New Roman"/>
          <w:i/>
          <w:sz w:val="24"/>
          <w:szCs w:val="24"/>
        </w:rPr>
        <w:t xml:space="preserve">Journal of the American Medical Association, 298(12), </w:t>
      </w:r>
      <w:r w:rsidRPr="00A3204A">
        <w:rPr>
          <w:rFonts w:ascii="Times New Roman" w:hAnsi="Times New Roman" w:cs="Times New Roman"/>
          <w:sz w:val="24"/>
          <w:szCs w:val="24"/>
        </w:rPr>
        <w:t xml:space="preserve">1429-1438.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77" w:name="Schreiber2006"/>
      <w:bookmarkEnd w:id="877"/>
      <w:r w:rsidRPr="00A3204A">
        <w:rPr>
          <w:rFonts w:ascii="Times New Roman" w:hAnsi="Times New Roman" w:cs="Times New Roman"/>
          <w:sz w:val="24"/>
          <w:szCs w:val="24"/>
        </w:rPr>
        <w:t xml:space="preserve">Schreiber, A., Vonthein, R., Reinhard, J.,  Trauzettel-Klosinski, S., Connert, C., &amp; Schiefer, U. (2006). </w:t>
      </w:r>
      <w:r w:rsidRPr="00A3204A">
        <w:rPr>
          <w:rFonts w:ascii="Times New Roman" w:hAnsi="Times New Roman" w:cs="Times New Roman"/>
          <w:bCs/>
          <w:sz w:val="24"/>
          <w:szCs w:val="24"/>
        </w:rPr>
        <w:t>Effect of visual restitution training on absolute homonymous scotomas.</w:t>
      </w:r>
      <w:r w:rsidRPr="00A3204A">
        <w:t xml:space="preserve"> </w:t>
      </w:r>
      <w:r w:rsidRPr="00A3204A">
        <w:rPr>
          <w:rFonts w:ascii="Times New Roman" w:hAnsi="Times New Roman" w:cs="Times New Roman"/>
          <w:i/>
          <w:sz w:val="24"/>
          <w:szCs w:val="24"/>
        </w:rPr>
        <w:t xml:space="preserve">Neurology, 67, </w:t>
      </w:r>
      <w:r w:rsidRPr="00A3204A">
        <w:rPr>
          <w:rFonts w:ascii="Times New Roman" w:hAnsi="Times New Roman" w:cs="Times New Roman"/>
          <w:bCs/>
          <w:sz w:val="24"/>
          <w:szCs w:val="24"/>
        </w:rPr>
        <w:t>143–145. DOI 10.1212/01.wnl.0000223338.26040.fb.</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878" w:name="Schultheis2002"/>
      <w:bookmarkEnd w:id="878"/>
      <w:r w:rsidRPr="00A3204A">
        <w:rPr>
          <w:rFonts w:ascii="Times New Roman" w:hAnsi="Times New Roman" w:cs="Times New Roman"/>
          <w:sz w:val="24"/>
          <w:szCs w:val="24"/>
        </w:rPr>
        <w:t xml:space="preserve">Schultheis, M. T., Himelstein, J., &amp; Rizzo, A. A. (2002). Virtual reality and neuropsychology: Upgrading the current tools. </w:t>
      </w:r>
      <w:r w:rsidRPr="00A3204A">
        <w:rPr>
          <w:rFonts w:ascii="Times New Roman" w:hAnsi="Times New Roman" w:cs="Times New Roman"/>
          <w:i/>
          <w:sz w:val="24"/>
          <w:szCs w:val="24"/>
        </w:rPr>
        <w:t xml:space="preserve">Journal of Head Trauma, 17(5), </w:t>
      </w:r>
      <w:r w:rsidRPr="00A3204A">
        <w:rPr>
          <w:rFonts w:ascii="Times New Roman" w:hAnsi="Times New Roman" w:cs="Times New Roman"/>
          <w:sz w:val="24"/>
          <w:szCs w:val="24"/>
        </w:rPr>
        <w:t>378-394. DOI:10.1097/00001199-200210000-00002.</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Scottish Intercollegiate Guidelines Network. (2009a). Early management of adult patients with a head injury; quick reference guide. </w:t>
      </w:r>
      <w:r w:rsidRPr="00A3204A">
        <w:rPr>
          <w:rFonts w:ascii="Times New Roman" w:hAnsi="Times New Roman" w:cs="Times New Roman"/>
          <w:i/>
          <w:sz w:val="24"/>
          <w:szCs w:val="24"/>
        </w:rPr>
        <w:t xml:space="preserve">(NHS) National Health Services, Quality Improvement </w:t>
      </w:r>
      <w:smartTag w:uri="urn:schemas-microsoft-com:office:smarttags" w:element="country-region">
        <w:smartTag w:uri="urn:schemas-microsoft-com:office:smarttags" w:element="place">
          <w:r w:rsidRPr="00A3204A">
            <w:rPr>
              <w:rFonts w:ascii="Times New Roman" w:hAnsi="Times New Roman" w:cs="Times New Roman"/>
              <w:i/>
              <w:sz w:val="24"/>
              <w:szCs w:val="24"/>
            </w:rPr>
            <w:t>Scotland</w:t>
          </w:r>
        </w:smartTag>
      </w:smartTag>
      <w:r w:rsidRPr="00A3204A">
        <w:rPr>
          <w:rFonts w:ascii="Times New Roman" w:hAnsi="Times New Roman" w:cs="Times New Roman"/>
          <w:i/>
          <w:sz w:val="24"/>
          <w:szCs w:val="24"/>
        </w:rPr>
        <w:t xml:space="preserve">, 110, </w:t>
      </w:r>
      <w:r w:rsidRPr="00A3204A">
        <w:rPr>
          <w:rFonts w:ascii="Times New Roman" w:hAnsi="Times New Roman" w:cs="Times New Roman"/>
          <w:sz w:val="24"/>
          <w:szCs w:val="24"/>
        </w:rPr>
        <w:t xml:space="preserve">1-14. </w:t>
      </w:r>
      <w:hyperlink r:id="rId88" w:history="1">
        <w:r w:rsidRPr="00A3204A">
          <w:rPr>
            <w:rFonts w:ascii="Times New Roman" w:hAnsi="Times New Roman" w:cs="Times New Roman"/>
            <w:color w:val="0000FF"/>
            <w:sz w:val="24"/>
            <w:szCs w:val="24"/>
            <w:u w:val="single"/>
          </w:rPr>
          <w:t>http://www.SIGN.AC.UK</w:t>
        </w:r>
      </w:hyperlink>
      <w:r w:rsidRPr="00A3204A">
        <w:rPr>
          <w:rFonts w:ascii="Times New Roman" w:hAnsi="Times New Roman" w:cs="Times New Roman"/>
          <w:sz w:val="24"/>
          <w:szCs w:val="24"/>
        </w:rPr>
        <w:t xml:space="preserve">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Scottish Intercollegiate Guidelines Network. (2009b). Early management of adult patients with a head injury; Recommendations online: Clinical knowledge evidence translation. </w:t>
      </w:r>
      <w:r w:rsidRPr="00A3204A">
        <w:rPr>
          <w:rFonts w:ascii="Times New Roman" w:hAnsi="Times New Roman" w:cs="Times New Roman"/>
          <w:i/>
          <w:sz w:val="24"/>
          <w:szCs w:val="24"/>
        </w:rPr>
        <w:t xml:space="preserve">(NHS) National Health Services, Quality Improvement </w:t>
      </w:r>
      <w:smartTag w:uri="urn:schemas-microsoft-com:office:smarttags" w:element="country-region">
        <w:smartTag w:uri="urn:schemas-microsoft-com:office:smarttags" w:element="place">
          <w:r w:rsidRPr="00A3204A">
            <w:rPr>
              <w:rFonts w:ascii="Times New Roman" w:hAnsi="Times New Roman" w:cs="Times New Roman"/>
              <w:i/>
              <w:sz w:val="24"/>
              <w:szCs w:val="24"/>
            </w:rPr>
            <w:t>Scotland</w:t>
          </w:r>
        </w:smartTag>
      </w:smartTag>
      <w:r w:rsidRPr="00A3204A">
        <w:rPr>
          <w:rFonts w:ascii="Times New Roman" w:hAnsi="Times New Roman" w:cs="Times New Roman"/>
          <w:i/>
          <w:sz w:val="24"/>
          <w:szCs w:val="24"/>
        </w:rPr>
        <w:t xml:space="preserve">, 110, </w:t>
      </w:r>
      <w:r w:rsidRPr="00A3204A">
        <w:rPr>
          <w:rFonts w:ascii="Times New Roman" w:hAnsi="Times New Roman" w:cs="Times New Roman"/>
          <w:sz w:val="24"/>
          <w:szCs w:val="24"/>
        </w:rPr>
        <w:t xml:space="preserve">1-14. </w:t>
      </w:r>
      <w:hyperlink r:id="rId89" w:history="1">
        <w:r w:rsidRPr="00A3204A">
          <w:rPr>
            <w:rFonts w:ascii="Times New Roman" w:hAnsi="Times New Roman" w:cs="Times New Roman"/>
            <w:color w:val="0000FF"/>
            <w:sz w:val="24"/>
            <w:szCs w:val="24"/>
            <w:u w:val="single"/>
          </w:rPr>
          <w:t>http://www.SIGN.AC.UK</w:t>
        </w:r>
      </w:hyperlink>
      <w:r w:rsidRPr="00A3204A">
        <w:rPr>
          <w:rFonts w:ascii="Times New Roman" w:hAnsi="Times New Roman" w:cs="Times New Roman"/>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Scottish Intercollegiate Guidelines Network. (2009c). Early management of patients with a head injury; a national clinical guideline. </w:t>
      </w:r>
      <w:r w:rsidRPr="00A3204A">
        <w:rPr>
          <w:rFonts w:ascii="Times New Roman" w:hAnsi="Times New Roman" w:cs="Times New Roman"/>
          <w:i/>
          <w:sz w:val="24"/>
          <w:szCs w:val="24"/>
        </w:rPr>
        <w:t xml:space="preserve">(NHS) National Health Services, Quality Improvement </w:t>
      </w:r>
      <w:smartTag w:uri="urn:schemas-microsoft-com:office:smarttags" w:element="country-region">
        <w:smartTag w:uri="urn:schemas-microsoft-com:office:smarttags" w:element="place">
          <w:r w:rsidRPr="00A3204A">
            <w:rPr>
              <w:rFonts w:ascii="Times New Roman" w:hAnsi="Times New Roman" w:cs="Times New Roman"/>
              <w:i/>
              <w:sz w:val="24"/>
              <w:szCs w:val="24"/>
            </w:rPr>
            <w:t>Scotland</w:t>
          </w:r>
        </w:smartTag>
      </w:smartTag>
      <w:r w:rsidRPr="00A3204A">
        <w:rPr>
          <w:rFonts w:ascii="Times New Roman" w:hAnsi="Times New Roman" w:cs="Times New Roman"/>
          <w:i/>
          <w:sz w:val="24"/>
          <w:szCs w:val="24"/>
        </w:rPr>
        <w:t xml:space="preserve">, 110, </w:t>
      </w:r>
      <w:r w:rsidRPr="00A3204A">
        <w:rPr>
          <w:rFonts w:ascii="Times New Roman" w:hAnsi="Times New Roman" w:cs="Times New Roman"/>
          <w:sz w:val="24"/>
          <w:szCs w:val="24"/>
        </w:rPr>
        <w:t xml:space="preserve">1-78. ISBN: 978 1 905813 46 9.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79" w:name="Seder2009"/>
      <w:bookmarkEnd w:id="879"/>
      <w:r w:rsidRPr="00A3204A">
        <w:rPr>
          <w:rFonts w:ascii="Times New Roman" w:hAnsi="Times New Roman" w:cs="Times New Roman"/>
          <w:sz w:val="24"/>
          <w:szCs w:val="24"/>
        </w:rPr>
        <w:t xml:space="preserve">Seder, D. B., &amp; Van der Kloot, T. E. (2009). Methods of cooling: Practical aspects of therapeutic temperature management. </w:t>
      </w:r>
      <w:r w:rsidRPr="00A3204A">
        <w:rPr>
          <w:rFonts w:ascii="Times New Roman" w:hAnsi="Times New Roman" w:cs="Times New Roman"/>
          <w:i/>
          <w:sz w:val="24"/>
          <w:szCs w:val="24"/>
        </w:rPr>
        <w:t xml:space="preserve">Critical Care Medicine, 37(7), </w:t>
      </w:r>
      <w:r w:rsidRPr="00A3204A">
        <w:rPr>
          <w:rFonts w:ascii="Times New Roman" w:hAnsi="Times New Roman" w:cs="Times New Roman"/>
          <w:sz w:val="24"/>
          <w:szCs w:val="24"/>
        </w:rPr>
        <w:t xml:space="preserve">S211-S222. </w:t>
      </w:r>
      <w:r w:rsidRPr="00A3204A">
        <w:rPr>
          <w:rFonts w:ascii="Times New Roman" w:hAnsi="Times New Roman" w:cs="Times New Roman"/>
          <w:bCs/>
          <w:sz w:val="24"/>
          <w:szCs w:val="24"/>
        </w:rPr>
        <w:t>DOI: 10.1097/CCM.0b013e3181aa5bad.</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Sellars, C., Hughes, T., &amp; Langhorne, P. (2005). Speech and language therapy for dysarthria due to non-progressive brain damage. </w:t>
      </w:r>
      <w:r w:rsidRPr="00A3204A">
        <w:rPr>
          <w:rFonts w:ascii="Times New Roman" w:hAnsi="Times New Roman" w:cs="Times New Roman"/>
          <w:bCs/>
          <w:i/>
          <w:sz w:val="24"/>
          <w:szCs w:val="24"/>
        </w:rPr>
        <w:t>Cochrane Database of Systematic Reviews</w:t>
      </w:r>
      <w:r w:rsidRPr="00A3204A">
        <w:rPr>
          <w:rFonts w:ascii="Times New Roman" w:hAnsi="Times New Roman" w:cs="Times New Roman"/>
          <w:i/>
          <w:iCs/>
          <w:sz w:val="24"/>
          <w:szCs w:val="24"/>
        </w:rPr>
        <w:t xml:space="preserve">, 3, </w:t>
      </w:r>
      <w:r w:rsidRPr="00A3204A">
        <w:rPr>
          <w:rFonts w:ascii="Times New Roman" w:hAnsi="Times New Roman" w:cs="Times New Roman"/>
          <w:iCs/>
          <w:sz w:val="24"/>
          <w:szCs w:val="24"/>
        </w:rPr>
        <w:t>1-13.</w:t>
      </w:r>
      <w:r w:rsidRPr="00A3204A">
        <w:rPr>
          <w:rFonts w:ascii="Times New Roman" w:hAnsi="Times New Roman" w:cs="Times New Roman"/>
          <w:sz w:val="24"/>
          <w:szCs w:val="24"/>
        </w:rPr>
        <w:t xml:space="preserve"> DOI:10.1002/14651858.CD002088.pub2.</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80" w:name="Shuhendler2009"/>
      <w:bookmarkEnd w:id="880"/>
      <w:r w:rsidRPr="00A3204A">
        <w:rPr>
          <w:rFonts w:ascii="Times New Roman" w:eastAsia="BerkeleyStd-Medium" w:hAnsi="Times New Roman" w:cs="Times New Roman"/>
          <w:sz w:val="24"/>
          <w:szCs w:val="24"/>
        </w:rPr>
        <w:t xml:space="preserve">Shuhendler, A. J., Lee, S., Siu, M., Ondovcik, S., Lam, K., Alabdullatif, A., … Einarson, T. R. (2009). </w:t>
      </w:r>
      <w:r w:rsidRPr="00A3204A">
        <w:rPr>
          <w:rFonts w:ascii="Times New Roman" w:hAnsi="Times New Roman" w:cs="Times New Roman"/>
          <w:sz w:val="24"/>
          <w:szCs w:val="24"/>
        </w:rPr>
        <w:t xml:space="preserve">Efficacy of botulinum toxin type A for the prophylaxis of episodic migraine headaches: A meta-analysis of randomized, double-blind, placebo-controlled trials. </w:t>
      </w:r>
      <w:r w:rsidRPr="00A3204A">
        <w:rPr>
          <w:rFonts w:ascii="Times New Roman" w:hAnsi="Times New Roman" w:cs="Times New Roman"/>
          <w:bCs/>
          <w:i/>
          <w:sz w:val="24"/>
          <w:szCs w:val="24"/>
        </w:rPr>
        <w:t xml:space="preserve">Pharmacotherapy,29(7), </w:t>
      </w:r>
      <w:r w:rsidRPr="00A3204A">
        <w:rPr>
          <w:rFonts w:ascii="Times New Roman" w:hAnsi="Times New Roman" w:cs="Times New Roman"/>
          <w:bCs/>
          <w:sz w:val="24"/>
          <w:szCs w:val="24"/>
        </w:rPr>
        <w:t xml:space="preserve">784–791.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Signoretti, S., Lazzarino, G., Tavazzik B, &amp; Vagnozzi, R. (2011). Concussion supplement: The pathophysiology of concussion</w:t>
      </w:r>
      <w:r w:rsidRPr="00A3204A">
        <w:rPr>
          <w:rFonts w:ascii="Times New Roman" w:hAnsi="Times New Roman" w:cs="Times New Roman"/>
          <w:i/>
          <w:sz w:val="24"/>
          <w:szCs w:val="24"/>
        </w:rPr>
        <w:t xml:space="preserve">. American </w:t>
      </w:r>
      <w:smartTag w:uri="urn:schemas-microsoft-com:office:smarttags" w:element="place">
        <w:smartTag w:uri="urn:schemas-microsoft-com:office:smarttags" w:element="PlaceType">
          <w:r w:rsidRPr="00A3204A">
            <w:rPr>
              <w:rFonts w:ascii="Times New Roman" w:hAnsi="Times New Roman" w:cs="Times New Roman"/>
              <w:i/>
              <w:sz w:val="24"/>
              <w:szCs w:val="24"/>
            </w:rPr>
            <w:t>Academy</w:t>
          </w:r>
        </w:smartTag>
        <w:r w:rsidRPr="00A3204A">
          <w:rPr>
            <w:rFonts w:ascii="Times New Roman" w:hAnsi="Times New Roman" w:cs="Times New Roman"/>
            <w:i/>
            <w:sz w:val="24"/>
            <w:szCs w:val="24"/>
          </w:rPr>
          <w:t xml:space="preserve"> of </w:t>
        </w:r>
        <w:smartTag w:uri="urn:schemas-microsoft-com:office:smarttags" w:element="PlaceName">
          <w:r w:rsidRPr="00A3204A">
            <w:rPr>
              <w:rFonts w:ascii="Times New Roman" w:hAnsi="Times New Roman" w:cs="Times New Roman"/>
              <w:i/>
              <w:sz w:val="24"/>
              <w:szCs w:val="24"/>
            </w:rPr>
            <w:t>Physical Medicine</w:t>
          </w:r>
        </w:smartTag>
      </w:smartTag>
      <w:r w:rsidRPr="00A3204A">
        <w:rPr>
          <w:rFonts w:ascii="Times New Roman" w:hAnsi="Times New Roman" w:cs="Times New Roman"/>
          <w:i/>
          <w:sz w:val="24"/>
          <w:szCs w:val="24"/>
        </w:rPr>
        <w:t xml:space="preserve"> and Rehabilitation, 3, </w:t>
      </w:r>
      <w:r w:rsidRPr="00A3204A">
        <w:rPr>
          <w:rFonts w:ascii="Times New Roman" w:hAnsi="Times New Roman" w:cs="Times New Roman"/>
          <w:sz w:val="24"/>
          <w:szCs w:val="24"/>
        </w:rPr>
        <w:t xml:space="preserve">S359-368. DOI: 1016/jlpmrj-2011-07-018.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881" w:name="Silberstein2012"/>
      <w:bookmarkEnd w:id="881"/>
      <w:r w:rsidRPr="00A3204A">
        <w:rPr>
          <w:rFonts w:ascii="Times New Roman" w:hAnsi="Times New Roman" w:cs="Times New Roman"/>
          <w:sz w:val="24"/>
          <w:szCs w:val="24"/>
        </w:rPr>
        <w:t xml:space="preserve">Silberstein, S. D., </w:t>
      </w:r>
      <w:smartTag w:uri="urn:schemas-microsoft-com:office:smarttags" w:element="place">
        <w:smartTag w:uri="urn:schemas-microsoft-com:office:smarttags" w:element="City">
          <w:r w:rsidRPr="00A3204A">
            <w:rPr>
              <w:rFonts w:ascii="Times New Roman" w:hAnsi="Times New Roman" w:cs="Times New Roman"/>
              <w:sz w:val="24"/>
              <w:szCs w:val="24"/>
            </w:rPr>
            <w:t>Holland</w:t>
          </w:r>
        </w:smartTag>
      </w:smartTag>
      <w:r w:rsidRPr="00A3204A">
        <w:rPr>
          <w:rFonts w:ascii="Times New Roman" w:hAnsi="Times New Roman" w:cs="Times New Roman"/>
          <w:sz w:val="24"/>
          <w:szCs w:val="24"/>
        </w:rPr>
        <w:t xml:space="preserve">, S., Freitag, F., Dodick, D. W., Argoff, C., &amp; Ashman, E. (2012). Evidence-based guideline update: Pharmacologic treatment for episodic migraine prevention in adults : Report of the Quality Standards Subcommittee of the </w:t>
      </w:r>
      <w:smartTag w:uri="urn:schemas-microsoft-com:office:smarttags" w:element="place">
        <w:smartTag w:uri="urn:schemas-microsoft-com:office:smarttags" w:element="PlaceName">
          <w:r w:rsidRPr="00A3204A">
            <w:rPr>
              <w:rFonts w:ascii="Times New Roman" w:hAnsi="Times New Roman" w:cs="Times New Roman"/>
              <w:sz w:val="24"/>
              <w:szCs w:val="24"/>
            </w:rPr>
            <w:t>American</w:t>
          </w:r>
        </w:smartTag>
        <w:r w:rsidRPr="00A3204A">
          <w:rPr>
            <w:rFonts w:ascii="Times New Roman" w:hAnsi="Times New Roman" w:cs="Times New Roman"/>
            <w:sz w:val="24"/>
            <w:szCs w:val="24"/>
          </w:rPr>
          <w:t xml:space="preserve"> </w:t>
        </w:r>
        <w:smartTag w:uri="urn:schemas-microsoft-com:office:smarttags" w:element="PlaceType">
          <w:r w:rsidRPr="00A3204A">
            <w:rPr>
              <w:rFonts w:ascii="Times New Roman" w:hAnsi="Times New Roman" w:cs="Times New Roman"/>
              <w:sz w:val="24"/>
              <w:szCs w:val="24"/>
            </w:rPr>
            <w:t>Academy</w:t>
          </w:r>
        </w:smartTag>
      </w:smartTag>
      <w:r w:rsidRPr="00A3204A">
        <w:rPr>
          <w:rFonts w:ascii="Times New Roman" w:hAnsi="Times New Roman" w:cs="Times New Roman"/>
          <w:sz w:val="24"/>
          <w:szCs w:val="24"/>
        </w:rPr>
        <w:t xml:space="preserve"> of Neurology and the American Headache Society. </w:t>
      </w:r>
      <w:r w:rsidRPr="00A3204A">
        <w:rPr>
          <w:rFonts w:ascii="Times New Roman" w:hAnsi="Times New Roman" w:cs="Times New Roman"/>
          <w:i/>
          <w:iCs/>
          <w:sz w:val="24"/>
          <w:szCs w:val="24"/>
        </w:rPr>
        <w:t xml:space="preserve">Neurology, </w:t>
      </w:r>
      <w:r w:rsidRPr="00A3204A">
        <w:rPr>
          <w:rFonts w:ascii="Times New Roman" w:hAnsi="Times New Roman" w:cs="Times New Roman"/>
          <w:i/>
          <w:sz w:val="24"/>
          <w:szCs w:val="24"/>
        </w:rPr>
        <w:t>78,</w:t>
      </w:r>
      <w:r w:rsidRPr="00A3204A">
        <w:rPr>
          <w:rFonts w:ascii="Times New Roman" w:hAnsi="Times New Roman" w:cs="Times New Roman"/>
          <w:sz w:val="24"/>
          <w:szCs w:val="24"/>
        </w:rPr>
        <w:t xml:space="preserve"> 1337-1346. DOI 10.1212/WNL.0b013e3182535d20.</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lastRenderedPageBreak/>
        <w:t xml:space="preserve">Silberstein, S. D., Stark, S. R., Lucas, S. M.,. . . Turkel, C. C. (2005). Botulinum toxin type A for the prophylactic treatment of chronic daily headache: A randomized, double-blind, placebo-controlled trial. </w:t>
      </w:r>
      <w:r w:rsidRPr="00A3204A">
        <w:rPr>
          <w:rFonts w:ascii="Times New Roman" w:hAnsi="Times New Roman" w:cs="Times New Roman"/>
          <w:i/>
          <w:sz w:val="24"/>
          <w:szCs w:val="24"/>
        </w:rPr>
        <w:t>Mayo Clin Proc., 80(9),</w:t>
      </w:r>
      <w:r w:rsidRPr="00A3204A">
        <w:rPr>
          <w:rFonts w:ascii="Times New Roman" w:hAnsi="Times New Roman" w:cs="Times New Roman"/>
          <w:sz w:val="24"/>
          <w:szCs w:val="24"/>
        </w:rPr>
        <w:t xml:space="preserve"> 1126-1137. </w:t>
      </w:r>
      <w:r w:rsidRPr="00A3204A">
        <w:rPr>
          <w:rFonts w:ascii="Times New Roman" w:hAnsi="Times New Roman" w:cs="Times New Roman"/>
          <w:sz w:val="24"/>
          <w:szCs w:val="24"/>
          <w:u w:val="single"/>
        </w:rPr>
        <w:t>www. mayoclinicproceedings.com</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82" w:name="Silveer2006"/>
      <w:bookmarkEnd w:id="882"/>
      <w:r w:rsidRPr="00A3204A">
        <w:rPr>
          <w:rFonts w:ascii="Times New Roman" w:hAnsi="Times New Roman" w:cs="Times New Roman"/>
          <w:sz w:val="24"/>
          <w:szCs w:val="24"/>
        </w:rPr>
        <w:t xml:space="preserve">Silver, J. M., Koumaras, B., Chen, M., Mirski, D., Potkin, S. G., Reyes, P., …Gunay, </w:t>
      </w:r>
      <w:smartTag w:uri="urn:schemas-microsoft-com:office:smarttags" w:element="place">
        <w:r w:rsidRPr="00A3204A">
          <w:rPr>
            <w:rFonts w:ascii="Times New Roman" w:hAnsi="Times New Roman" w:cs="Times New Roman"/>
            <w:sz w:val="24"/>
            <w:szCs w:val="24"/>
          </w:rPr>
          <w:t>I.</w:t>
        </w:r>
      </w:smartTag>
      <w:r w:rsidRPr="00A3204A">
        <w:rPr>
          <w:rFonts w:ascii="Times New Roman" w:hAnsi="Times New Roman" w:cs="Times New Roman"/>
          <w:sz w:val="24"/>
          <w:szCs w:val="24"/>
        </w:rPr>
        <w:t xml:space="preserve"> (2006). Effects of rivastigmine on cognitive function in patients with traumatic brain injury. </w:t>
      </w:r>
      <w:r w:rsidRPr="00A3204A">
        <w:rPr>
          <w:rFonts w:ascii="Times New Roman" w:hAnsi="Times New Roman" w:cs="Times New Roman"/>
          <w:i/>
          <w:sz w:val="24"/>
          <w:szCs w:val="24"/>
        </w:rPr>
        <w:t>Neurology, 67,</w:t>
      </w:r>
      <w:r w:rsidRPr="00A3204A">
        <w:rPr>
          <w:rFonts w:ascii="Times New Roman" w:hAnsi="Times New Roman" w:cs="Times New Roman"/>
          <w:sz w:val="24"/>
          <w:szCs w:val="24"/>
        </w:rPr>
        <w:t xml:space="preserve"> 748–755. DOI 10.1212/01.wnl.0000234062.98062.e9. </w:t>
      </w:r>
      <w:hyperlink r:id="rId90" w:history="1">
        <w:r w:rsidRPr="00A3204A">
          <w:rPr>
            <w:rFonts w:ascii="Times New Roman" w:hAnsi="Times New Roman" w:cs="Times New Roman"/>
            <w:color w:val="0000FF"/>
            <w:sz w:val="24"/>
            <w:szCs w:val="24"/>
            <w:u w:val="single"/>
          </w:rPr>
          <w:t>http://www.neurology.org/content/67/5/748.full.html</w:t>
        </w:r>
      </w:hyperlink>
      <w:r w:rsidRPr="00A3204A">
        <w:rPr>
          <w:rFonts w:ascii="Times New Roman" w:hAnsi="Times New Roman" w:cs="Times New Roman"/>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Silver, J. M., Koumaras, B., Meng, X., Potkin, S. G., Reyes, P. F., Harvey, P. D.,… Arciniegas, D. B. (2009). Long-term effects of rivastigmine capsules in patients with traumatic brain injury. </w:t>
      </w:r>
      <w:r w:rsidRPr="00A3204A">
        <w:rPr>
          <w:rFonts w:ascii="Times New Roman" w:hAnsi="Times New Roman" w:cs="Times New Roman"/>
          <w:i/>
          <w:sz w:val="24"/>
          <w:szCs w:val="24"/>
        </w:rPr>
        <w:t xml:space="preserve">Brain Injury, 23(2), </w:t>
      </w:r>
      <w:r w:rsidRPr="00A3204A">
        <w:rPr>
          <w:rFonts w:ascii="Times New Roman" w:hAnsi="Times New Roman" w:cs="Times New Roman"/>
          <w:sz w:val="24"/>
          <w:szCs w:val="24"/>
        </w:rPr>
        <w:t>123-32. DOI: 10.1080/02699050802649696.</w:t>
      </w:r>
    </w:p>
    <w:p w:rsidR="00A3204A" w:rsidRPr="00A3204A" w:rsidRDefault="00A3204A" w:rsidP="009C3DC2">
      <w:pPr>
        <w:numPr>
          <w:ilvl w:val="0"/>
          <w:numId w:val="33"/>
        </w:numPr>
        <w:spacing w:before="0" w:after="120"/>
        <w:rPr>
          <w:rFonts w:ascii="Times New Roman" w:hAnsi="Times New Roman" w:cs="Times New Roman"/>
          <w:i/>
          <w:sz w:val="24"/>
          <w:szCs w:val="24"/>
        </w:rPr>
      </w:pPr>
      <w:bookmarkStart w:id="883" w:name="Sinikalio2009"/>
      <w:bookmarkEnd w:id="883"/>
      <w:r w:rsidRPr="00A3204A">
        <w:rPr>
          <w:rFonts w:ascii="Times New Roman" w:hAnsi="Times New Roman" w:cs="Times New Roman"/>
          <w:sz w:val="24"/>
          <w:szCs w:val="24"/>
        </w:rPr>
        <w:t xml:space="preserve">Sinikallio, S., Aalto, T., Koivumaa-Honkanen, H., Airaksinen, O., Herno, A., Kroger, H., &amp; Viianamaki, H. (2009). Life dissatisfaction is associated with a poorer surgery outcome and depression among lumbar spinal stenosis patients: a 2-year prospective study. </w:t>
      </w:r>
      <w:r w:rsidRPr="00A3204A">
        <w:rPr>
          <w:rFonts w:ascii="Times New Roman" w:hAnsi="Times New Roman" w:cs="Times New Roman"/>
          <w:i/>
          <w:sz w:val="24"/>
          <w:szCs w:val="24"/>
        </w:rPr>
        <w:t>European Spine Journal, 18,</w:t>
      </w:r>
      <w:r w:rsidRPr="00A3204A">
        <w:rPr>
          <w:rFonts w:ascii="Times New Roman" w:hAnsi="Times New Roman" w:cs="Times New Roman"/>
          <w:sz w:val="24"/>
          <w:szCs w:val="24"/>
        </w:rPr>
        <w:t xml:space="preserve"> 1187–1193. DOI 10.1007/s00586-009-0955-3.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r w:rsidRPr="00A3204A">
        <w:rPr>
          <w:rFonts w:ascii="Times New Roman" w:hAnsi="Times New Roman" w:cs="Times New Roman"/>
          <w:i/>
          <w:sz w:val="24"/>
          <w:szCs w:val="24"/>
        </w:rPr>
        <w:t xml:space="preserve">. </w:t>
      </w:r>
    </w:p>
    <w:p w:rsidR="00A3204A" w:rsidRPr="00A3204A" w:rsidRDefault="00A3204A" w:rsidP="009C3DC2">
      <w:pPr>
        <w:numPr>
          <w:ilvl w:val="0"/>
          <w:numId w:val="33"/>
        </w:numPr>
        <w:spacing w:before="0" w:after="120"/>
        <w:rPr>
          <w:rFonts w:ascii="Times New Roman" w:hAnsi="Times New Roman" w:cs="Times New Roman"/>
          <w:i/>
          <w:sz w:val="24"/>
          <w:szCs w:val="24"/>
        </w:rPr>
      </w:pPr>
      <w:bookmarkStart w:id="884" w:name="Sinikalio2010"/>
      <w:bookmarkEnd w:id="884"/>
      <w:r w:rsidRPr="00A3204A">
        <w:rPr>
          <w:rFonts w:ascii="Times New Roman" w:hAnsi="Times New Roman" w:cs="Times New Roman"/>
          <w:sz w:val="24"/>
          <w:szCs w:val="24"/>
        </w:rPr>
        <w:t xml:space="preserve">Sinikallio, S., Aalto, T., Lehto, S., Airaksinen, O., Herno, A., Kroger, H., &amp; Viianamaki, H. (2010). Depressive symptoms predict postoperative disability among patients with lumbar spinal stenosis: A two-year prospective study comparing two age groups. </w:t>
      </w:r>
      <w:r w:rsidRPr="00A3204A">
        <w:rPr>
          <w:rFonts w:ascii="Times New Roman" w:hAnsi="Times New Roman" w:cs="Times New Roman"/>
          <w:i/>
          <w:sz w:val="24"/>
          <w:szCs w:val="24"/>
        </w:rPr>
        <w:t>Disability and Rehabilitation, 32(6),</w:t>
      </w:r>
      <w:r w:rsidRPr="00A3204A">
        <w:rPr>
          <w:rFonts w:ascii="Times New Roman" w:hAnsi="Times New Roman" w:cs="Times New Roman"/>
          <w:sz w:val="24"/>
          <w:szCs w:val="24"/>
        </w:rPr>
        <w:t xml:space="preserve"> 462–468. DOI: 10.3109/09638280903171477.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r w:rsidRPr="00A3204A">
        <w:rPr>
          <w:rFonts w:ascii="Times New Roman" w:hAnsi="Times New Roman" w:cs="Times New Roman"/>
          <w:i/>
          <w:sz w:val="24"/>
          <w:szCs w:val="24"/>
        </w:rPr>
        <w:t xml:space="preserve">.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85" w:name="Sirtori2009"/>
      <w:bookmarkEnd w:id="885"/>
      <w:r w:rsidRPr="00A3204A">
        <w:rPr>
          <w:rFonts w:ascii="Times New Roman" w:hAnsi="Times New Roman" w:cs="Times New Roman"/>
          <w:sz w:val="24"/>
          <w:szCs w:val="24"/>
        </w:rPr>
        <w:t xml:space="preserve">Sirtori, V., Corbetta, D., Moja, L., &amp; Gatti, R. (2009). Constraint-induced movement therapy for upper extremities in stroke patients. </w:t>
      </w:r>
      <w:r w:rsidRPr="00A3204A">
        <w:rPr>
          <w:rFonts w:ascii="Times New Roman" w:hAnsi="Times New Roman" w:cs="Times New Roman"/>
          <w:i/>
          <w:iCs/>
          <w:sz w:val="24"/>
          <w:szCs w:val="24"/>
        </w:rPr>
        <w:t xml:space="preserve">Cochrane Database of Systematic Reviews, 4, </w:t>
      </w:r>
      <w:r w:rsidRPr="00A3204A">
        <w:rPr>
          <w:rFonts w:ascii="Times New Roman" w:hAnsi="Times New Roman" w:cs="Times New Roman"/>
          <w:iCs/>
          <w:sz w:val="24"/>
          <w:szCs w:val="24"/>
        </w:rPr>
        <w:t>1-60</w:t>
      </w:r>
      <w:r w:rsidRPr="00A3204A">
        <w:rPr>
          <w:rFonts w:ascii="Times New Roman" w:hAnsi="Times New Roman" w:cs="Times New Roman"/>
          <w:sz w:val="24"/>
          <w:szCs w:val="24"/>
        </w:rPr>
        <w:t>. DOI: 10.1002/14651858.CD004433.pub2.</w:t>
      </w:r>
      <w:r w:rsidRPr="00A3204A">
        <w:rPr>
          <w:rFonts w:ascii="Times New Roman" w:hAnsi="Times New Roman" w:cs="Times New Roman"/>
          <w:i/>
          <w:sz w:val="24"/>
          <w:szCs w:val="24"/>
        </w:rPr>
        <w:t xml:space="preserve"> ***</w:t>
      </w:r>
      <w:r w:rsidRPr="00A3204A">
        <w:rPr>
          <w:rFonts w:ascii="Times New Roman" w:hAnsi="Times New Roman" w:cs="Times New Roman"/>
          <w:i/>
          <w:sz w:val="24"/>
          <w:szCs w:val="24"/>
          <w:highlight w:val="yellow"/>
        </w:rPr>
        <w:t>Used in Evidence Statement</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Sivan, M., Neumann, V., </w:t>
      </w:r>
      <w:smartTag w:uri="urn:schemas-microsoft-com:office:smarttags" w:element="place">
        <w:smartTag w:uri="urn:schemas-microsoft-com:office:smarttags" w:element="country-region">
          <w:r w:rsidRPr="00A3204A">
            <w:rPr>
              <w:rFonts w:ascii="Times New Roman" w:hAnsi="Times New Roman" w:cs="Times New Roman"/>
              <w:sz w:val="24"/>
              <w:szCs w:val="24"/>
            </w:rPr>
            <w:t>Kent</w:t>
          </w:r>
        </w:smartTag>
      </w:smartTag>
      <w:r w:rsidRPr="00A3204A">
        <w:rPr>
          <w:rFonts w:ascii="Times New Roman" w:hAnsi="Times New Roman" w:cs="Times New Roman"/>
          <w:sz w:val="24"/>
          <w:szCs w:val="24"/>
        </w:rPr>
        <w:t xml:space="preserve">, R., Stroud, A., &amp; Bhakta, B. (2010). Pharmacotherapy for treatment of attention deficits after non-progressive acquired brain injury. A systematic review. </w:t>
      </w:r>
      <w:r w:rsidRPr="00A3204A">
        <w:rPr>
          <w:rFonts w:ascii="Times New Roman" w:hAnsi="Times New Roman" w:cs="Times New Roman"/>
          <w:i/>
          <w:sz w:val="24"/>
          <w:szCs w:val="24"/>
        </w:rPr>
        <w:t xml:space="preserve">Clinical Rehabilitation, 24, </w:t>
      </w:r>
      <w:r w:rsidRPr="00A3204A">
        <w:rPr>
          <w:rFonts w:ascii="Times New Roman" w:hAnsi="Times New Roman" w:cs="Times New Roman"/>
          <w:sz w:val="24"/>
          <w:szCs w:val="24"/>
        </w:rPr>
        <w:t>110-121. DOI: 10.1177/0269215509343234.</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Slobounov, S.M., Zhang, K., Pennell, D., Ray, W., Johnson, B., &amp; Sebastianelli, W. (2009). Functional abnormalities in normally appearing athletes following mild traumatic brain injury: a functional MRI study. </w:t>
      </w:r>
      <w:r w:rsidRPr="00A3204A">
        <w:rPr>
          <w:rFonts w:ascii="Times New Roman" w:hAnsi="Times New Roman" w:cs="Times New Roman"/>
          <w:i/>
          <w:sz w:val="24"/>
          <w:szCs w:val="24"/>
        </w:rPr>
        <w:t xml:space="preserve">Exp Brain Res., 202(2), </w:t>
      </w:r>
      <w:r w:rsidRPr="00A3204A">
        <w:rPr>
          <w:rFonts w:ascii="Times New Roman" w:hAnsi="Times New Roman" w:cs="Times New Roman"/>
          <w:sz w:val="24"/>
          <w:szCs w:val="24"/>
        </w:rPr>
        <w:t>341-354. DOI: 10.1007/s00221-009-2414-6.</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Smith, C. (2011). Neuropathology. </w:t>
      </w:r>
      <w:r w:rsidRPr="00A3204A">
        <w:rPr>
          <w:rFonts w:ascii="Times New Roman" w:hAnsi="Times New Roman" w:cs="Times New Roman"/>
          <w:i/>
          <w:sz w:val="24"/>
          <w:szCs w:val="24"/>
        </w:rPr>
        <w:t>American Psychiatric Association, 2,</w:t>
      </w:r>
      <w:r w:rsidRPr="00A3204A">
        <w:rPr>
          <w:rFonts w:ascii="Times New Roman" w:hAnsi="Times New Roman" w:cs="Times New Roman"/>
          <w:sz w:val="24"/>
          <w:szCs w:val="24"/>
        </w:rPr>
        <w:t xml:space="preserve"> 1-21 DOI: 10.1176/appi. books.9781585624201.671834. </w:t>
      </w:r>
      <w:hyperlink r:id="rId91" w:history="1">
        <w:r w:rsidRPr="00A3204A">
          <w:rPr>
            <w:rFonts w:ascii="Times New Roman" w:hAnsi="Times New Roman" w:cs="Times New Roman"/>
            <w:color w:val="0000FF"/>
            <w:sz w:val="24"/>
            <w:szCs w:val="24"/>
            <w:u w:val="single"/>
          </w:rPr>
          <w:t>http://www.psychiatryonline.com</w:t>
        </w:r>
      </w:hyperlink>
      <w:r w:rsidRPr="00A3204A">
        <w:rPr>
          <w:rFonts w:ascii="Times New Roman" w:hAnsi="Times New Roman" w:cs="Times New Roman"/>
          <w:sz w:val="24"/>
          <w:szCs w:val="24"/>
          <w:u w:val="single"/>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86" w:name="Sohlberg1987"/>
      <w:bookmarkEnd w:id="886"/>
      <w:r w:rsidRPr="00A3204A">
        <w:rPr>
          <w:rFonts w:ascii="Times New Roman" w:hAnsi="Times New Roman" w:cs="Times New Roman"/>
          <w:sz w:val="24"/>
          <w:szCs w:val="24"/>
        </w:rPr>
        <w:t xml:space="preserve">Sohlberg, M. M., &amp; Mateer, C. A., (1987). Effectiveness of an attention-training program. </w:t>
      </w:r>
      <w:r w:rsidRPr="00A3204A">
        <w:rPr>
          <w:rFonts w:ascii="Times New Roman" w:hAnsi="Times New Roman" w:cs="Times New Roman"/>
          <w:i/>
          <w:sz w:val="24"/>
          <w:szCs w:val="24"/>
        </w:rPr>
        <w:t xml:space="preserve">Journal of Clinical and Experimental Neuropsychology, 9(2), </w:t>
      </w:r>
      <w:r w:rsidRPr="00A3204A">
        <w:rPr>
          <w:rFonts w:ascii="Times New Roman" w:hAnsi="Times New Roman" w:cs="Times New Roman"/>
          <w:sz w:val="24"/>
          <w:szCs w:val="24"/>
        </w:rPr>
        <w:t xml:space="preserve">117-130.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Soo, C., Tate, R. (2007). Psychological treatment for anxiety in people with traumatic brain injury (Review). </w:t>
      </w:r>
      <w:r w:rsidRPr="00A3204A">
        <w:rPr>
          <w:rFonts w:ascii="Times New Roman" w:hAnsi="Times New Roman" w:cs="Times New Roman"/>
          <w:bCs/>
          <w:i/>
          <w:sz w:val="24"/>
          <w:szCs w:val="24"/>
        </w:rPr>
        <w:t>Cochrane Database of Systematic Reviews</w:t>
      </w:r>
      <w:r w:rsidRPr="00A3204A">
        <w:rPr>
          <w:rFonts w:ascii="Times New Roman" w:hAnsi="Times New Roman" w:cs="Times New Roman"/>
          <w:i/>
          <w:sz w:val="24"/>
          <w:szCs w:val="24"/>
        </w:rPr>
        <w:t xml:space="preserve">, 3, </w:t>
      </w:r>
      <w:r w:rsidRPr="00A3204A">
        <w:rPr>
          <w:rFonts w:ascii="Times New Roman" w:hAnsi="Times New Roman" w:cs="Times New Roman"/>
          <w:sz w:val="24"/>
          <w:szCs w:val="24"/>
        </w:rPr>
        <w:t xml:space="preserve">1-23. DOI: 10.1002/14651858.CD005239.pub2. </w:t>
      </w:r>
      <w:hyperlink r:id="rId92" w:history="1">
        <w:r w:rsidRPr="00A3204A">
          <w:rPr>
            <w:rFonts w:ascii="Times New Roman" w:hAnsi="Times New Roman" w:cs="Times New Roman"/>
            <w:color w:val="0000FF"/>
            <w:sz w:val="24"/>
            <w:szCs w:val="24"/>
            <w:u w:val="single"/>
          </w:rPr>
          <w:t>http://www.thecochranelibrary.com</w:t>
        </w:r>
      </w:hyperlink>
      <w:r w:rsidRPr="00A3204A">
        <w:rPr>
          <w:rFonts w:ascii="Times New Roman" w:hAnsi="Times New Roman" w:cs="Times New Roman"/>
          <w:sz w:val="24"/>
          <w:szCs w:val="24"/>
        </w:rPr>
        <w:t xml:space="preserve"> </w:t>
      </w:r>
    </w:p>
    <w:p w:rsidR="00A3204A" w:rsidRPr="00A3204A" w:rsidRDefault="00A3204A" w:rsidP="009C3DC2">
      <w:pPr>
        <w:numPr>
          <w:ilvl w:val="0"/>
          <w:numId w:val="33"/>
        </w:numPr>
        <w:spacing w:before="0" w:after="120"/>
        <w:rPr>
          <w:rFonts w:ascii="Times New Roman" w:hAnsi="Times New Roman" w:cs="Times New Roman"/>
          <w:i/>
          <w:sz w:val="24"/>
          <w:szCs w:val="24"/>
        </w:rPr>
      </w:pPr>
      <w:bookmarkStart w:id="887" w:name="Spikeman2010"/>
      <w:bookmarkEnd w:id="887"/>
      <w:r w:rsidRPr="00A3204A">
        <w:rPr>
          <w:rFonts w:ascii="Times New Roman" w:hAnsi="Times New Roman" w:cs="Times New Roman"/>
          <w:sz w:val="24"/>
          <w:szCs w:val="24"/>
        </w:rPr>
        <w:t xml:space="preserve">Spikeman, J. M., Boelen, D. H. E., Lamberts, K., Brouwer, W. H., &amp; Basotti, L., (2010). Effects of a multifaceted treatment program for executive dysfunction after acquired </w:t>
      </w:r>
      <w:r w:rsidRPr="00A3204A">
        <w:rPr>
          <w:rFonts w:ascii="Times New Roman" w:hAnsi="Times New Roman" w:cs="Times New Roman"/>
          <w:sz w:val="24"/>
          <w:szCs w:val="24"/>
        </w:rPr>
        <w:lastRenderedPageBreak/>
        <w:t xml:space="preserve">brain injury on indications of executive functioning in daily life. </w:t>
      </w:r>
      <w:r w:rsidRPr="00A3204A">
        <w:rPr>
          <w:rFonts w:ascii="Times New Roman" w:hAnsi="Times New Roman" w:cs="Times New Roman"/>
          <w:i/>
          <w:sz w:val="24"/>
          <w:szCs w:val="24"/>
        </w:rPr>
        <w:t xml:space="preserve">Journal of the International Neuropsychological Society, 16, </w:t>
      </w:r>
      <w:r w:rsidRPr="00A3204A">
        <w:rPr>
          <w:rFonts w:ascii="Times New Roman" w:hAnsi="Times New Roman" w:cs="Times New Roman"/>
          <w:sz w:val="24"/>
          <w:szCs w:val="24"/>
        </w:rPr>
        <w:t xml:space="preserve">118-129. DOI:10.1017/S13555617709991020.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r w:rsidRPr="00A3204A">
        <w:rPr>
          <w:rFonts w:ascii="Times New Roman" w:hAnsi="Times New Roman" w:cs="Times New Roman"/>
          <w:i/>
          <w:sz w:val="24"/>
          <w:szCs w:val="24"/>
        </w:rPr>
        <w:t xml:space="preserve">.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888" w:name="Spoor2008"/>
      <w:bookmarkEnd w:id="888"/>
      <w:r w:rsidRPr="00A3204A">
        <w:rPr>
          <w:rFonts w:ascii="Times New Roman" w:hAnsi="Times New Roman" w:cs="Times New Roman"/>
          <w:sz w:val="24"/>
          <w:szCs w:val="24"/>
        </w:rPr>
        <w:t>Spoor, T. C. (2008). Traumatic Optic Neuropathies.</w:t>
      </w:r>
      <w:r w:rsidRPr="00A3204A">
        <w:rPr>
          <w:rFonts w:ascii="Times New Roman" w:hAnsi="Times New Roman" w:cs="Times New Roman"/>
          <w:i/>
          <w:sz w:val="24"/>
          <w:szCs w:val="24"/>
        </w:rPr>
        <w:t xml:space="preserve"> </w:t>
      </w:r>
      <w:r w:rsidRPr="00A3204A">
        <w:rPr>
          <w:rFonts w:ascii="Times New Roman" w:hAnsi="Times New Roman" w:cs="Times New Roman"/>
          <w:sz w:val="24"/>
          <w:szCs w:val="24"/>
        </w:rPr>
        <w:t xml:space="preserve">In Yanoff, M., &amp; Duker, J. S. (Ed.) </w:t>
      </w:r>
      <w:r w:rsidRPr="00A3204A">
        <w:rPr>
          <w:rFonts w:ascii="Times New Roman" w:hAnsi="Times New Roman" w:cs="Times New Roman"/>
          <w:i/>
          <w:sz w:val="24"/>
          <w:szCs w:val="24"/>
        </w:rPr>
        <w:t>Ophthalmology, 3</w:t>
      </w:r>
      <w:r w:rsidRPr="00A3204A">
        <w:rPr>
          <w:rFonts w:ascii="Times New Roman" w:hAnsi="Times New Roman" w:cs="Times New Roman"/>
          <w:i/>
          <w:sz w:val="24"/>
          <w:szCs w:val="24"/>
          <w:vertAlign w:val="superscript"/>
        </w:rPr>
        <w:t>rd</w:t>
      </w:r>
      <w:r w:rsidRPr="00A3204A">
        <w:rPr>
          <w:rFonts w:ascii="Times New Roman" w:hAnsi="Times New Roman" w:cs="Times New Roman"/>
          <w:i/>
          <w:sz w:val="24"/>
          <w:szCs w:val="24"/>
        </w:rPr>
        <w:t xml:space="preserve"> edition, </w:t>
      </w:r>
      <w:r w:rsidRPr="00A3204A">
        <w:rPr>
          <w:rFonts w:ascii="Times New Roman" w:hAnsi="Times New Roman" w:cs="Times New Roman"/>
          <w:sz w:val="24"/>
          <w:szCs w:val="24"/>
        </w:rPr>
        <w:t>(ch 9.10).</w:t>
      </w:r>
      <w:r w:rsidRPr="00A3204A">
        <w:rPr>
          <w:rFonts w:ascii="Times New Roman" w:hAnsi="Times New Roman" w:cs="Times New Roman"/>
          <w:i/>
          <w:sz w:val="24"/>
          <w:szCs w:val="24"/>
        </w:rPr>
        <w:t xml:space="preserve"> </w:t>
      </w:r>
      <w:r w:rsidRPr="00A3204A">
        <w:rPr>
          <w:rFonts w:ascii="Times New Roman" w:hAnsi="Times New Roman" w:cs="Times New Roman"/>
          <w:sz w:val="24"/>
          <w:szCs w:val="24"/>
        </w:rPr>
        <w:t>Retreived from http://www.mdconsult.com.</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Staab J. P. (2006). Chronic dizziness: the interface between psychiatry and neuro-otology. </w:t>
      </w:r>
      <w:r w:rsidRPr="00A3204A">
        <w:rPr>
          <w:rFonts w:ascii="Times New Roman" w:hAnsi="Times New Roman" w:cs="Times New Roman"/>
          <w:i/>
          <w:sz w:val="24"/>
          <w:szCs w:val="24"/>
        </w:rPr>
        <w:t xml:space="preserve">Current Opinion in Neurology, 19, </w:t>
      </w:r>
      <w:r w:rsidRPr="00A3204A">
        <w:rPr>
          <w:rFonts w:ascii="Times New Roman" w:hAnsi="Times New Roman" w:cs="Times New Roman"/>
          <w:sz w:val="24"/>
          <w:szCs w:val="24"/>
        </w:rPr>
        <w:t xml:space="preserve">41-48.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Staab J. P., &amp; Ruckenstein, M. J. (2007). Expanding the differential diagnosis of chronic dizziness. </w:t>
      </w:r>
      <w:r w:rsidRPr="00A3204A">
        <w:rPr>
          <w:rFonts w:ascii="Times New Roman" w:hAnsi="Times New Roman" w:cs="Times New Roman"/>
          <w:i/>
          <w:sz w:val="24"/>
          <w:szCs w:val="24"/>
        </w:rPr>
        <w:t xml:space="preserve">Archives Otolaryngol Head Neck Surg., 133, </w:t>
      </w:r>
      <w:r w:rsidRPr="00A3204A">
        <w:rPr>
          <w:rFonts w:ascii="Times New Roman" w:hAnsi="Times New Roman" w:cs="Times New Roman"/>
          <w:sz w:val="24"/>
          <w:szCs w:val="24"/>
        </w:rPr>
        <w:t xml:space="preserve">170-176. </w:t>
      </w:r>
      <w:hyperlink r:id="rId93" w:history="1">
        <w:r w:rsidRPr="00A3204A">
          <w:rPr>
            <w:rFonts w:ascii="Times New Roman" w:hAnsi="Times New Roman" w:cs="Times New Roman"/>
            <w:color w:val="0000FF"/>
            <w:sz w:val="24"/>
            <w:szCs w:val="24"/>
            <w:u w:val="single"/>
          </w:rPr>
          <w:t>http://www.archoto.com</w:t>
        </w:r>
      </w:hyperlink>
      <w:r w:rsidRPr="00A3204A">
        <w:rPr>
          <w:rFonts w:ascii="Times New Roman" w:hAnsi="Times New Roman" w:cs="Times New Roman"/>
          <w:sz w:val="24"/>
          <w:szCs w:val="24"/>
          <w:u w:val="single"/>
        </w:rPr>
        <w:t xml:space="preserve">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bCs/>
          <w:sz w:val="24"/>
          <w:szCs w:val="24"/>
        </w:rPr>
      </w:pPr>
      <w:r w:rsidRPr="00A3204A">
        <w:rPr>
          <w:rFonts w:ascii="Times New Roman" w:hAnsi="Times New Roman" w:cs="Times New Roman"/>
          <w:sz w:val="24"/>
          <w:szCs w:val="24"/>
        </w:rPr>
        <w:t xml:space="preserve">Stern, R. A., Riley, D. O., Daneshavar, D. H., Nowinski, C. J.,… McKee, A. C. (2011) Long-term consequences of repetitive brain trauma: Chronic traumatic encephalopathy. </w:t>
      </w:r>
      <w:r w:rsidRPr="00A3204A">
        <w:rPr>
          <w:rFonts w:ascii="Times New Roman" w:hAnsi="Times New Roman" w:cs="Times New Roman"/>
          <w:i/>
          <w:sz w:val="24"/>
          <w:szCs w:val="24"/>
        </w:rPr>
        <w:t xml:space="preserve">American </w:t>
      </w:r>
      <w:smartTag w:uri="urn:schemas-microsoft-com:office:smarttags" w:element="place">
        <w:smartTag w:uri="urn:schemas-microsoft-com:office:smarttags" w:element="PlaceType">
          <w:r w:rsidRPr="00A3204A">
            <w:rPr>
              <w:rFonts w:ascii="Times New Roman" w:hAnsi="Times New Roman" w:cs="Times New Roman"/>
              <w:i/>
              <w:sz w:val="24"/>
              <w:szCs w:val="24"/>
            </w:rPr>
            <w:t>Academy</w:t>
          </w:r>
        </w:smartTag>
        <w:r w:rsidRPr="00A3204A">
          <w:rPr>
            <w:rFonts w:ascii="Times New Roman" w:hAnsi="Times New Roman" w:cs="Times New Roman"/>
            <w:i/>
            <w:sz w:val="24"/>
            <w:szCs w:val="24"/>
          </w:rPr>
          <w:t xml:space="preserve"> of </w:t>
        </w:r>
        <w:smartTag w:uri="urn:schemas-microsoft-com:office:smarttags" w:element="PlaceName">
          <w:r w:rsidRPr="00A3204A">
            <w:rPr>
              <w:rFonts w:ascii="Times New Roman" w:hAnsi="Times New Roman" w:cs="Times New Roman"/>
              <w:i/>
              <w:sz w:val="24"/>
              <w:szCs w:val="24"/>
            </w:rPr>
            <w:t>Physical Medicine</w:t>
          </w:r>
        </w:smartTag>
      </w:smartTag>
      <w:r w:rsidRPr="00A3204A">
        <w:rPr>
          <w:rFonts w:ascii="Times New Roman" w:hAnsi="Times New Roman" w:cs="Times New Roman"/>
          <w:i/>
          <w:sz w:val="24"/>
          <w:szCs w:val="24"/>
        </w:rPr>
        <w:t xml:space="preserve"> and Rehabilitation, 3, </w:t>
      </w:r>
      <w:r w:rsidRPr="00A3204A">
        <w:rPr>
          <w:rFonts w:ascii="Times New Roman" w:hAnsi="Times New Roman" w:cs="Times New Roman"/>
          <w:sz w:val="24"/>
          <w:szCs w:val="24"/>
        </w:rPr>
        <w:t xml:space="preserve">S460-S467 DOI: 10.1016/j. -pmrj.2011.08.008.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bCs/>
          <w:sz w:val="24"/>
          <w:szCs w:val="24"/>
        </w:rPr>
      </w:pPr>
      <w:r w:rsidRPr="00A3204A">
        <w:rPr>
          <w:rFonts w:ascii="Times New Roman" w:hAnsi="Times New Roman" w:cs="Times New Roman"/>
          <w:sz w:val="24"/>
          <w:szCs w:val="24"/>
        </w:rPr>
        <w:t xml:space="preserve">Stetler, C. B., Damschroder, L, J., Helfrich, C. D., &amp; Hagedorn, H. J. (2011). </w:t>
      </w:r>
      <w:r w:rsidRPr="00A3204A">
        <w:rPr>
          <w:rFonts w:ascii="Times New Roman" w:hAnsi="Times New Roman" w:cs="Times New Roman"/>
          <w:bCs/>
          <w:sz w:val="24"/>
          <w:szCs w:val="24"/>
        </w:rPr>
        <w:t xml:space="preserve">A Guide for applying a revised version of the PARIHS framework for implementation. </w:t>
      </w:r>
      <w:r w:rsidRPr="00A3204A">
        <w:rPr>
          <w:rFonts w:ascii="Times New Roman" w:hAnsi="Times New Roman" w:cs="Times New Roman"/>
          <w:bCs/>
          <w:i/>
          <w:sz w:val="24"/>
          <w:szCs w:val="24"/>
        </w:rPr>
        <w:t xml:space="preserve">Implementation Science, 6(99), </w:t>
      </w:r>
      <w:r w:rsidRPr="00A3204A">
        <w:rPr>
          <w:rFonts w:ascii="Times New Roman" w:hAnsi="Times New Roman" w:cs="Times New Roman"/>
          <w:bCs/>
          <w:sz w:val="24"/>
          <w:szCs w:val="24"/>
        </w:rPr>
        <w:t xml:space="preserve">1-29. doi:10.1186/1748-5908-6-99. </w:t>
      </w:r>
      <w:hyperlink r:id="rId94" w:history="1">
        <w:r w:rsidRPr="00A3204A">
          <w:rPr>
            <w:rFonts w:ascii="Times New Roman" w:hAnsi="Times New Roman" w:cs="Times New Roman"/>
            <w:bCs/>
            <w:color w:val="0000FF"/>
            <w:sz w:val="24"/>
            <w:szCs w:val="24"/>
            <w:u w:val="single"/>
          </w:rPr>
          <w:t>http://www.implementationscience.com/content/6/1/99</w:t>
        </w:r>
      </w:hyperlink>
      <w:r w:rsidRPr="00A3204A">
        <w:rPr>
          <w:rFonts w:ascii="Times New Roman" w:hAnsi="Times New Roman" w:cs="Times New Roman"/>
          <w:bCs/>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Stewart, M. G., Chen, A. Y., Wyatt, R., Favrot, S., Jenkins, H. A. (1999). Cost-effectiveness of the diagnostic evaluation of vertigo</w:t>
      </w:r>
      <w:r w:rsidRPr="00A3204A">
        <w:rPr>
          <w:rFonts w:ascii="Times New Roman" w:hAnsi="Times New Roman" w:cs="Times New Roman"/>
          <w:i/>
          <w:sz w:val="24"/>
          <w:szCs w:val="24"/>
        </w:rPr>
        <w:t xml:space="preserve">. Laryngoscope, 109, </w:t>
      </w:r>
      <w:r w:rsidRPr="00A3204A">
        <w:rPr>
          <w:rFonts w:ascii="Times New Roman" w:hAnsi="Times New Roman" w:cs="Times New Roman"/>
          <w:sz w:val="24"/>
          <w:szCs w:val="24"/>
        </w:rPr>
        <w:t xml:space="preserve">600-605.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889" w:name="Stiver2009"/>
      <w:bookmarkEnd w:id="889"/>
      <w:r w:rsidRPr="00A3204A">
        <w:rPr>
          <w:rFonts w:ascii="Times New Roman" w:hAnsi="Times New Roman" w:cs="Times New Roman"/>
          <w:sz w:val="24"/>
          <w:szCs w:val="24"/>
        </w:rPr>
        <w:t xml:space="preserve">Stiver, </w:t>
      </w:r>
      <w:smartTag w:uri="urn:schemas-microsoft-com:office:smarttags" w:element="place">
        <w:r w:rsidRPr="00A3204A">
          <w:rPr>
            <w:rFonts w:ascii="Times New Roman" w:hAnsi="Times New Roman" w:cs="Times New Roman"/>
            <w:sz w:val="24"/>
            <w:szCs w:val="24"/>
          </w:rPr>
          <w:t>S. I.</w:t>
        </w:r>
      </w:smartTag>
      <w:r w:rsidRPr="00A3204A">
        <w:rPr>
          <w:rFonts w:ascii="Times New Roman" w:hAnsi="Times New Roman" w:cs="Times New Roman"/>
          <w:sz w:val="24"/>
          <w:szCs w:val="24"/>
        </w:rPr>
        <w:t xml:space="preserve"> (2009).complications of decompressive craniectomy for traumatic brain injury. </w:t>
      </w:r>
      <w:r w:rsidRPr="00A3204A">
        <w:rPr>
          <w:rFonts w:ascii="Times New Roman" w:hAnsi="Times New Roman" w:cs="Times New Roman"/>
          <w:i/>
          <w:sz w:val="24"/>
          <w:szCs w:val="24"/>
        </w:rPr>
        <w:t>Journal of Neurosurgery, 26(6),</w:t>
      </w:r>
      <w:r w:rsidRPr="00A3204A">
        <w:rPr>
          <w:rFonts w:ascii="Times New Roman" w:hAnsi="Times New Roman" w:cs="Times New Roman"/>
          <w:sz w:val="24"/>
          <w:szCs w:val="24"/>
        </w:rPr>
        <w:t xml:space="preserve"> E7. DOI: 10.3171/2009.4. FOCUS0965.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890" w:name="StrokeUnit2007"/>
      <w:bookmarkEnd w:id="890"/>
      <w:r w:rsidRPr="00A3204A">
        <w:rPr>
          <w:rFonts w:ascii="Times New Roman" w:hAnsi="Times New Roman" w:cs="Times New Roman"/>
          <w:sz w:val="24"/>
          <w:szCs w:val="24"/>
        </w:rPr>
        <w:t xml:space="preserve">Stroke Unit Trialists’ Collaboration. (2007). Organised inpatient (stroke unit) care for stroke. </w:t>
      </w:r>
      <w:r w:rsidRPr="00A3204A">
        <w:rPr>
          <w:rFonts w:ascii="Times New Roman" w:hAnsi="Times New Roman" w:cs="Times New Roman"/>
          <w:i/>
          <w:iCs/>
          <w:sz w:val="24"/>
          <w:szCs w:val="24"/>
        </w:rPr>
        <w:t>Cochrane Database of Systematic Reviews, 4,</w:t>
      </w:r>
      <w:r w:rsidRPr="00A3204A">
        <w:rPr>
          <w:rFonts w:ascii="Times New Roman" w:hAnsi="Times New Roman" w:cs="Times New Roman"/>
          <w:iCs/>
          <w:sz w:val="24"/>
          <w:szCs w:val="24"/>
        </w:rPr>
        <w:t xml:space="preserve"> 1-71.</w:t>
      </w:r>
      <w:r w:rsidRPr="00A3204A">
        <w:rPr>
          <w:rFonts w:ascii="Times New Roman" w:hAnsi="Times New Roman" w:cs="Times New Roman"/>
          <w:sz w:val="24"/>
          <w:szCs w:val="24"/>
        </w:rPr>
        <w:t xml:space="preserve"> DOI: 10.1002/14651858.CD000197.pub2.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91" w:name="Sydenham2009"/>
      <w:bookmarkEnd w:id="891"/>
      <w:r w:rsidRPr="00A3204A">
        <w:rPr>
          <w:rFonts w:ascii="Times New Roman" w:hAnsi="Times New Roman" w:cs="Times New Roman"/>
          <w:bCs/>
          <w:sz w:val="24"/>
          <w:szCs w:val="24"/>
        </w:rPr>
        <w:t xml:space="preserve">Sydenham, E., Roberts, </w:t>
      </w:r>
      <w:smartTag w:uri="urn:schemas-microsoft-com:office:smarttags" w:element="place">
        <w:r w:rsidRPr="00A3204A">
          <w:rPr>
            <w:rFonts w:ascii="Times New Roman" w:hAnsi="Times New Roman" w:cs="Times New Roman"/>
            <w:bCs/>
            <w:sz w:val="24"/>
            <w:szCs w:val="24"/>
          </w:rPr>
          <w:t>I.</w:t>
        </w:r>
      </w:smartTag>
      <w:r w:rsidRPr="00A3204A">
        <w:rPr>
          <w:rFonts w:ascii="Times New Roman" w:hAnsi="Times New Roman" w:cs="Times New Roman"/>
          <w:bCs/>
          <w:sz w:val="24"/>
          <w:szCs w:val="24"/>
        </w:rPr>
        <w:t xml:space="preserve">, &amp; Alderson, P. (2009). Hypothermia for traumatic head injury (Review). </w:t>
      </w:r>
      <w:r w:rsidRPr="00A3204A">
        <w:rPr>
          <w:rFonts w:ascii="Times New Roman" w:hAnsi="Times New Roman" w:cs="Times New Roman"/>
          <w:bCs/>
          <w:i/>
          <w:sz w:val="24"/>
          <w:szCs w:val="24"/>
        </w:rPr>
        <w:t xml:space="preserve">Cochrane Database of Systematic Reviews, 2, </w:t>
      </w:r>
      <w:r w:rsidRPr="00A3204A">
        <w:rPr>
          <w:rFonts w:ascii="Times New Roman" w:hAnsi="Times New Roman" w:cs="Times New Roman"/>
          <w:bCs/>
          <w:sz w:val="24"/>
          <w:szCs w:val="24"/>
        </w:rPr>
        <w:t xml:space="preserve">1-48. DOI: 10.1002/14651858.CD001048.pub4. </w:t>
      </w:r>
      <w:hyperlink r:id="rId95" w:history="1">
        <w:r w:rsidRPr="00A3204A">
          <w:rPr>
            <w:rFonts w:ascii="Times New Roman" w:hAnsi="Times New Roman" w:cs="Times New Roman"/>
            <w:bCs/>
            <w:color w:val="0000FF"/>
            <w:sz w:val="24"/>
            <w:szCs w:val="24"/>
            <w:u w:val="single"/>
          </w:rPr>
          <w:t>http://www.thecochranelibrary.com</w:t>
        </w:r>
      </w:hyperlink>
      <w:r w:rsidRPr="00A3204A">
        <w:rPr>
          <w:rFonts w:ascii="Times New Roman" w:hAnsi="Times New Roman" w:cs="Times New Roman"/>
          <w:bCs/>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bCs/>
          <w:sz w:val="24"/>
          <w:szCs w:val="24"/>
        </w:rPr>
        <w:t xml:space="preserve">Tanriverdi, F., Agha, A., Aimaretti, G., Casanueva, F. F., Kelestimur, F., Klose, M.,… Schneider, H. J. (2011). Manifesto for the current understanding and management of traumatic brain injury-induced hypopituitarism. </w:t>
      </w:r>
      <w:r w:rsidRPr="00A3204A">
        <w:rPr>
          <w:rFonts w:ascii="Times New Roman" w:hAnsi="Times New Roman" w:cs="Times New Roman"/>
          <w:bCs/>
          <w:i/>
          <w:sz w:val="24"/>
          <w:szCs w:val="24"/>
        </w:rPr>
        <w:t>J. Endocrinol. Invest., 34,</w:t>
      </w:r>
      <w:r w:rsidRPr="00A3204A">
        <w:rPr>
          <w:rFonts w:ascii="Times New Roman" w:hAnsi="Times New Roman" w:cs="Times New Roman"/>
          <w:bCs/>
          <w:sz w:val="24"/>
          <w:szCs w:val="24"/>
        </w:rPr>
        <w:t xml:space="preserve"> 541-543. DOI: 10.3275/7805.</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Tendal, B., Nüesch, E., Higgins, J. P. T., Jüni, P., &amp; Gotzsche, P. C. (2011). Multiplicity of data in trial reports and the reliability of meta-analyses: empirical study. </w:t>
      </w:r>
      <w:r w:rsidRPr="00A3204A">
        <w:rPr>
          <w:rFonts w:ascii="Times New Roman" w:hAnsi="Times New Roman" w:cs="Times New Roman"/>
          <w:i/>
          <w:sz w:val="24"/>
          <w:szCs w:val="24"/>
        </w:rPr>
        <w:t xml:space="preserve">British Medical Journal, 343, </w:t>
      </w:r>
      <w:r w:rsidRPr="00A3204A">
        <w:rPr>
          <w:rFonts w:ascii="Times New Roman" w:hAnsi="Times New Roman" w:cs="Times New Roman"/>
          <w:sz w:val="24"/>
          <w:szCs w:val="24"/>
        </w:rPr>
        <w:t xml:space="preserve">1-13. DOI10.1136/bmj. d4829.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Tennant, A., Penta, M., Tesio, L., Grimby, G., Thonnard, J.-L., Slade, A., … Phillips, S. (2004). Assessing and adjusting for cross-cultural validity of impairment and activity limitation scales through differential item functioning within the framework of the Rasch Model The PRO-ESOR project. </w:t>
      </w:r>
      <w:r w:rsidRPr="00A3204A">
        <w:rPr>
          <w:rFonts w:ascii="Times New Roman" w:hAnsi="Times New Roman" w:cs="Times New Roman"/>
          <w:i/>
          <w:iCs/>
          <w:sz w:val="24"/>
          <w:szCs w:val="24"/>
        </w:rPr>
        <w:t xml:space="preserve">Medical Care, 42(1 suppl), </w:t>
      </w:r>
      <w:r w:rsidRPr="00A3204A">
        <w:rPr>
          <w:rFonts w:ascii="Times New Roman" w:hAnsi="Times New Roman" w:cs="Times New Roman"/>
          <w:iCs/>
          <w:sz w:val="24"/>
          <w:szCs w:val="24"/>
        </w:rPr>
        <w:t>I-37–I-48. DOI: 10.1097/01.mlr.0000103529.63132.77.</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lastRenderedPageBreak/>
        <w:t xml:space="preserve">Tenovuo, O. (2005). Central acetylcholinesterase inhibitors in the treatment of chronic traumatic brain injury—clinical experience in 111 patients. </w:t>
      </w:r>
      <w:r w:rsidRPr="00A3204A">
        <w:rPr>
          <w:rFonts w:ascii="Times New Roman" w:hAnsi="Times New Roman" w:cs="Times New Roman"/>
          <w:i/>
          <w:sz w:val="24"/>
          <w:szCs w:val="24"/>
        </w:rPr>
        <w:t xml:space="preserve">Progress in Neuro-Psychopharmacology and Biological Psychiatry, 29, </w:t>
      </w:r>
      <w:r w:rsidRPr="00A3204A">
        <w:rPr>
          <w:rFonts w:ascii="Times New Roman" w:hAnsi="Times New Roman" w:cs="Times New Roman"/>
          <w:sz w:val="24"/>
          <w:szCs w:val="24"/>
        </w:rPr>
        <w:t>61-67. DOI:10.1016/j.pnpbp.2004.10.006.</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92" w:name="Silver2006"/>
      <w:bookmarkStart w:id="893" w:name="Tenovuo2009"/>
      <w:bookmarkEnd w:id="892"/>
      <w:bookmarkEnd w:id="893"/>
      <w:r w:rsidRPr="00A3204A">
        <w:rPr>
          <w:rFonts w:ascii="Times New Roman" w:hAnsi="Times New Roman" w:cs="Times New Roman"/>
          <w:sz w:val="24"/>
          <w:szCs w:val="24"/>
        </w:rPr>
        <w:t xml:space="preserve">Tenovuo, O., Alin, J., &amp; Helenius, H. (2009). A randomized controlled trial of rivastigmine for chronic sequels of traumatic brain injury—What it showed and taught? </w:t>
      </w:r>
      <w:r w:rsidRPr="00A3204A">
        <w:rPr>
          <w:rFonts w:ascii="Times New Roman" w:hAnsi="Times New Roman" w:cs="Times New Roman"/>
          <w:i/>
          <w:sz w:val="24"/>
          <w:szCs w:val="24"/>
        </w:rPr>
        <w:t xml:space="preserve">Brain Injury, 23(6), </w:t>
      </w:r>
      <w:r w:rsidRPr="00A3204A">
        <w:rPr>
          <w:rFonts w:ascii="Times New Roman" w:hAnsi="Times New Roman" w:cs="Times New Roman"/>
          <w:sz w:val="24"/>
          <w:szCs w:val="24"/>
        </w:rPr>
        <w:t>548-558. DOI: 10.1080/02699050902926275.</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Thiagarajan, P., Ciuffreda, K. J., &amp; Ludlam D. P. (2011). Vergence dysfunction in mild traumatic brain injury (MTBI): a review. </w:t>
      </w:r>
      <w:r w:rsidRPr="00A3204A">
        <w:rPr>
          <w:rFonts w:ascii="Times New Roman" w:hAnsi="Times New Roman" w:cs="Times New Roman"/>
          <w:i/>
          <w:sz w:val="24"/>
          <w:szCs w:val="24"/>
        </w:rPr>
        <w:t xml:space="preserve">Ophthalmic &amp; Physiological Optics, 31, </w:t>
      </w:r>
      <w:r w:rsidRPr="00A3204A">
        <w:rPr>
          <w:rFonts w:ascii="Times New Roman" w:hAnsi="Times New Roman" w:cs="Times New Roman"/>
          <w:sz w:val="24"/>
          <w:szCs w:val="24"/>
        </w:rPr>
        <w:t>456-468. DOI:10.1111/j.1475-1313.2011.00831. x.</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894" w:name="Theime2012"/>
      <w:bookmarkEnd w:id="894"/>
      <w:r w:rsidRPr="00A3204A">
        <w:rPr>
          <w:rFonts w:ascii="Times New Roman" w:hAnsi="Times New Roman" w:cs="Times New Roman"/>
          <w:sz w:val="24"/>
          <w:szCs w:val="24"/>
        </w:rPr>
        <w:t xml:space="preserve">Thieme, H., Mehrholz, J., Pohl, M., Behrens, J., &amp; Dohle, C. (2012). Mirror therapy for improving motor function after stroke. </w:t>
      </w:r>
      <w:r w:rsidRPr="00A3204A">
        <w:rPr>
          <w:rFonts w:ascii="Times New Roman" w:hAnsi="Times New Roman" w:cs="Times New Roman"/>
          <w:i/>
          <w:iCs/>
          <w:sz w:val="24"/>
          <w:szCs w:val="24"/>
        </w:rPr>
        <w:t>Cochrane Database of Systematic Reviews,</w:t>
      </w:r>
      <w:r w:rsidRPr="00A3204A">
        <w:rPr>
          <w:rFonts w:ascii="Times New Roman" w:hAnsi="Times New Roman" w:cs="Times New Roman"/>
          <w:i/>
          <w:sz w:val="24"/>
          <w:szCs w:val="24"/>
        </w:rPr>
        <w:t xml:space="preserve"> 3, </w:t>
      </w:r>
      <w:r w:rsidRPr="00A3204A">
        <w:rPr>
          <w:rFonts w:ascii="Times New Roman" w:hAnsi="Times New Roman" w:cs="Times New Roman"/>
          <w:sz w:val="24"/>
          <w:szCs w:val="24"/>
        </w:rPr>
        <w:t xml:space="preserve">1-65. DOI: 10.1002/14651858.CD008449.pub2.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Thomsen, J., Sass, K., Odkvist, L., &amp; Arlinger, S. (2005). Local overpressure treatment reduces vestibular symptoms in patients with Ménière’s disease: A clinical, randomized, multicenter, double-blind, placebo-controlled study. </w:t>
      </w:r>
      <w:r w:rsidRPr="00A3204A">
        <w:rPr>
          <w:rFonts w:ascii="Times New Roman" w:hAnsi="Times New Roman" w:cs="Times New Roman"/>
          <w:i/>
          <w:iCs/>
          <w:sz w:val="24"/>
          <w:szCs w:val="24"/>
        </w:rPr>
        <w:t xml:space="preserve">Otology &amp; Neurotology, </w:t>
      </w:r>
      <w:r w:rsidRPr="00A3204A">
        <w:rPr>
          <w:rFonts w:ascii="Times New Roman" w:hAnsi="Times New Roman" w:cs="Times New Roman"/>
          <w:bCs/>
          <w:i/>
          <w:sz w:val="24"/>
          <w:szCs w:val="24"/>
        </w:rPr>
        <w:t>26,</w:t>
      </w:r>
      <w:r w:rsidRPr="00A3204A">
        <w:rPr>
          <w:rFonts w:ascii="Times New Roman" w:hAnsi="Times New Roman" w:cs="Times New Roman"/>
          <w:b/>
          <w:bCs/>
          <w:i/>
          <w:sz w:val="24"/>
          <w:szCs w:val="24"/>
        </w:rPr>
        <w:t xml:space="preserve"> </w:t>
      </w:r>
      <w:r w:rsidRPr="00A3204A">
        <w:rPr>
          <w:rFonts w:ascii="Times New Roman" w:hAnsi="Times New Roman" w:cs="Times New Roman"/>
          <w:sz w:val="24"/>
          <w:szCs w:val="24"/>
        </w:rPr>
        <w:t xml:space="preserve">68–73. </w:t>
      </w:r>
    </w:p>
    <w:p w:rsidR="00A3204A" w:rsidRPr="00A3204A" w:rsidRDefault="00A3204A" w:rsidP="009C3DC2">
      <w:pPr>
        <w:numPr>
          <w:ilvl w:val="0"/>
          <w:numId w:val="33"/>
        </w:numPr>
        <w:spacing w:before="0" w:after="120"/>
        <w:rPr>
          <w:rFonts w:ascii="Times New Roman" w:hAnsi="Times New Roman" w:cs="Times New Roman"/>
          <w:i/>
          <w:sz w:val="24"/>
          <w:szCs w:val="24"/>
        </w:rPr>
      </w:pPr>
      <w:bookmarkStart w:id="895" w:name="Trelle2011"/>
      <w:bookmarkEnd w:id="895"/>
      <w:r w:rsidRPr="00A3204A">
        <w:rPr>
          <w:rFonts w:ascii="Times New Roman" w:hAnsi="Times New Roman" w:cs="Times New Roman"/>
          <w:sz w:val="24"/>
          <w:szCs w:val="24"/>
        </w:rPr>
        <w:t xml:space="preserve">Trelle, S., Reichenbach, S., Wandel, S., Hildebrand, P., Tschannen, B., Villiger, P.,… Juni, P. (2011). Cardiovascular safety of non-steroidal anti-inflammatory drugs: Network meta-analysis. </w:t>
      </w:r>
      <w:r w:rsidRPr="00A3204A">
        <w:rPr>
          <w:rFonts w:ascii="Times New Roman" w:hAnsi="Times New Roman" w:cs="Times New Roman"/>
          <w:i/>
          <w:sz w:val="24"/>
          <w:szCs w:val="24"/>
        </w:rPr>
        <w:t>BMJ,</w:t>
      </w:r>
      <w:r w:rsidRPr="00A3204A">
        <w:rPr>
          <w:rFonts w:ascii="Times New Roman" w:hAnsi="Times New Roman" w:cs="Times New Roman"/>
          <w:sz w:val="24"/>
          <w:szCs w:val="24"/>
        </w:rPr>
        <w:t xml:space="preserve"> 1-11. DOI: 10.1136/bmj.c7086.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r w:rsidRPr="00A3204A">
        <w:rPr>
          <w:rFonts w:ascii="Times New Roman" w:hAnsi="Times New Roman" w:cs="Times New Roman"/>
          <w:i/>
          <w:sz w:val="24"/>
          <w:szCs w:val="24"/>
        </w:rPr>
        <w:t xml:space="preserve">.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Trzepacz, P. T., Kean, J., &amp; Kennedy, R. E. (2011). Delirium and posttraumatic confusion: More than posttraumatic amnesia. Posttraumatic amnesia: </w:t>
      </w:r>
      <w:r w:rsidRPr="00A3204A">
        <w:rPr>
          <w:rFonts w:ascii="Times New Roman" w:hAnsi="Times New Roman" w:cs="Times New Roman"/>
          <w:i/>
          <w:sz w:val="24"/>
          <w:szCs w:val="24"/>
        </w:rPr>
        <w:t xml:space="preserve">History and Hazards. Textbook of Traumatic Brain Injury, 9, </w:t>
      </w:r>
      <w:r w:rsidRPr="00A3204A">
        <w:rPr>
          <w:rFonts w:ascii="Times New Roman" w:hAnsi="Times New Roman" w:cs="Times New Roman"/>
          <w:sz w:val="24"/>
          <w:szCs w:val="24"/>
        </w:rPr>
        <w:t xml:space="preserve">1-16. DOI: 10:1176/appl. books.8781585624201.674873. </w:t>
      </w:r>
      <w:hyperlink r:id="rId96" w:history="1">
        <w:r w:rsidRPr="00A3204A">
          <w:rPr>
            <w:rFonts w:ascii="Times New Roman" w:hAnsi="Times New Roman" w:cs="Times New Roman"/>
            <w:color w:val="0000FF"/>
            <w:sz w:val="24"/>
            <w:szCs w:val="24"/>
            <w:u w:val="single"/>
          </w:rPr>
          <w:t>http://www. psychiatryonline.com</w:t>
        </w:r>
      </w:hyperlink>
      <w:r w:rsidRPr="00A3204A">
        <w:rPr>
          <w:rFonts w:ascii="Times New Roman" w:hAnsi="Times New Roman" w:cs="Times New Roman"/>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Turner-Stokes, L. (2007). Cost-efficiency of longer-stay rehabilitation programmes: Can they provide value for money? </w:t>
      </w:r>
      <w:r w:rsidRPr="00A3204A">
        <w:rPr>
          <w:rFonts w:ascii="Times New Roman" w:hAnsi="Times New Roman" w:cs="Times New Roman"/>
          <w:i/>
          <w:sz w:val="24"/>
          <w:szCs w:val="24"/>
        </w:rPr>
        <w:t>Brain Injury, 21(10),</w:t>
      </w:r>
      <w:r w:rsidRPr="00A3204A">
        <w:rPr>
          <w:rFonts w:ascii="Times New Roman" w:hAnsi="Times New Roman" w:cs="Times New Roman"/>
          <w:sz w:val="24"/>
          <w:szCs w:val="24"/>
        </w:rPr>
        <w:t xml:space="preserve"> 1015–1021.</w:t>
      </w:r>
      <w:r w:rsidRPr="00A3204A">
        <w:t xml:space="preserve"> </w:t>
      </w:r>
      <w:r w:rsidRPr="00A3204A">
        <w:rPr>
          <w:rFonts w:ascii="Times New Roman" w:hAnsi="Times New Roman" w:cs="Times New Roman"/>
          <w:sz w:val="24"/>
          <w:szCs w:val="24"/>
        </w:rPr>
        <w:t>DOI: 10.1080/02699050701591445.</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Turner-Stokes, L. (2008). Evidence for the effectiveness of multi-disciplinary rehabilitation following acquired brain injury:  A synthesis of two systematic approaches. </w:t>
      </w:r>
      <w:r w:rsidRPr="00A3204A">
        <w:rPr>
          <w:rFonts w:ascii="Times New Roman" w:hAnsi="Times New Roman" w:cs="Times New Roman"/>
          <w:i/>
          <w:sz w:val="24"/>
          <w:szCs w:val="24"/>
        </w:rPr>
        <w:t>J Rehabil Med, 40,</w:t>
      </w:r>
      <w:r w:rsidRPr="00A3204A">
        <w:rPr>
          <w:rFonts w:ascii="Times New Roman" w:hAnsi="Times New Roman" w:cs="Times New Roman"/>
          <w:sz w:val="24"/>
          <w:szCs w:val="24"/>
        </w:rPr>
        <w:t xml:space="preserve"> 691–701. DOI: 10.2340/16501977-0265.</w:t>
      </w:r>
    </w:p>
    <w:p w:rsidR="00A3204A" w:rsidRPr="00A3204A" w:rsidRDefault="00A3204A" w:rsidP="009C3DC2">
      <w:pPr>
        <w:numPr>
          <w:ilvl w:val="0"/>
          <w:numId w:val="33"/>
        </w:numPr>
        <w:spacing w:before="0" w:after="120"/>
        <w:rPr>
          <w:rFonts w:ascii="Times New Roman" w:hAnsi="Times New Roman" w:cs="Times New Roman"/>
          <w:i/>
          <w:sz w:val="24"/>
          <w:szCs w:val="24"/>
        </w:rPr>
      </w:pPr>
      <w:bookmarkStart w:id="896" w:name="TurnerStokes2005"/>
      <w:bookmarkEnd w:id="896"/>
      <w:r w:rsidRPr="00A3204A">
        <w:rPr>
          <w:rFonts w:ascii="Times New Roman" w:hAnsi="Times New Roman" w:cs="Times New Roman"/>
          <w:sz w:val="24"/>
          <w:szCs w:val="24"/>
        </w:rPr>
        <w:t xml:space="preserve">Turner-Stokes, L., Nair A, Sedki, </w:t>
      </w:r>
      <w:smartTag w:uri="urn:schemas-microsoft-com:office:smarttags" w:element="place">
        <w:r w:rsidRPr="00A3204A">
          <w:rPr>
            <w:rFonts w:ascii="Times New Roman" w:hAnsi="Times New Roman" w:cs="Times New Roman"/>
            <w:sz w:val="24"/>
            <w:szCs w:val="24"/>
          </w:rPr>
          <w:t>I.</w:t>
        </w:r>
      </w:smartTag>
      <w:r w:rsidRPr="00A3204A">
        <w:rPr>
          <w:rFonts w:ascii="Times New Roman" w:hAnsi="Times New Roman" w:cs="Times New Roman"/>
          <w:sz w:val="24"/>
          <w:szCs w:val="24"/>
        </w:rPr>
        <w:t xml:space="preserve">, Disler, P. B., &amp; Wade, D. T. (2005). Multi-disciplinary rehabilitation for acquired brain injury in adults of working age (Review). </w:t>
      </w:r>
      <w:r w:rsidRPr="00A3204A">
        <w:rPr>
          <w:rFonts w:ascii="Times New Roman" w:hAnsi="Times New Roman" w:cs="Times New Roman"/>
          <w:bCs/>
          <w:i/>
          <w:sz w:val="24"/>
          <w:szCs w:val="24"/>
        </w:rPr>
        <w:t>Cochrane Database of Systematic Reviews</w:t>
      </w:r>
      <w:r w:rsidRPr="00A3204A">
        <w:rPr>
          <w:rFonts w:ascii="Times New Roman" w:hAnsi="Times New Roman" w:cs="Times New Roman"/>
          <w:i/>
          <w:sz w:val="24"/>
          <w:szCs w:val="24"/>
        </w:rPr>
        <w:t>, 3,</w:t>
      </w:r>
      <w:r w:rsidRPr="00A3204A">
        <w:rPr>
          <w:rFonts w:ascii="Times New Roman" w:hAnsi="Times New Roman" w:cs="Times New Roman"/>
          <w:sz w:val="24"/>
          <w:szCs w:val="24"/>
        </w:rPr>
        <w:t xml:space="preserve"> 1-46. DOI: 10.1002/14651858.CD004170.pub2. </w:t>
      </w:r>
      <w:hyperlink r:id="rId97" w:history="1">
        <w:r w:rsidRPr="00A3204A">
          <w:rPr>
            <w:rFonts w:ascii="Times New Roman" w:hAnsi="Times New Roman" w:cs="Times New Roman"/>
            <w:color w:val="0000FF"/>
            <w:sz w:val="24"/>
            <w:szCs w:val="24"/>
            <w:u w:val="single"/>
          </w:rPr>
          <w:t>http://www.thecochranelibrary.com</w:t>
        </w:r>
      </w:hyperlink>
      <w:r w:rsidRPr="00A3204A">
        <w:rPr>
          <w:rFonts w:ascii="Times New Roman" w:hAnsi="Times New Roman" w:cs="Times New Roman"/>
          <w:sz w:val="24"/>
          <w:szCs w:val="24"/>
        </w:rPr>
        <w:t xml:space="preserve">.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r w:rsidRPr="00A3204A">
        <w:rPr>
          <w:rFonts w:ascii="Times New Roman" w:hAnsi="Times New Roman" w:cs="Times New Roman"/>
          <w:i/>
          <w:sz w:val="24"/>
          <w:szCs w:val="24"/>
        </w:rPr>
        <w:t xml:space="preserve">.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Turner-Stokes, L., Paul, S., &amp; Williams, H. (2006). Efficiency of specialist rehabilitation in reducing dependency and costs of continuing care for adults with complex acquired brain injuries. </w:t>
      </w:r>
      <w:r w:rsidRPr="00A3204A">
        <w:rPr>
          <w:rFonts w:ascii="Times New Roman" w:hAnsi="Times New Roman" w:cs="Times New Roman"/>
          <w:i/>
          <w:sz w:val="24"/>
          <w:szCs w:val="24"/>
        </w:rPr>
        <w:t xml:space="preserve">J Neurol Neurosurg Psychiatry, 77, </w:t>
      </w:r>
      <w:r w:rsidRPr="00A3204A">
        <w:rPr>
          <w:rFonts w:ascii="Times New Roman" w:hAnsi="Times New Roman" w:cs="Times New Roman"/>
          <w:sz w:val="24"/>
          <w:szCs w:val="24"/>
        </w:rPr>
        <w:t>634–639. DOI: 10.1136/jnnp.2005.073411.</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van der Kuy, P. –H. M., &amp; Lohman J. J. H. M. (2002). A quantification of the placebo response in migraine prophylaxis. </w:t>
      </w:r>
      <w:r w:rsidRPr="00A3204A">
        <w:rPr>
          <w:rFonts w:ascii="Times New Roman" w:hAnsi="Times New Roman" w:cs="Times New Roman"/>
          <w:i/>
          <w:sz w:val="24"/>
          <w:szCs w:val="24"/>
        </w:rPr>
        <w:t xml:space="preserve">Cephalalgia,  22, </w:t>
      </w:r>
      <w:r w:rsidRPr="00A3204A">
        <w:rPr>
          <w:rFonts w:ascii="Times New Roman" w:hAnsi="Times New Roman" w:cs="Times New Roman"/>
          <w:sz w:val="24"/>
          <w:szCs w:val="24"/>
        </w:rPr>
        <w:t xml:space="preserve">265–270. </w:t>
      </w:r>
      <w:smartTag w:uri="urn:schemas-microsoft-com:office:smarttags" w:element="City">
        <w:smartTag w:uri="urn:schemas-microsoft-com:office:smarttags" w:element="place">
          <w:r w:rsidRPr="00A3204A">
            <w:rPr>
              <w:rFonts w:ascii="Times New Roman" w:hAnsi="Times New Roman" w:cs="Times New Roman"/>
              <w:sz w:val="24"/>
              <w:szCs w:val="24"/>
            </w:rPr>
            <w:t>London</w:t>
          </w:r>
        </w:smartTag>
      </w:smartTag>
      <w:r w:rsidRPr="00A3204A">
        <w:rPr>
          <w:rFonts w:ascii="Times New Roman" w:hAnsi="Times New Roman" w:cs="Times New Roman"/>
          <w:sz w:val="24"/>
          <w:szCs w:val="24"/>
        </w:rPr>
        <w:t>. ISSN 0333-1024</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897" w:name="VanderMeulen2012"/>
      <w:bookmarkEnd w:id="897"/>
      <w:r w:rsidRPr="00A3204A">
        <w:rPr>
          <w:rFonts w:ascii="Times New Roman" w:hAnsi="Times New Roman" w:cs="Times New Roman"/>
          <w:sz w:val="24"/>
          <w:szCs w:val="24"/>
        </w:rPr>
        <w:lastRenderedPageBreak/>
        <w:t xml:space="preserve">van der Meulen, I,. van de Sandt-Koenderman, M. E., &amp; Ribbers, G. M. (2012). </w:t>
      </w:r>
      <w:r w:rsidRPr="00A3204A">
        <w:rPr>
          <w:rFonts w:ascii="Times New Roman" w:hAnsi="Times New Roman" w:cs="Times New Roman"/>
          <w:iCs/>
          <w:sz w:val="24"/>
          <w:szCs w:val="24"/>
        </w:rPr>
        <w:t xml:space="preserve">SPECIAL COMMUNICATION </w:t>
      </w:r>
      <w:r w:rsidRPr="00A3204A">
        <w:rPr>
          <w:rFonts w:ascii="Times New Roman" w:hAnsi="Times New Roman" w:cs="Times New Roman"/>
          <w:bCs/>
          <w:sz w:val="24"/>
          <w:szCs w:val="24"/>
        </w:rPr>
        <w:t xml:space="preserve">Melodic intonation therapy: Present controversies and future opportunities. </w:t>
      </w:r>
      <w:r w:rsidRPr="00A3204A">
        <w:rPr>
          <w:rFonts w:ascii="Times New Roman" w:hAnsi="Times New Roman" w:cs="Times New Roman"/>
          <w:bCs/>
          <w:i/>
          <w:sz w:val="24"/>
          <w:szCs w:val="24"/>
        </w:rPr>
        <w:t xml:space="preserve">Archives Physical Medicine Rehabilitation, 93, Suppl 1, </w:t>
      </w:r>
      <w:r w:rsidRPr="00A3204A">
        <w:rPr>
          <w:rFonts w:ascii="Times New Roman" w:hAnsi="Times New Roman" w:cs="Times New Roman"/>
          <w:bCs/>
          <w:sz w:val="24"/>
          <w:szCs w:val="24"/>
        </w:rPr>
        <w:t>S46-S52. DOI:10.1016/j.apmr.2011.05.029.</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Roman" w:hAnsi="Times-Roman" w:cs="Times-Roman"/>
          <w:sz w:val="23"/>
          <w:szCs w:val="23"/>
        </w:rPr>
        <w:t xml:space="preserve">van der Worp, H. B., &amp; Kappelle, L, J. (2011). </w:t>
      </w:r>
      <w:r w:rsidRPr="00A3204A">
        <w:rPr>
          <w:rFonts w:ascii="Times New Roman" w:hAnsi="Times New Roman" w:cs="Times New Roman"/>
          <w:bCs/>
          <w:sz w:val="24"/>
          <w:szCs w:val="24"/>
        </w:rPr>
        <w:t xml:space="preserve">Early decompressive hemicraniectomy in older patients with nondominant hemispheric infarction does not improve outcome. </w:t>
      </w:r>
      <w:r w:rsidRPr="00A3204A">
        <w:rPr>
          <w:rFonts w:ascii="Times New Roman" w:hAnsi="Times New Roman" w:cs="Times New Roman"/>
          <w:bCs/>
          <w:i/>
          <w:sz w:val="24"/>
          <w:szCs w:val="24"/>
        </w:rPr>
        <w:t xml:space="preserve">Stroke, 42, </w:t>
      </w:r>
      <w:r w:rsidRPr="00A3204A">
        <w:rPr>
          <w:rFonts w:ascii="Times New Roman" w:hAnsi="Times New Roman" w:cs="Times New Roman"/>
          <w:bCs/>
          <w:sz w:val="24"/>
          <w:szCs w:val="24"/>
        </w:rPr>
        <w:t>845-846. DOI: 10.1161/STROKEAHA.110.603605.</w:t>
      </w:r>
    </w:p>
    <w:p w:rsidR="00A3204A" w:rsidRPr="00A3204A" w:rsidRDefault="00A3204A" w:rsidP="009C3DC2">
      <w:pPr>
        <w:keepNext/>
        <w:keepLines/>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Vanderploeg, R. D., Schwab, K., Walker, W. C., Fraser, J. A., Sigford, B. J., Date, E. S., …Warden, D. L. (2008). Rehabilitation of traumatic brain injury in active duty military personnel and veterans: Defense and veterans brain injury center randomized controlled trial of two rehabilitation approaches. </w:t>
      </w:r>
      <w:r w:rsidRPr="00A3204A">
        <w:rPr>
          <w:rFonts w:ascii="Times New Roman" w:hAnsi="Times New Roman" w:cs="Times New Roman"/>
          <w:bCs/>
          <w:i/>
          <w:sz w:val="24"/>
          <w:szCs w:val="24"/>
        </w:rPr>
        <w:t xml:space="preserve">Archives Physical Medicine Rehabilitation, 89, </w:t>
      </w:r>
      <w:r w:rsidRPr="00A3204A">
        <w:rPr>
          <w:rFonts w:ascii="Times New Roman" w:hAnsi="Times New Roman" w:cs="Times New Roman"/>
          <w:bCs/>
          <w:sz w:val="24"/>
          <w:szCs w:val="24"/>
        </w:rPr>
        <w:t>2227-2238. DOI:10.1016/j.apmr.2008.06.015.</w:t>
      </w:r>
    </w:p>
    <w:p w:rsidR="00A3204A" w:rsidRPr="00A3204A" w:rsidRDefault="00A3204A" w:rsidP="009C3DC2">
      <w:pPr>
        <w:numPr>
          <w:ilvl w:val="0"/>
          <w:numId w:val="33"/>
        </w:numPr>
        <w:spacing w:before="0" w:after="120"/>
        <w:rPr>
          <w:rFonts w:ascii="Times New Roman" w:hAnsi="Times New Roman" w:cs="Times New Roman"/>
          <w:i/>
          <w:sz w:val="24"/>
          <w:szCs w:val="24"/>
        </w:rPr>
      </w:pPr>
      <w:bookmarkStart w:id="898" w:name="Vas2011"/>
      <w:bookmarkEnd w:id="898"/>
      <w:r w:rsidRPr="00A3204A">
        <w:rPr>
          <w:rFonts w:ascii="Times New Roman" w:hAnsi="Times New Roman" w:cs="Times New Roman"/>
          <w:sz w:val="24"/>
          <w:szCs w:val="24"/>
        </w:rPr>
        <w:t xml:space="preserve">Vas, A. K., Chapman, S. B., Cook, L. G., Elliot, A. C., &amp; Keebler, M., (2011). Higher-order reasoning training years after traumatic brain injury in adults. </w:t>
      </w:r>
      <w:r w:rsidRPr="00A3204A">
        <w:rPr>
          <w:rFonts w:ascii="Times New Roman" w:hAnsi="Times New Roman" w:cs="Times New Roman"/>
          <w:i/>
          <w:sz w:val="24"/>
          <w:szCs w:val="24"/>
        </w:rPr>
        <w:t xml:space="preserve">J Head Trauma Rehabilitation, 26, </w:t>
      </w:r>
      <w:r w:rsidRPr="00A3204A">
        <w:rPr>
          <w:rFonts w:ascii="Times New Roman" w:hAnsi="Times New Roman" w:cs="Times New Roman"/>
          <w:sz w:val="24"/>
          <w:szCs w:val="24"/>
        </w:rPr>
        <w:t>3</w:t>
      </w:r>
      <w:r w:rsidRPr="00A3204A">
        <w:rPr>
          <w:rFonts w:ascii="Times New Roman" w:hAnsi="Times New Roman" w:cs="Times New Roman"/>
          <w:i/>
          <w:sz w:val="24"/>
          <w:szCs w:val="24"/>
        </w:rPr>
        <w:t>.2</w:t>
      </w:r>
      <w:r w:rsidRPr="00A3204A">
        <w:rPr>
          <w:rFonts w:ascii="Times New Roman" w:hAnsi="Times New Roman" w:cs="Times New Roman"/>
          <w:sz w:val="24"/>
          <w:szCs w:val="24"/>
        </w:rPr>
        <w:t xml:space="preserve">24-239. DOI: 10.1097/HTR.0b013e318218dd3d.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r w:rsidRPr="00A3204A">
        <w:rPr>
          <w:rFonts w:ascii="Times New Roman" w:hAnsi="Times New Roman" w:cs="Times New Roman"/>
          <w:i/>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899" w:name="VetsDOD2009"/>
      <w:bookmarkEnd w:id="899"/>
      <w:r w:rsidRPr="00A3204A">
        <w:rPr>
          <w:rFonts w:ascii="Times New Roman" w:hAnsi="Times New Roman" w:cs="Times New Roman"/>
          <w:sz w:val="24"/>
          <w:szCs w:val="24"/>
        </w:rPr>
        <w:t>Veterans Affairs, Department of Defense (2009). VA/DoD Clinical practice guideline for management of concussion/mild traumatic brain injury. DOI:10:1682/</w:t>
      </w:r>
      <w:r w:rsidRPr="00A3204A">
        <w:rPr>
          <w:rFonts w:ascii="Times New Roman" w:hAnsi="Times New Roman" w:cs="Times New Roman"/>
          <w:i/>
          <w:sz w:val="24"/>
          <w:szCs w:val="24"/>
        </w:rPr>
        <w:t>JRRD</w:t>
      </w:r>
      <w:r w:rsidRPr="00A3204A">
        <w:rPr>
          <w:rFonts w:ascii="Times New Roman" w:hAnsi="Times New Roman" w:cs="Times New Roman"/>
          <w:sz w:val="24"/>
          <w:szCs w:val="24"/>
        </w:rPr>
        <w:t xml:space="preserve"> 6:76.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900" w:name="VATechAssess2009"/>
      <w:bookmarkEnd w:id="900"/>
      <w:r w:rsidRPr="00A3204A">
        <w:rPr>
          <w:rFonts w:ascii="Times New Roman" w:hAnsi="Times New Roman" w:cs="Times New Roman"/>
          <w:sz w:val="24"/>
          <w:szCs w:val="24"/>
        </w:rPr>
        <w:t>Veterans Affairs, Technology Assessment Program, &amp; Adams, E. (2009). Visual problems in traumatic brain injury: A systematic review of sequelae and interventions for the veteran population. http://www.va.gov/vatap</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Vouriot, A., Gauchard G. C., Chau, N., Benamghar, L., &amp; Perrin, P. P. (2003) Sensorial organization favouring higher visual contribution is a risk facto of falls in an occupational setting. </w:t>
      </w:r>
      <w:r w:rsidRPr="00A3204A">
        <w:rPr>
          <w:rFonts w:ascii="Times New Roman" w:hAnsi="Times New Roman" w:cs="Times New Roman"/>
          <w:i/>
          <w:sz w:val="24"/>
          <w:szCs w:val="24"/>
        </w:rPr>
        <w:t>Neuroscience Research, 48,</w:t>
      </w:r>
      <w:r w:rsidRPr="00A3204A">
        <w:rPr>
          <w:rFonts w:ascii="Times New Roman" w:hAnsi="Times New Roman" w:cs="Times New Roman"/>
          <w:sz w:val="24"/>
          <w:szCs w:val="24"/>
        </w:rPr>
        <w:t xml:space="preserve"> 239-247. DOI:10.1016/j. neures.2003.11.001.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Wakai, A., Roberts, I. G., &amp; Schierhout, G. (2007), Mannitol for acute traumatic brain injury. </w:t>
      </w:r>
      <w:r w:rsidRPr="00A3204A">
        <w:rPr>
          <w:rFonts w:ascii="Times New Roman" w:hAnsi="Times New Roman" w:cs="Times New Roman"/>
          <w:i/>
          <w:iCs/>
          <w:sz w:val="24"/>
          <w:szCs w:val="24"/>
        </w:rPr>
        <w:t xml:space="preserve">Cochrane Database of Systematic Reviews, 1, </w:t>
      </w:r>
      <w:r w:rsidRPr="00A3204A">
        <w:rPr>
          <w:rFonts w:ascii="Times New Roman" w:hAnsi="Times New Roman" w:cs="Times New Roman"/>
          <w:iCs/>
          <w:sz w:val="24"/>
          <w:szCs w:val="24"/>
        </w:rPr>
        <w:t xml:space="preserve">1-16. </w:t>
      </w:r>
      <w:r w:rsidRPr="00A3204A">
        <w:rPr>
          <w:rFonts w:ascii="Times New Roman" w:hAnsi="Times New Roman" w:cs="Times New Roman"/>
          <w:sz w:val="24"/>
          <w:szCs w:val="24"/>
        </w:rPr>
        <w:t>DOI: 10.1002/14651858.CD001049.pub4.</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901" w:name="Wang2010"/>
      <w:bookmarkEnd w:id="901"/>
      <w:r w:rsidRPr="00A3204A">
        <w:rPr>
          <w:rFonts w:ascii="Times New Roman" w:hAnsi="Times New Roman" w:cs="Times New Roman"/>
          <w:sz w:val="24"/>
          <w:szCs w:val="24"/>
        </w:rPr>
        <w:t>Wang, C. C., Kosinski, C. J., Schwartzberg, J. G., and Shanklin, A., (2010). Assessing and counseling older drivers, 2</w:t>
      </w:r>
      <w:r w:rsidRPr="00A3204A">
        <w:rPr>
          <w:rFonts w:ascii="Times New Roman" w:hAnsi="Times New Roman" w:cs="Times New Roman"/>
          <w:sz w:val="24"/>
          <w:szCs w:val="24"/>
          <w:vertAlign w:val="superscript"/>
        </w:rPr>
        <w:t>nd</w:t>
      </w:r>
      <w:r w:rsidRPr="00A3204A">
        <w:rPr>
          <w:rFonts w:ascii="Times New Roman" w:hAnsi="Times New Roman" w:cs="Times New Roman"/>
          <w:sz w:val="24"/>
          <w:szCs w:val="24"/>
        </w:rPr>
        <w:t xml:space="preserve"> ed. </w:t>
      </w:r>
      <w:r w:rsidRPr="00A3204A">
        <w:rPr>
          <w:rFonts w:ascii="Times New Roman" w:hAnsi="Times New Roman" w:cs="Times New Roman"/>
          <w:i/>
          <w:sz w:val="24"/>
          <w:szCs w:val="24"/>
        </w:rPr>
        <w:t>American Medical Association IX</w:t>
      </w:r>
      <w:r w:rsidRPr="00A3204A">
        <w:rPr>
          <w:rFonts w:ascii="Times New Roman" w:hAnsi="Times New Roman" w:cs="Times New Roman"/>
          <w:sz w:val="24"/>
          <w:szCs w:val="24"/>
        </w:rPr>
        <w:t>: 1-196.</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Wang, D, Te-Chun, L, Chen, J, &amp; Allan, S. (2011). Prescription benchmarks for </w:t>
      </w:r>
      <w:smartTag w:uri="urn:schemas-microsoft-com:office:smarttags" w:element="State">
        <w:smartTag w:uri="urn:schemas-microsoft-com:office:smarttags" w:element="place">
          <w:r w:rsidRPr="00A3204A">
            <w:rPr>
              <w:rFonts w:ascii="Times New Roman" w:hAnsi="Times New Roman" w:cs="Times New Roman"/>
              <w:sz w:val="24"/>
              <w:szCs w:val="24"/>
            </w:rPr>
            <w:t>Washington</w:t>
          </w:r>
        </w:smartTag>
      </w:smartTag>
      <w:r w:rsidRPr="00A3204A">
        <w:rPr>
          <w:rFonts w:ascii="Times New Roman" w:hAnsi="Times New Roman" w:cs="Times New Roman"/>
          <w:sz w:val="24"/>
          <w:szCs w:val="24"/>
        </w:rPr>
        <w:t xml:space="preserve">. </w:t>
      </w:r>
      <w:r w:rsidRPr="00A3204A">
        <w:rPr>
          <w:rFonts w:ascii="Times New Roman" w:hAnsi="Times New Roman" w:cs="Times New Roman"/>
          <w:i/>
          <w:sz w:val="24"/>
          <w:szCs w:val="24"/>
        </w:rPr>
        <w:t xml:space="preserve">Workers Compensation Institut, </w:t>
      </w:r>
      <w:r w:rsidRPr="00A3204A">
        <w:rPr>
          <w:rFonts w:ascii="Times New Roman" w:hAnsi="Times New Roman" w:cs="Times New Roman"/>
          <w:sz w:val="24"/>
          <w:szCs w:val="24"/>
        </w:rPr>
        <w:t xml:space="preserve">1-117. ISBN 978-1-935325-96-3.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902" w:name="Warden2006"/>
      <w:bookmarkEnd w:id="902"/>
      <w:r w:rsidRPr="00A3204A">
        <w:rPr>
          <w:rFonts w:ascii="Times New Roman" w:hAnsi="Times New Roman" w:cs="Times New Roman"/>
          <w:sz w:val="24"/>
          <w:szCs w:val="24"/>
        </w:rPr>
        <w:t xml:space="preserve">Warden, D. L., Gordon, B., McAllister, T. W., Silver, J. M., Barth, J. T., Bruns, J., …Zitnay, G. (2006). Guidelines for the pharmacologic treatment of neurobehavioral sequelae of traumatic brain injury. </w:t>
      </w:r>
      <w:r w:rsidRPr="00A3204A">
        <w:rPr>
          <w:rFonts w:ascii="Times New Roman" w:hAnsi="Times New Roman" w:cs="Times New Roman"/>
          <w:i/>
          <w:sz w:val="24"/>
          <w:szCs w:val="24"/>
        </w:rPr>
        <w:t>Journal of Neurotrauma, 23(10).</w:t>
      </w:r>
      <w:r w:rsidRPr="00A3204A">
        <w:rPr>
          <w:rFonts w:ascii="Times New Roman" w:hAnsi="Times New Roman" w:cs="Times New Roman"/>
          <w:sz w:val="24"/>
          <w:szCs w:val="24"/>
        </w:rPr>
        <w:t xml:space="preserve"> 1468-1501.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Watkins, C. L., Auton, M. F., Deans, C. F., Dickinson, H. A., Jack, C. I. A., Lightbody, C. E.,… Leathley, M. J. (2007). Motivational interviewing early after acute stroke: A randomized, controlled trial. </w:t>
      </w:r>
      <w:r w:rsidRPr="00A3204A">
        <w:rPr>
          <w:rFonts w:ascii="Times New Roman" w:hAnsi="Times New Roman" w:cs="Times New Roman"/>
          <w:i/>
          <w:sz w:val="24"/>
          <w:szCs w:val="24"/>
        </w:rPr>
        <w:t>Stroke, 38</w:t>
      </w:r>
      <w:r w:rsidRPr="00A3204A">
        <w:rPr>
          <w:rFonts w:ascii="Times New Roman" w:hAnsi="Times New Roman" w:cs="Times New Roman"/>
          <w:sz w:val="24"/>
          <w:szCs w:val="24"/>
        </w:rPr>
        <w:t>, 1004-1009. DOI: 10.1161/01.STR.0000258114.28006.d7.</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Webb, C. (1985). </w:t>
      </w:r>
      <w:r w:rsidRPr="00A3204A">
        <w:rPr>
          <w:rFonts w:ascii="Times New Roman" w:hAnsi="Times New Roman" w:cs="Times New Roman"/>
          <w:bCs/>
          <w:sz w:val="24"/>
          <w:szCs w:val="24"/>
        </w:rPr>
        <w:t xml:space="preserve">COWS Caloric test. </w:t>
      </w:r>
      <w:r w:rsidRPr="00A3204A">
        <w:rPr>
          <w:rFonts w:ascii="Times New Roman" w:hAnsi="Times New Roman" w:cs="Times New Roman"/>
          <w:bCs/>
          <w:i/>
          <w:sz w:val="24"/>
          <w:szCs w:val="24"/>
        </w:rPr>
        <w:t>Annals of Emergency Medicine, 14(9),</w:t>
      </w:r>
      <w:r w:rsidRPr="00A3204A">
        <w:rPr>
          <w:rFonts w:ascii="Times New Roman" w:hAnsi="Times New Roman" w:cs="Times New Roman"/>
          <w:bCs/>
          <w:sz w:val="24"/>
          <w:szCs w:val="24"/>
        </w:rPr>
        <w:t xml:space="preserve"> 938.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903" w:name="Weightman2010"/>
      <w:bookmarkEnd w:id="903"/>
      <w:r w:rsidRPr="00A3204A">
        <w:rPr>
          <w:rFonts w:ascii="Times New Roman" w:hAnsi="Times New Roman" w:cs="Times New Roman"/>
          <w:sz w:val="24"/>
          <w:szCs w:val="24"/>
        </w:rPr>
        <w:lastRenderedPageBreak/>
        <w:t xml:space="preserve">Weightman, M. M., Bolgla, R., McCulloch, K. L., &amp; Peterson, M. D. (2010). Physical therapy recommendations for service members with mild traumatic brain injury. </w:t>
      </w:r>
      <w:r w:rsidRPr="00A3204A">
        <w:rPr>
          <w:rFonts w:ascii="Times New Roman" w:hAnsi="Times New Roman" w:cs="Times New Roman"/>
          <w:i/>
          <w:sz w:val="24"/>
          <w:szCs w:val="24"/>
        </w:rPr>
        <w:t xml:space="preserve">Journal of Head Trauma Rehabilitation, 25(3), </w:t>
      </w:r>
      <w:r w:rsidRPr="00A3204A">
        <w:rPr>
          <w:rFonts w:ascii="Times New Roman" w:hAnsi="Times New Roman" w:cs="Times New Roman"/>
          <w:sz w:val="24"/>
          <w:szCs w:val="24"/>
        </w:rPr>
        <w:t xml:space="preserve">206-218. </w:t>
      </w:r>
      <w:hyperlink r:id="rId98" w:history="1">
        <w:r w:rsidRPr="00A3204A">
          <w:rPr>
            <w:rFonts w:ascii="Times New Roman" w:hAnsi="Times New Roman" w:cs="Times New Roman"/>
            <w:color w:val="0000FF"/>
            <w:sz w:val="24"/>
            <w:szCs w:val="24"/>
            <w:u w:val="single"/>
          </w:rPr>
          <w:t>http://www.headtraumarehab.com</w:t>
        </w:r>
      </w:hyperlink>
      <w:r w:rsidRPr="00A3204A">
        <w:rPr>
          <w:rFonts w:ascii="Times New Roman" w:hAnsi="Times New Roman" w:cs="Times New Roman"/>
          <w:i/>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904" w:name="Weinberg1977"/>
      <w:bookmarkEnd w:id="904"/>
      <w:r w:rsidRPr="00A3204A">
        <w:rPr>
          <w:rFonts w:ascii="Times New Roman" w:hAnsi="Times New Roman" w:cs="Times New Roman"/>
          <w:sz w:val="24"/>
          <w:szCs w:val="24"/>
        </w:rPr>
        <w:t xml:space="preserve">Weinberg, J., Diller, L., Gordon, W. A., Gerstman, L. J., Lieberman, A., Lakin, P.,… Ezrachi, O. (1977). Visual scanning training effect on reading-related tasks in acquired right brain damage. </w:t>
      </w:r>
      <w:r w:rsidRPr="00A3204A">
        <w:rPr>
          <w:rFonts w:ascii="Times New Roman" w:hAnsi="Times New Roman" w:cs="Times New Roman"/>
          <w:i/>
          <w:sz w:val="24"/>
          <w:szCs w:val="24"/>
        </w:rPr>
        <w:t>Archives of Physical Medicine and Rehabilitation, 58,</w:t>
      </w:r>
      <w:r w:rsidRPr="00A3204A">
        <w:rPr>
          <w:rFonts w:ascii="Times New Roman" w:hAnsi="Times New Roman" w:cs="Times New Roman"/>
          <w:sz w:val="24"/>
          <w:szCs w:val="24"/>
        </w:rPr>
        <w:t xml:space="preserve"> 479- 486.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West, C., Bowen, A., Hesketh, A., &amp; Vail, A. (2008) Interventions for motor apraxia following stroke. </w:t>
      </w:r>
      <w:r w:rsidRPr="00A3204A">
        <w:rPr>
          <w:rFonts w:ascii="Times New Roman" w:hAnsi="Times New Roman" w:cs="Times New Roman"/>
          <w:i/>
          <w:iCs/>
          <w:sz w:val="24"/>
          <w:szCs w:val="24"/>
        </w:rPr>
        <w:t xml:space="preserve">Cochrane Database of Systematic Reviews, 1, </w:t>
      </w:r>
      <w:r w:rsidRPr="00A3204A">
        <w:rPr>
          <w:rFonts w:ascii="Times New Roman" w:hAnsi="Times New Roman" w:cs="Times New Roman"/>
          <w:iCs/>
          <w:sz w:val="24"/>
          <w:szCs w:val="24"/>
        </w:rPr>
        <w:t xml:space="preserve">1-20. </w:t>
      </w:r>
      <w:r w:rsidRPr="00A3204A">
        <w:rPr>
          <w:rFonts w:ascii="Times New Roman" w:hAnsi="Times New Roman" w:cs="Times New Roman"/>
          <w:sz w:val="24"/>
          <w:szCs w:val="24"/>
        </w:rPr>
        <w:t>DOI: 10.1002/14651858.CD004132.pub2.</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West, C., Hesketh, A., Vail, A., &amp; Bowen, A. (2005) Interventions for apraxia of speech following stroke. </w:t>
      </w:r>
      <w:r w:rsidRPr="00A3204A">
        <w:rPr>
          <w:rFonts w:ascii="Times New Roman" w:hAnsi="Times New Roman" w:cs="Times New Roman"/>
          <w:bCs/>
          <w:i/>
          <w:sz w:val="24"/>
          <w:szCs w:val="24"/>
        </w:rPr>
        <w:t>Cochrane Database of Systematic Reviews</w:t>
      </w:r>
      <w:r w:rsidRPr="00A3204A">
        <w:rPr>
          <w:rFonts w:ascii="Times New Roman" w:hAnsi="Times New Roman" w:cs="Times New Roman"/>
          <w:i/>
          <w:iCs/>
          <w:sz w:val="24"/>
          <w:szCs w:val="24"/>
        </w:rPr>
        <w:t xml:space="preserve">, 4, </w:t>
      </w:r>
      <w:r w:rsidRPr="00A3204A">
        <w:rPr>
          <w:rFonts w:ascii="Times New Roman" w:hAnsi="Times New Roman" w:cs="Times New Roman"/>
          <w:iCs/>
          <w:sz w:val="24"/>
          <w:szCs w:val="24"/>
        </w:rPr>
        <w:t>1-12.</w:t>
      </w:r>
      <w:r w:rsidRPr="00A3204A">
        <w:rPr>
          <w:rFonts w:ascii="Times New Roman" w:hAnsi="Times New Roman" w:cs="Times New Roman"/>
          <w:sz w:val="24"/>
          <w:szCs w:val="24"/>
        </w:rPr>
        <w:t xml:space="preserve"> DOI:10.1002/14651858.CD004298.pub2. </w:t>
      </w:r>
      <w:hyperlink r:id="rId99" w:history="1">
        <w:r w:rsidRPr="00A3204A">
          <w:rPr>
            <w:rFonts w:ascii="Times New Roman" w:hAnsi="Times New Roman" w:cs="Times New Roman"/>
            <w:color w:val="0000FF"/>
            <w:sz w:val="24"/>
            <w:szCs w:val="24"/>
            <w:u w:val="single"/>
          </w:rPr>
          <w:t>http://www.thecochranelibrary.com</w:t>
        </w:r>
      </w:hyperlink>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905" w:name="Weuve2004"/>
      <w:bookmarkEnd w:id="905"/>
      <w:r w:rsidRPr="00A3204A">
        <w:rPr>
          <w:rFonts w:ascii="Times New Roman" w:hAnsi="Times New Roman" w:cs="Times New Roman"/>
          <w:sz w:val="24"/>
          <w:szCs w:val="24"/>
        </w:rPr>
        <w:t xml:space="preserve">Weuve, J, Kang, J. H., Manson, J. E., Breteler, M. M. B., Ware, J. H., &amp; Grodstein, F. (2004). </w:t>
      </w:r>
      <w:r w:rsidRPr="00A3204A">
        <w:rPr>
          <w:rFonts w:ascii="Times New Roman" w:hAnsi="Times New Roman" w:cs="Times New Roman"/>
          <w:bCs/>
          <w:sz w:val="24"/>
          <w:szCs w:val="24"/>
        </w:rPr>
        <w:t xml:space="preserve">Physical activity, including walking, and cognitive function in older women. </w:t>
      </w:r>
      <w:r w:rsidRPr="00A3204A">
        <w:rPr>
          <w:rFonts w:ascii="Times New Roman" w:hAnsi="Times New Roman" w:cs="Times New Roman"/>
          <w:bCs/>
          <w:i/>
          <w:sz w:val="24"/>
          <w:szCs w:val="24"/>
        </w:rPr>
        <w:t>Journal of the American Medical Association, 292(12),</w:t>
      </w:r>
      <w:r w:rsidRPr="00A3204A">
        <w:rPr>
          <w:rFonts w:ascii="Times New Roman" w:hAnsi="Times New Roman" w:cs="Times New Roman"/>
          <w:bCs/>
          <w:sz w:val="24"/>
          <w:szCs w:val="24"/>
        </w:rPr>
        <w:t xml:space="preserve"> 1454-1461.</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smartTag w:uri="urn:schemas-microsoft-com:office:smarttags" w:element="City">
        <w:smartTag w:uri="urn:schemas-microsoft-com:office:smarttags" w:element="place">
          <w:r w:rsidRPr="00A3204A">
            <w:rPr>
              <w:rFonts w:ascii="Times New Roman" w:hAnsi="Times New Roman" w:cs="Times New Roman"/>
              <w:bCs/>
              <w:sz w:val="24"/>
              <w:szCs w:val="24"/>
            </w:rPr>
            <w:t>Wheaton</w:t>
          </w:r>
        </w:smartTag>
      </w:smartTag>
      <w:r w:rsidRPr="00A3204A">
        <w:rPr>
          <w:rFonts w:ascii="Times New Roman" w:hAnsi="Times New Roman" w:cs="Times New Roman"/>
          <w:bCs/>
          <w:sz w:val="24"/>
          <w:szCs w:val="24"/>
        </w:rPr>
        <w:t xml:space="preserve">, P., Mathias, J. L., &amp; Vink, R. (2011). </w:t>
      </w:r>
      <w:r w:rsidRPr="00A3204A">
        <w:rPr>
          <w:rFonts w:ascii="Times New Roman" w:hAnsi="Times New Roman" w:cs="Times New Roman"/>
          <w:sz w:val="24"/>
          <w:szCs w:val="24"/>
        </w:rPr>
        <w:t xml:space="preserve">Impact of pharmacological treatments on cognitive and behavioral outcome in the postacute stages of adult traumatic brain injury. </w:t>
      </w:r>
      <w:r w:rsidRPr="00A3204A">
        <w:rPr>
          <w:rFonts w:ascii="Times New Roman" w:hAnsi="Times New Roman" w:cs="Times New Roman"/>
          <w:i/>
          <w:sz w:val="24"/>
          <w:szCs w:val="24"/>
        </w:rPr>
        <w:t>Journal of Clinical Psychopharmacol, 31(6),</w:t>
      </w:r>
      <w:r w:rsidRPr="00A3204A">
        <w:rPr>
          <w:rFonts w:ascii="Times New Roman" w:hAnsi="Times New Roman" w:cs="Times New Roman"/>
          <w:sz w:val="24"/>
          <w:szCs w:val="24"/>
        </w:rPr>
        <w:t xml:space="preserve"> 745-757. DOI: 10.1097/JCP.0b013e318235f4ac.</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Whitney, S. L., Marchetti, G. R., &amp; Schade, A. I. (2006). The Relationship between falls history and computerized dynamic posturography in persons with balance and vestibular disorders. </w:t>
      </w:r>
      <w:r w:rsidRPr="00A3204A">
        <w:rPr>
          <w:rFonts w:ascii="Times New Roman" w:hAnsi="Times New Roman" w:cs="Times New Roman"/>
          <w:i/>
          <w:sz w:val="24"/>
          <w:szCs w:val="24"/>
        </w:rPr>
        <w:t>Archives of Physical Medicine and Rehabilitation, 87,</w:t>
      </w:r>
      <w:r w:rsidRPr="00A3204A">
        <w:rPr>
          <w:rFonts w:ascii="Times New Roman" w:hAnsi="Times New Roman" w:cs="Times New Roman"/>
          <w:sz w:val="24"/>
          <w:szCs w:val="24"/>
        </w:rPr>
        <w:t xml:space="preserve"> 402-407. DOI: 10.1016/j. apmr.2005.11.002</w:t>
      </w:r>
    </w:p>
    <w:p w:rsidR="00A3204A" w:rsidRPr="00A3204A" w:rsidRDefault="00A3204A" w:rsidP="009C3DC2">
      <w:pPr>
        <w:numPr>
          <w:ilvl w:val="0"/>
          <w:numId w:val="33"/>
        </w:numPr>
        <w:spacing w:before="0" w:after="120"/>
        <w:rPr>
          <w:rFonts w:ascii="Times New Roman" w:hAnsi="Times New Roman" w:cs="Times New Roman"/>
          <w:i/>
          <w:sz w:val="24"/>
          <w:szCs w:val="24"/>
        </w:rPr>
      </w:pPr>
      <w:bookmarkStart w:id="906" w:name="Whyte2004"/>
      <w:bookmarkEnd w:id="906"/>
      <w:r w:rsidRPr="00A3204A">
        <w:rPr>
          <w:rFonts w:ascii="Times New Roman" w:hAnsi="Times New Roman" w:cs="Times New Roman"/>
          <w:sz w:val="24"/>
          <w:szCs w:val="24"/>
        </w:rPr>
        <w:t xml:space="preserve">Whyte, J., Hart, T., Vaccaro, M., Grieb-Neff, P., Risser, A., Polansky, M., &amp; Coslett, H. B. (2004). Effects of methylphenidate on attention deficits after traumatic brain injury: A multidimensional, randomized, controlled trial. </w:t>
      </w:r>
      <w:r w:rsidRPr="00A3204A">
        <w:rPr>
          <w:rFonts w:ascii="Times New Roman" w:hAnsi="Times New Roman" w:cs="Times New Roman"/>
          <w:i/>
          <w:sz w:val="24"/>
          <w:szCs w:val="24"/>
        </w:rPr>
        <w:t>American Journal Physical Medicine and Rehabilitation, 83,</w:t>
      </w:r>
      <w:r w:rsidRPr="00A3204A">
        <w:rPr>
          <w:rFonts w:ascii="Times New Roman" w:hAnsi="Times New Roman" w:cs="Times New Roman"/>
          <w:sz w:val="24"/>
          <w:szCs w:val="24"/>
        </w:rPr>
        <w:t xml:space="preserve"> 401–420. DOI: 10.1097/01.PHM.0000128789.75375.D3.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r w:rsidRPr="00A3204A">
        <w:rPr>
          <w:rFonts w:ascii="Times New Roman" w:hAnsi="Times New Roman" w:cs="Times New Roman"/>
          <w:i/>
          <w:sz w:val="24"/>
          <w:szCs w:val="24"/>
        </w:rPr>
        <w:t xml:space="preserve">. </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i/>
          <w:sz w:val="24"/>
          <w:szCs w:val="24"/>
        </w:rPr>
      </w:pPr>
      <w:bookmarkStart w:id="907" w:name="Whyte2008"/>
      <w:bookmarkEnd w:id="907"/>
      <w:r w:rsidRPr="00A3204A">
        <w:rPr>
          <w:rFonts w:ascii="Times New Roman" w:hAnsi="Times New Roman" w:cs="Times New Roman"/>
          <w:sz w:val="24"/>
          <w:szCs w:val="24"/>
        </w:rPr>
        <w:t xml:space="preserve">Whyte, J., Vaccaro, M., Grieb-Neff, P., Hart, T., Polansky, M., &amp; Coslett, H. B. (2008). The effects of Bromocriptine on attention deficits after traumatic brain injury: A placebo-controlled pilot study. </w:t>
      </w:r>
      <w:r w:rsidRPr="00A3204A">
        <w:rPr>
          <w:rFonts w:ascii="Times New Roman" w:hAnsi="Times New Roman" w:cs="Times New Roman"/>
          <w:i/>
          <w:sz w:val="24"/>
          <w:szCs w:val="24"/>
        </w:rPr>
        <w:t>American Journal of Physical Medicine and Rehabilitation, 87,</w:t>
      </w:r>
      <w:r w:rsidRPr="00A3204A">
        <w:rPr>
          <w:rFonts w:ascii="Times New Roman" w:hAnsi="Times New Roman" w:cs="Times New Roman"/>
          <w:sz w:val="24"/>
          <w:szCs w:val="24"/>
        </w:rPr>
        <w:t xml:space="preserve"> 85–99.</w:t>
      </w:r>
      <w:r w:rsidRPr="00A3204A">
        <w:t xml:space="preserve"> </w:t>
      </w:r>
      <w:r w:rsidRPr="00A3204A">
        <w:rPr>
          <w:rFonts w:ascii="Times New Roman" w:hAnsi="Times New Roman" w:cs="Times New Roman"/>
          <w:sz w:val="24"/>
          <w:szCs w:val="24"/>
        </w:rPr>
        <w:t>DOI: 10.1097/PHM.0b013e3181619609.</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Wilkinson, C. W., Pagulayan, K. F., Petrie, E. C., Mayer, C. L., Colasurdo, E. A., Shofer, J. B.,… Peskind, E. R. (2012). High prevalence of chronic pituitary and target-organ hormone abnormalities after blast-related mild traumatic brain injury. </w:t>
      </w:r>
      <w:r w:rsidRPr="00A3204A">
        <w:rPr>
          <w:rFonts w:ascii="Times New Roman" w:hAnsi="Times New Roman" w:cs="Times New Roman"/>
          <w:i/>
          <w:sz w:val="24"/>
          <w:szCs w:val="24"/>
        </w:rPr>
        <w:t xml:space="preserve">Frontiers in Neurology, 3(11), </w:t>
      </w:r>
      <w:r w:rsidRPr="00A3204A">
        <w:rPr>
          <w:rFonts w:ascii="Times New Roman" w:hAnsi="Times New Roman" w:cs="Times New Roman"/>
          <w:sz w:val="24"/>
          <w:szCs w:val="24"/>
        </w:rPr>
        <w:t>1-12. DOI: 10.3389/fneur.2012.00011.</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bookmarkStart w:id="908" w:name="Williams2011"/>
      <w:bookmarkEnd w:id="908"/>
      <w:r w:rsidRPr="00A3204A">
        <w:rPr>
          <w:rFonts w:ascii="Times New Roman" w:hAnsi="Times New Roman" w:cs="Times New Roman"/>
          <w:sz w:val="24"/>
          <w:szCs w:val="24"/>
        </w:rPr>
        <w:t xml:space="preserve">Williams, G., Clark, R., Schache, A., Fini, N. A., Moore, L, Morris, M. E., &amp; McCrory, P. R. (2011). Training conditions influence walking kinematics and self-selected walking speed in patients with neurological impairments. </w:t>
      </w:r>
      <w:r w:rsidRPr="00A3204A">
        <w:rPr>
          <w:rFonts w:ascii="Times New Roman" w:hAnsi="Times New Roman" w:cs="Times New Roman"/>
          <w:i/>
          <w:sz w:val="24"/>
          <w:szCs w:val="24"/>
        </w:rPr>
        <w:t xml:space="preserve">Journal of Neurotrauma, 28, </w:t>
      </w:r>
      <w:r w:rsidRPr="00A3204A">
        <w:rPr>
          <w:rFonts w:ascii="Times New Roman" w:hAnsi="Times New Roman" w:cs="Times New Roman"/>
          <w:sz w:val="24"/>
          <w:szCs w:val="24"/>
        </w:rPr>
        <w:t>281–287. DOI: 10.1089/neu.2010.1649.</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lastRenderedPageBreak/>
        <w:t xml:space="preserve">Willis, C., Lybrand, S., &amp; Bellamy, N. (2003). Excitatory amino acid inhibitors for traumatic brain injury (Review). </w:t>
      </w:r>
      <w:r w:rsidRPr="00A3204A">
        <w:rPr>
          <w:rFonts w:ascii="Times New Roman" w:hAnsi="Times New Roman" w:cs="Times New Roman"/>
          <w:bCs/>
          <w:i/>
          <w:sz w:val="24"/>
          <w:szCs w:val="24"/>
        </w:rPr>
        <w:t>Cochrane Database of Systematic Reviews</w:t>
      </w:r>
      <w:r w:rsidRPr="00A3204A">
        <w:rPr>
          <w:rFonts w:ascii="Times New Roman" w:hAnsi="Times New Roman" w:cs="Times New Roman"/>
          <w:i/>
          <w:sz w:val="24"/>
          <w:szCs w:val="24"/>
        </w:rPr>
        <w:t>, 1</w:t>
      </w:r>
      <w:r w:rsidRPr="00A3204A">
        <w:rPr>
          <w:rFonts w:ascii="Times New Roman" w:hAnsi="Times New Roman" w:cs="Times New Roman"/>
          <w:sz w:val="24"/>
          <w:szCs w:val="24"/>
        </w:rPr>
        <w:t xml:space="preserve">, 1-17. DOI: 10.1002/14651858.CD003986.pub2. </w:t>
      </w:r>
      <w:hyperlink r:id="rId100" w:history="1">
        <w:r w:rsidRPr="00A3204A">
          <w:rPr>
            <w:rFonts w:ascii="Times New Roman" w:hAnsi="Times New Roman" w:cs="Times New Roman"/>
            <w:color w:val="0000FF"/>
            <w:sz w:val="24"/>
            <w:szCs w:val="24"/>
            <w:u w:val="single"/>
          </w:rPr>
          <w:t>http://www.thecochranelibrary.com</w:t>
        </w:r>
      </w:hyperlink>
      <w:r w:rsidRPr="00A3204A">
        <w:rPr>
          <w:rFonts w:ascii="Times New Roman" w:hAnsi="Times New Roman" w:cs="Times New Roman"/>
          <w:sz w:val="24"/>
          <w:szCs w:val="24"/>
        </w:rPr>
        <w:t xml:space="preserve"> </w:t>
      </w:r>
    </w:p>
    <w:p w:rsidR="00A3204A" w:rsidRPr="00A3204A" w:rsidRDefault="00A3204A" w:rsidP="009C3DC2">
      <w:pPr>
        <w:numPr>
          <w:ilvl w:val="0"/>
          <w:numId w:val="33"/>
        </w:numPr>
        <w:spacing w:before="0" w:after="120"/>
        <w:rPr>
          <w:rFonts w:ascii="Times New Roman" w:hAnsi="Times New Roman" w:cs="Times New Roman"/>
          <w:i/>
          <w:sz w:val="24"/>
          <w:szCs w:val="24"/>
        </w:rPr>
      </w:pPr>
      <w:bookmarkStart w:id="909" w:name="Willmott2009"/>
      <w:bookmarkEnd w:id="909"/>
      <w:r w:rsidRPr="00A3204A">
        <w:rPr>
          <w:rFonts w:ascii="Times New Roman" w:hAnsi="Times New Roman" w:cs="Times New Roman"/>
          <w:sz w:val="24"/>
          <w:szCs w:val="24"/>
        </w:rPr>
        <w:t xml:space="preserve">Willmott, C., &amp; Ponsford, J. (2009). Efficacy of methylphenidate in the rehabilitation of attention following traumatic brain injury: a randomised, crossover, double blind, placebo controlled inpatient trial. </w:t>
      </w:r>
      <w:r w:rsidRPr="00A3204A">
        <w:rPr>
          <w:rFonts w:ascii="Times New Roman" w:hAnsi="Times New Roman" w:cs="Times New Roman"/>
          <w:i/>
          <w:sz w:val="24"/>
          <w:szCs w:val="24"/>
        </w:rPr>
        <w:t>J Neurol Neurosurg Psychiatry, 80,</w:t>
      </w:r>
      <w:r w:rsidRPr="00A3204A">
        <w:rPr>
          <w:rFonts w:ascii="Times New Roman" w:hAnsi="Times New Roman" w:cs="Times New Roman"/>
          <w:sz w:val="24"/>
          <w:szCs w:val="24"/>
        </w:rPr>
        <w:t xml:space="preserve"> 552–557. DOI:10.1136/jnnp.2008.159632.</w:t>
      </w:r>
      <w:r w:rsidRPr="00A3204A">
        <w:rPr>
          <w:rFonts w:ascii="Times New Roman" w:hAnsi="Times New Roman" w:cs="Times New Roman"/>
          <w:i/>
          <w:sz w:val="24"/>
          <w:szCs w:val="24"/>
        </w:rPr>
        <w:t xml:space="preserve"> ***</w:t>
      </w:r>
      <w:r w:rsidRPr="00A3204A">
        <w:rPr>
          <w:rFonts w:ascii="Times New Roman" w:hAnsi="Times New Roman" w:cs="Times New Roman"/>
          <w:i/>
          <w:sz w:val="24"/>
          <w:szCs w:val="24"/>
          <w:highlight w:val="yellow"/>
        </w:rPr>
        <w:t>Used in Evidence Statement</w:t>
      </w:r>
      <w:r w:rsidRPr="00A3204A">
        <w:rPr>
          <w:rFonts w:ascii="Times New Roman" w:hAnsi="Times New Roman" w:cs="Times New Roman"/>
          <w:i/>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Winter, J., Hunter, S., Sim, J., &amp; Crome, P. (2011). Hands-on therapy interventions for upper limb motor dysfunction following stroke. </w:t>
      </w:r>
      <w:r w:rsidRPr="00A3204A">
        <w:rPr>
          <w:rFonts w:ascii="Times New Roman" w:hAnsi="Times New Roman" w:cs="Times New Roman"/>
          <w:i/>
          <w:iCs/>
          <w:sz w:val="24"/>
          <w:szCs w:val="24"/>
        </w:rPr>
        <w:t xml:space="preserve">Cochrane Database of Systematic Reviews, 6, </w:t>
      </w:r>
      <w:r w:rsidRPr="00A3204A">
        <w:rPr>
          <w:rFonts w:ascii="Times New Roman" w:hAnsi="Times New Roman" w:cs="Times New Roman"/>
          <w:iCs/>
          <w:sz w:val="24"/>
          <w:szCs w:val="24"/>
        </w:rPr>
        <w:t xml:space="preserve">1-33. </w:t>
      </w:r>
      <w:r w:rsidRPr="00A3204A">
        <w:rPr>
          <w:rFonts w:ascii="Times New Roman" w:hAnsi="Times New Roman" w:cs="Times New Roman"/>
          <w:sz w:val="24"/>
          <w:szCs w:val="24"/>
        </w:rPr>
        <w:t>DOI: 10.1002/14651858.CD006609.pub2.</w:t>
      </w:r>
    </w:p>
    <w:p w:rsidR="00A3204A" w:rsidRPr="00A3204A" w:rsidRDefault="00A3204A" w:rsidP="009C3DC2">
      <w:pPr>
        <w:keepLines/>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color w:val="292526"/>
          <w:sz w:val="24"/>
          <w:szCs w:val="24"/>
        </w:rPr>
        <w:t xml:space="preserve">Wolf, S. L., Winstein, C. J., Miller, J. P., Taub, E., Uswatte, G., Morris, D.,… Nichols-Larsen, D. (2006). </w:t>
      </w:r>
      <w:r w:rsidRPr="00A3204A">
        <w:rPr>
          <w:rFonts w:ascii="Times New Roman" w:hAnsi="Times New Roman" w:cs="Times New Roman"/>
          <w:bCs/>
          <w:color w:val="292526"/>
          <w:sz w:val="24"/>
          <w:szCs w:val="24"/>
        </w:rPr>
        <w:t>Effect of constraint-induced movement therapy on upper extremity function 3 to 9 months after stroke t</w:t>
      </w:r>
      <w:r w:rsidRPr="00A3204A">
        <w:rPr>
          <w:rFonts w:ascii="Times New Roman" w:hAnsi="Times New Roman" w:cs="Times New Roman"/>
          <w:color w:val="292526"/>
          <w:sz w:val="24"/>
          <w:szCs w:val="24"/>
        </w:rPr>
        <w:t xml:space="preserve">he EXCITE randomized clinical trial. </w:t>
      </w:r>
      <w:r w:rsidRPr="00A3204A">
        <w:rPr>
          <w:rFonts w:ascii="Times New Roman" w:hAnsi="Times New Roman" w:cs="Times New Roman"/>
          <w:i/>
          <w:color w:val="292526"/>
          <w:sz w:val="24"/>
          <w:szCs w:val="24"/>
        </w:rPr>
        <w:t xml:space="preserve">Journal of the American Medical Association, 296, </w:t>
      </w:r>
      <w:r w:rsidRPr="00A3204A">
        <w:rPr>
          <w:rFonts w:ascii="Times New Roman" w:hAnsi="Times New Roman" w:cs="Times New Roman"/>
          <w:color w:val="292526"/>
          <w:sz w:val="24"/>
          <w:szCs w:val="24"/>
        </w:rPr>
        <w:t xml:space="preserve">2095-2104.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910" w:name="Wolf2008"/>
      <w:bookmarkEnd w:id="910"/>
      <w:r w:rsidRPr="00A3204A">
        <w:rPr>
          <w:rFonts w:ascii="Times New Roman" w:hAnsi="Times New Roman" w:cs="Times New Roman"/>
          <w:color w:val="292526"/>
          <w:sz w:val="24"/>
          <w:szCs w:val="24"/>
        </w:rPr>
        <w:t xml:space="preserve">Wolf, S. L, Winstein, C. J., Miller, J. P., Thompson, P. A., Taub, E., Uswatte, G.,… Nichols-Larsen, D. (2008). </w:t>
      </w:r>
      <w:r w:rsidRPr="00A3204A">
        <w:rPr>
          <w:rFonts w:ascii="Times New Roman" w:hAnsi="Times New Roman" w:cs="Times New Roman"/>
          <w:bCs/>
          <w:sz w:val="24"/>
          <w:szCs w:val="24"/>
        </w:rPr>
        <w:t xml:space="preserve">The EXCITE trial: Retention of improved upper extremity function among stroke survivors receiving CI Movement Therapy. </w:t>
      </w:r>
      <w:r w:rsidRPr="00A3204A">
        <w:rPr>
          <w:rFonts w:ascii="Times New Roman" w:hAnsi="Times New Roman" w:cs="Times New Roman"/>
          <w:bCs/>
          <w:i/>
          <w:sz w:val="24"/>
          <w:szCs w:val="24"/>
        </w:rPr>
        <w:t xml:space="preserve">Lancet Neurol., 7(1), </w:t>
      </w:r>
      <w:r w:rsidRPr="00A3204A">
        <w:rPr>
          <w:rFonts w:ascii="Times New Roman" w:hAnsi="Times New Roman" w:cs="Times New Roman"/>
          <w:bCs/>
          <w:sz w:val="24"/>
          <w:szCs w:val="24"/>
        </w:rPr>
        <w:t>33–40.</w:t>
      </w:r>
      <w:r w:rsidRPr="00A3204A">
        <w:rPr>
          <w:rFonts w:ascii="Times New Roman" w:hAnsi="Times New Roman" w:cs="Times New Roman"/>
          <w:i/>
          <w:sz w:val="24"/>
          <w:szCs w:val="24"/>
        </w:rPr>
        <w:t xml:space="preserve"> ***</w:t>
      </w:r>
      <w:r w:rsidRPr="00A3204A">
        <w:rPr>
          <w:rFonts w:ascii="Times New Roman" w:hAnsi="Times New Roman" w:cs="Times New Roman"/>
          <w:i/>
          <w:sz w:val="24"/>
          <w:szCs w:val="24"/>
          <w:highlight w:val="yellow"/>
        </w:rPr>
        <w:t>Used in Evidence Statement</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Wong, A. M. K., Lee, M. –Y., Kuo, J. –K., &amp; Tang, F. –T. (1997). The development and clinical evaluation of a standing biofeedback trainer. </w:t>
      </w:r>
      <w:r w:rsidRPr="00A3204A">
        <w:rPr>
          <w:rFonts w:ascii="Times New Roman" w:hAnsi="Times New Roman" w:cs="Times New Roman"/>
          <w:bCs/>
          <w:i/>
          <w:sz w:val="24"/>
          <w:szCs w:val="24"/>
        </w:rPr>
        <w:t xml:space="preserve">Journal of Rehabilitation Research and Development, 34(3), </w:t>
      </w:r>
      <w:r w:rsidRPr="00A3204A">
        <w:rPr>
          <w:rFonts w:ascii="Times New Roman" w:hAnsi="Times New Roman" w:cs="Times New Roman"/>
          <w:bCs/>
          <w:sz w:val="24"/>
          <w:szCs w:val="24"/>
        </w:rPr>
        <w:t>322-327.</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Wong, V., Cheuk, D. K. L., Lee, S., &amp; </w:t>
      </w:r>
      <w:smartTag w:uri="urn:schemas-microsoft-com:office:smarttags" w:element="place">
        <w:r w:rsidRPr="00A3204A">
          <w:rPr>
            <w:rFonts w:ascii="Times New Roman" w:hAnsi="Times New Roman" w:cs="Times New Roman"/>
            <w:sz w:val="24"/>
            <w:szCs w:val="24"/>
          </w:rPr>
          <w:t>Chu</w:t>
        </w:r>
      </w:smartTag>
      <w:r w:rsidRPr="00A3204A">
        <w:rPr>
          <w:rFonts w:ascii="Times New Roman" w:hAnsi="Times New Roman" w:cs="Times New Roman"/>
          <w:sz w:val="24"/>
          <w:szCs w:val="24"/>
        </w:rPr>
        <w:t xml:space="preserve">, V. (2011). Acupuncture for acute management and rehabilitation of traumatic brain injury (Review) </w:t>
      </w:r>
      <w:r w:rsidRPr="00A3204A">
        <w:rPr>
          <w:rFonts w:ascii="Times New Roman" w:hAnsi="Times New Roman" w:cs="Times New Roman"/>
          <w:bCs/>
          <w:i/>
          <w:sz w:val="24"/>
          <w:szCs w:val="24"/>
        </w:rPr>
        <w:t>Cochrane Database of Systematic Reviews</w:t>
      </w:r>
      <w:r w:rsidRPr="00A3204A">
        <w:rPr>
          <w:rFonts w:ascii="Times New Roman" w:hAnsi="Times New Roman" w:cs="Times New Roman"/>
          <w:i/>
          <w:sz w:val="24"/>
          <w:szCs w:val="24"/>
        </w:rPr>
        <w:t xml:space="preserve">, 5, </w:t>
      </w:r>
      <w:r w:rsidRPr="00A3204A">
        <w:rPr>
          <w:rFonts w:ascii="Times New Roman" w:hAnsi="Times New Roman" w:cs="Times New Roman"/>
          <w:sz w:val="24"/>
          <w:szCs w:val="24"/>
        </w:rPr>
        <w:t>1-35</w:t>
      </w:r>
      <w:r w:rsidRPr="00A3204A">
        <w:rPr>
          <w:rFonts w:ascii="Times New Roman" w:hAnsi="Times New Roman" w:cs="Times New Roman"/>
          <w:i/>
          <w:sz w:val="24"/>
          <w:szCs w:val="24"/>
        </w:rPr>
        <w:t xml:space="preserve"> </w:t>
      </w:r>
      <w:hyperlink r:id="rId101" w:history="1">
        <w:r w:rsidRPr="00A3204A">
          <w:rPr>
            <w:rFonts w:ascii="Times New Roman" w:hAnsi="Times New Roman" w:cs="Times New Roman"/>
            <w:color w:val="0000FF"/>
            <w:sz w:val="24"/>
            <w:szCs w:val="24"/>
            <w:u w:val="single"/>
          </w:rPr>
          <w:t>http://www.thecochranelibrary.com</w:t>
        </w:r>
      </w:hyperlink>
      <w:r w:rsidRPr="00A3204A">
        <w:rPr>
          <w:rFonts w:ascii="Times New Roman" w:hAnsi="Times New Roman" w:cs="Times New Roman"/>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i/>
          <w:sz w:val="24"/>
          <w:szCs w:val="24"/>
        </w:rPr>
      </w:pPr>
      <w:r w:rsidRPr="00A3204A">
        <w:rPr>
          <w:rFonts w:ascii="Times New Roman" w:hAnsi="Times New Roman" w:cs="Times New Roman"/>
          <w:sz w:val="24"/>
          <w:szCs w:val="24"/>
        </w:rPr>
        <w:t xml:space="preserve">Woodford, H. J., &amp; Price, C. I. M. (2007). EMG biofeedback for the recovery ofmotor function after stroke. </w:t>
      </w:r>
      <w:r w:rsidRPr="00A3204A">
        <w:rPr>
          <w:rFonts w:ascii="Times New Roman" w:hAnsi="Times New Roman" w:cs="Times New Roman"/>
          <w:i/>
          <w:iCs/>
          <w:sz w:val="24"/>
          <w:szCs w:val="24"/>
        </w:rPr>
        <w:t>Cochrane Database of Systematic Reviews, 2,</w:t>
      </w:r>
      <w:r w:rsidRPr="00A3204A">
        <w:rPr>
          <w:rFonts w:ascii="Times New Roman" w:hAnsi="Times New Roman" w:cs="Times New Roman"/>
          <w:iCs/>
          <w:sz w:val="24"/>
          <w:szCs w:val="24"/>
        </w:rPr>
        <w:t xml:space="preserve"> 1-26</w:t>
      </w:r>
      <w:r w:rsidRPr="00A3204A">
        <w:rPr>
          <w:rFonts w:ascii="Times New Roman" w:hAnsi="Times New Roman" w:cs="Times New Roman"/>
          <w:sz w:val="24"/>
          <w:szCs w:val="24"/>
        </w:rPr>
        <w:t>. DOI: 10.1002/14651858.CD004585.pub2.</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Wortzel H. S, Filley, C. M, </w:t>
      </w:r>
      <w:smartTag w:uri="urn:schemas-microsoft-com:office:smarttags" w:element="place">
        <w:smartTag w:uri="urn:schemas-microsoft-com:office:smarttags" w:element="City">
          <w:r w:rsidRPr="00A3204A">
            <w:rPr>
              <w:rFonts w:ascii="Times New Roman" w:hAnsi="Times New Roman" w:cs="Times New Roman"/>
              <w:sz w:val="24"/>
              <w:szCs w:val="24"/>
            </w:rPr>
            <w:t>Anderson</w:t>
          </w:r>
        </w:smartTag>
      </w:smartTag>
      <w:r w:rsidRPr="00A3204A">
        <w:rPr>
          <w:rFonts w:ascii="Times New Roman" w:hAnsi="Times New Roman" w:cs="Times New Roman"/>
          <w:sz w:val="24"/>
          <w:szCs w:val="24"/>
        </w:rPr>
        <w:t xml:space="preserve"> C. A, Oster, T, &amp; Arciniegas, D. B (2008). Forensic applications of cerebral single photon emission computed tomography in mild traumatic brain injury. </w:t>
      </w:r>
      <w:r w:rsidRPr="00A3204A">
        <w:rPr>
          <w:rFonts w:ascii="Times New Roman" w:hAnsi="Times New Roman" w:cs="Times New Roman"/>
          <w:i/>
          <w:sz w:val="24"/>
          <w:szCs w:val="24"/>
        </w:rPr>
        <w:t xml:space="preserve">The Journal of the </w:t>
      </w:r>
      <w:smartTag w:uri="urn:schemas-microsoft-com:office:smarttags" w:element="place">
        <w:smartTag w:uri="urn:schemas-microsoft-com:office:smarttags" w:element="PlaceName">
          <w:r w:rsidRPr="00A3204A">
            <w:rPr>
              <w:rFonts w:ascii="Times New Roman" w:hAnsi="Times New Roman" w:cs="Times New Roman"/>
              <w:i/>
              <w:sz w:val="24"/>
              <w:szCs w:val="24"/>
            </w:rPr>
            <w:t>American</w:t>
          </w:r>
        </w:smartTag>
        <w:r w:rsidRPr="00A3204A">
          <w:rPr>
            <w:rFonts w:ascii="Times New Roman" w:hAnsi="Times New Roman" w:cs="Times New Roman"/>
            <w:i/>
            <w:sz w:val="24"/>
            <w:szCs w:val="24"/>
          </w:rPr>
          <w:t xml:space="preserve"> </w:t>
        </w:r>
        <w:smartTag w:uri="urn:schemas-microsoft-com:office:smarttags" w:element="PlaceType">
          <w:r w:rsidRPr="00A3204A">
            <w:rPr>
              <w:rFonts w:ascii="Times New Roman" w:hAnsi="Times New Roman" w:cs="Times New Roman"/>
              <w:i/>
              <w:sz w:val="24"/>
              <w:szCs w:val="24"/>
            </w:rPr>
            <w:t>Academy</w:t>
          </w:r>
        </w:smartTag>
      </w:smartTag>
      <w:r w:rsidRPr="00A3204A">
        <w:rPr>
          <w:rFonts w:ascii="Times New Roman" w:hAnsi="Times New Roman" w:cs="Times New Roman"/>
          <w:i/>
          <w:sz w:val="24"/>
          <w:szCs w:val="24"/>
        </w:rPr>
        <w:t xml:space="preserve"> of Psychiatry and the Law, 36, </w:t>
      </w:r>
      <w:r w:rsidRPr="00A3204A">
        <w:rPr>
          <w:rFonts w:ascii="Times New Roman" w:hAnsi="Times New Roman" w:cs="Times New Roman"/>
          <w:sz w:val="24"/>
          <w:szCs w:val="24"/>
        </w:rPr>
        <w:t xml:space="preserve">310-322.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Wortzel, H. S., Kraus, M. F., Filley, C. M., Anderson, C. A., Arciniegas, D. B. (2011). Diffusion tensor imaging in mild traumatic brain injury litigation. </w:t>
      </w:r>
      <w:r w:rsidRPr="00A3204A">
        <w:rPr>
          <w:rFonts w:ascii="Times New Roman" w:hAnsi="Times New Roman" w:cs="Times New Roman"/>
          <w:i/>
          <w:sz w:val="24"/>
          <w:szCs w:val="24"/>
        </w:rPr>
        <w:t xml:space="preserve">The Journal of the </w:t>
      </w:r>
      <w:smartTag w:uri="urn:schemas-microsoft-com:office:smarttags" w:element="place">
        <w:smartTag w:uri="urn:schemas-microsoft-com:office:smarttags" w:element="PlaceName">
          <w:r w:rsidRPr="00A3204A">
            <w:rPr>
              <w:rFonts w:ascii="Times New Roman" w:hAnsi="Times New Roman" w:cs="Times New Roman"/>
              <w:i/>
              <w:sz w:val="24"/>
              <w:szCs w:val="24"/>
            </w:rPr>
            <w:t>American</w:t>
          </w:r>
        </w:smartTag>
        <w:r w:rsidRPr="00A3204A">
          <w:rPr>
            <w:rFonts w:ascii="Times New Roman" w:hAnsi="Times New Roman" w:cs="Times New Roman"/>
            <w:i/>
            <w:sz w:val="24"/>
            <w:szCs w:val="24"/>
          </w:rPr>
          <w:t xml:space="preserve"> </w:t>
        </w:r>
        <w:smartTag w:uri="urn:schemas-microsoft-com:office:smarttags" w:element="PlaceType">
          <w:r w:rsidRPr="00A3204A">
            <w:rPr>
              <w:rFonts w:ascii="Times New Roman" w:hAnsi="Times New Roman" w:cs="Times New Roman"/>
              <w:i/>
              <w:sz w:val="24"/>
              <w:szCs w:val="24"/>
            </w:rPr>
            <w:t>Academy</w:t>
          </w:r>
        </w:smartTag>
      </w:smartTag>
      <w:r w:rsidRPr="00A3204A">
        <w:rPr>
          <w:rFonts w:ascii="Times New Roman" w:hAnsi="Times New Roman" w:cs="Times New Roman"/>
          <w:i/>
          <w:sz w:val="24"/>
          <w:szCs w:val="24"/>
        </w:rPr>
        <w:t xml:space="preserve"> of Psychiatry and the Law, 39, </w:t>
      </w:r>
      <w:r w:rsidRPr="00A3204A">
        <w:rPr>
          <w:rFonts w:ascii="Times New Roman" w:hAnsi="Times New Roman" w:cs="Times New Roman"/>
          <w:sz w:val="24"/>
          <w:szCs w:val="24"/>
        </w:rPr>
        <w:t>511-523.</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Wu, H. M., Tang, J. L., Lin, X. P., Lau, J. T. F., Leung, P. C., Woo, J., &amp; Li, Y. (2006). Acupuncture for stroke rehabilitation. </w:t>
      </w:r>
      <w:r w:rsidRPr="00A3204A">
        <w:rPr>
          <w:rFonts w:ascii="Times New Roman" w:hAnsi="Times New Roman" w:cs="Times New Roman"/>
          <w:i/>
          <w:iCs/>
          <w:sz w:val="24"/>
          <w:szCs w:val="24"/>
        </w:rPr>
        <w:t>Cochrane Database of Systematic Reviews</w:t>
      </w:r>
      <w:r w:rsidRPr="00A3204A">
        <w:rPr>
          <w:rFonts w:ascii="Times New Roman" w:hAnsi="Times New Roman" w:cs="Times New Roman"/>
          <w:sz w:val="24"/>
          <w:szCs w:val="24"/>
        </w:rPr>
        <w:t xml:space="preserve">, </w:t>
      </w:r>
      <w:r w:rsidRPr="00A3204A">
        <w:rPr>
          <w:rFonts w:ascii="Times New Roman" w:hAnsi="Times New Roman" w:cs="Times New Roman"/>
          <w:i/>
          <w:sz w:val="24"/>
          <w:szCs w:val="24"/>
        </w:rPr>
        <w:t>3,</w:t>
      </w:r>
      <w:r w:rsidRPr="00A3204A">
        <w:rPr>
          <w:rFonts w:ascii="Times New Roman" w:hAnsi="Times New Roman" w:cs="Times New Roman"/>
          <w:sz w:val="24"/>
          <w:szCs w:val="24"/>
        </w:rPr>
        <w:t xml:space="preserve"> 1-25. DOI: 10.1002/14651858.CD004131.pub2.</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Yardley, L, Beech, S., Zander, L., Evans, T., &amp; Weinman, J. (1998). A randomized controlled trial of exercise therapy for dizziness and vertigo in primary care. </w:t>
      </w:r>
      <w:r w:rsidRPr="00A3204A">
        <w:rPr>
          <w:rFonts w:ascii="Times New Roman" w:hAnsi="Times New Roman" w:cs="Times New Roman"/>
          <w:i/>
          <w:sz w:val="24"/>
          <w:szCs w:val="24"/>
        </w:rPr>
        <w:t>British Journal of General Practice, 48,</w:t>
      </w:r>
      <w:r w:rsidRPr="00A3204A">
        <w:rPr>
          <w:rFonts w:ascii="Times New Roman" w:hAnsi="Times New Roman" w:cs="Times New Roman"/>
          <w:sz w:val="24"/>
          <w:szCs w:val="24"/>
        </w:rPr>
        <w:t xml:space="preserve"> 1136-1140.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lastRenderedPageBreak/>
        <w:t>Yardley, L., Donovan-Hall, M., Smith, H. E., Walsh, B. M., Mullee, M., &amp; Bronstein, A. M., (2004). Effectiveness of primary care-based vestibular rehabilitation for chronic dizziness</w:t>
      </w:r>
      <w:r w:rsidRPr="00A3204A">
        <w:rPr>
          <w:rFonts w:ascii="Times New Roman" w:hAnsi="Times New Roman" w:cs="Times New Roman"/>
          <w:i/>
          <w:sz w:val="24"/>
          <w:szCs w:val="24"/>
        </w:rPr>
        <w:t>. Annals of Internal Medicine, 141(8),</w:t>
      </w:r>
      <w:r w:rsidRPr="00A3204A">
        <w:rPr>
          <w:rFonts w:ascii="Times New Roman" w:hAnsi="Times New Roman" w:cs="Times New Roman"/>
          <w:sz w:val="24"/>
          <w:szCs w:val="24"/>
        </w:rPr>
        <w:t xml:space="preserve"> 598-119.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Yardley, L. &amp; Kirby, S. (2006). Evaluation of booklet-based self-management of symptoms in Meniere disease: A randomized controlled trial. </w:t>
      </w:r>
      <w:r w:rsidRPr="00A3204A">
        <w:rPr>
          <w:rFonts w:ascii="Times New Roman" w:hAnsi="Times New Roman" w:cs="Times New Roman"/>
          <w:i/>
          <w:sz w:val="24"/>
          <w:szCs w:val="24"/>
        </w:rPr>
        <w:t xml:space="preserve">Psychosomatic Medicine, 68, </w:t>
      </w:r>
      <w:r w:rsidRPr="00A3204A">
        <w:rPr>
          <w:rFonts w:ascii="Times New Roman" w:hAnsi="Times New Roman" w:cs="Times New Roman"/>
          <w:sz w:val="24"/>
          <w:szCs w:val="24"/>
        </w:rPr>
        <w:t xml:space="preserve">762-769. DOI: 10.1098/0.1psy.0000232269.92.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911" w:name="Yeo2012"/>
      <w:bookmarkEnd w:id="911"/>
      <w:r w:rsidRPr="00A3204A">
        <w:rPr>
          <w:rFonts w:ascii="Times New Roman" w:hAnsi="Times New Roman" w:cs="Times New Roman"/>
          <w:sz w:val="24"/>
          <w:szCs w:val="24"/>
        </w:rPr>
        <w:t xml:space="preserve">Yeo, S. S., Kim, S. H., Kim, O. L., Kim, M. –S., &amp; Jang, S. H. (2012). Optic radiation injury in a patient with traumatic brain injury. </w:t>
      </w:r>
      <w:r w:rsidRPr="00A3204A">
        <w:rPr>
          <w:rFonts w:ascii="Times New Roman" w:hAnsi="Times New Roman" w:cs="Times New Roman"/>
          <w:i/>
          <w:sz w:val="24"/>
          <w:szCs w:val="24"/>
        </w:rPr>
        <w:t>Brain Injury, 26(6),</w:t>
      </w:r>
      <w:r w:rsidRPr="00A3204A">
        <w:rPr>
          <w:rFonts w:ascii="Times New Roman" w:hAnsi="Times New Roman" w:cs="Times New Roman"/>
          <w:sz w:val="24"/>
          <w:szCs w:val="24"/>
        </w:rPr>
        <w:t xml:space="preserve"> 891-895. DOI: 10.3109/02699052.2012.661119.</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Yuh, E. L., Cooper, S. H., </w:t>
      </w:r>
      <w:smartTag w:uri="urn:schemas-microsoft-com:office:smarttags" w:element="place">
        <w:smartTag w:uri="urn:schemas-microsoft-com:office:smarttags" w:element="City">
          <w:r w:rsidRPr="00A3204A">
            <w:rPr>
              <w:rFonts w:ascii="Times New Roman" w:hAnsi="Times New Roman" w:cs="Times New Roman"/>
              <w:sz w:val="24"/>
              <w:szCs w:val="24"/>
            </w:rPr>
            <w:t>Ferguson</w:t>
          </w:r>
        </w:smartTag>
      </w:smartTag>
      <w:r w:rsidRPr="00A3204A">
        <w:rPr>
          <w:rFonts w:ascii="Times New Roman" w:hAnsi="Times New Roman" w:cs="Times New Roman"/>
          <w:sz w:val="24"/>
          <w:szCs w:val="24"/>
        </w:rPr>
        <w:t xml:space="preserve">, A. R., &amp; Manley, G. T., (2011). </w:t>
      </w:r>
      <w:smartTag w:uri="urn:schemas-microsoft-com:office:smarttags" w:element="Street">
        <w:smartTag w:uri="urn:schemas-microsoft-com:office:smarttags" w:element="address">
          <w:r w:rsidRPr="00A3204A">
            <w:rPr>
              <w:rFonts w:ascii="Times New Roman" w:hAnsi="Times New Roman" w:cs="Times New Roman"/>
              <w:sz w:val="24"/>
              <w:szCs w:val="24"/>
            </w:rPr>
            <w:t>Quantitative CT</w:t>
          </w:r>
        </w:smartTag>
      </w:smartTag>
      <w:r w:rsidRPr="00A3204A">
        <w:rPr>
          <w:rFonts w:ascii="Times New Roman" w:hAnsi="Times New Roman" w:cs="Times New Roman"/>
          <w:sz w:val="24"/>
          <w:szCs w:val="24"/>
        </w:rPr>
        <w:t xml:space="preserve"> improves outcome prediction in acute traumatic brain injury. </w:t>
      </w:r>
      <w:r w:rsidRPr="00A3204A">
        <w:rPr>
          <w:rFonts w:ascii="Times New Roman" w:hAnsi="Times New Roman" w:cs="Times New Roman"/>
          <w:i/>
          <w:sz w:val="24"/>
          <w:szCs w:val="24"/>
        </w:rPr>
        <w:t xml:space="preserve">Journal of Neurotrauma, 28(1), </w:t>
      </w:r>
      <w:r w:rsidRPr="00A3204A">
        <w:rPr>
          <w:rFonts w:ascii="Times New Roman" w:hAnsi="Times New Roman" w:cs="Times New Roman"/>
          <w:sz w:val="24"/>
          <w:szCs w:val="24"/>
        </w:rPr>
        <w:t>1-12. DOI: 10.1089/neu.2011.2008.</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bookmarkStart w:id="912" w:name="Zafonte2006"/>
      <w:bookmarkEnd w:id="912"/>
      <w:r w:rsidRPr="00A3204A">
        <w:rPr>
          <w:rFonts w:ascii="Times New Roman" w:hAnsi="Times New Roman" w:cs="Times New Roman"/>
          <w:sz w:val="24"/>
          <w:szCs w:val="24"/>
        </w:rPr>
        <w:t xml:space="preserve">Zafonte, R. D. (2006). Update on biotechnology for TBI rehabilitation a look at the future. </w:t>
      </w:r>
      <w:r w:rsidRPr="00A3204A">
        <w:rPr>
          <w:rFonts w:ascii="Times New Roman" w:hAnsi="Times New Roman" w:cs="Times New Roman"/>
          <w:i/>
          <w:sz w:val="24"/>
          <w:szCs w:val="24"/>
        </w:rPr>
        <w:t>Journal of Head Trauma Rehibilitation, 21(5),</w:t>
      </w:r>
      <w:r w:rsidRPr="00A3204A">
        <w:rPr>
          <w:rFonts w:ascii="Times New Roman" w:hAnsi="Times New Roman" w:cs="Times New Roman"/>
          <w:sz w:val="24"/>
          <w:szCs w:val="24"/>
        </w:rPr>
        <w:t xml:space="preserve"> 403-407.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 xml:space="preserve">Zafonte, R. D., Bagiella, E., Ansel, B. M., Novack, T. A., Friedewald, W. T., Hesdorffer, D. C.… Dikmen, S. S. (2012). </w:t>
      </w:r>
      <w:r w:rsidRPr="00A3204A">
        <w:rPr>
          <w:rFonts w:ascii="Times New Roman" w:hAnsi="Times New Roman" w:cs="Times New Roman"/>
          <w:bCs/>
          <w:sz w:val="24"/>
          <w:szCs w:val="24"/>
        </w:rPr>
        <w:t xml:space="preserve">Effect of Citicoline on functional and cognitive status among patients with traumatic brain injury Citicoline Brain Injury Treatment Trial (COBRIT). </w:t>
      </w:r>
      <w:r w:rsidRPr="00A3204A">
        <w:rPr>
          <w:rFonts w:ascii="Times New Roman" w:hAnsi="Times New Roman" w:cs="Times New Roman"/>
          <w:i/>
          <w:iCs/>
          <w:sz w:val="24"/>
          <w:szCs w:val="24"/>
        </w:rPr>
        <w:t>Journal of the American Medical Association</w:t>
      </w:r>
      <w:r w:rsidRPr="00A3204A">
        <w:rPr>
          <w:rFonts w:ascii="Times New Roman" w:hAnsi="Times New Roman" w:cs="Times New Roman"/>
          <w:sz w:val="24"/>
          <w:szCs w:val="24"/>
        </w:rPr>
        <w:t>,</w:t>
      </w:r>
      <w:r w:rsidRPr="00A3204A">
        <w:rPr>
          <w:rFonts w:ascii="Times New Roman" w:hAnsi="Times New Roman" w:cs="Times New Roman"/>
          <w:bCs/>
          <w:sz w:val="24"/>
          <w:szCs w:val="24"/>
        </w:rPr>
        <w:t xml:space="preserve"> </w:t>
      </w:r>
      <w:r w:rsidRPr="00A3204A">
        <w:rPr>
          <w:rFonts w:ascii="Times New Roman" w:hAnsi="Times New Roman" w:cs="Times New Roman"/>
          <w:bCs/>
          <w:i/>
          <w:sz w:val="24"/>
          <w:szCs w:val="24"/>
        </w:rPr>
        <w:t xml:space="preserve">308(19), </w:t>
      </w:r>
      <w:r w:rsidRPr="00A3204A">
        <w:rPr>
          <w:rFonts w:ascii="Times New Roman" w:hAnsi="Times New Roman" w:cs="Times New Roman"/>
          <w:bCs/>
          <w:sz w:val="24"/>
          <w:szCs w:val="24"/>
        </w:rPr>
        <w:t>1993-2000.</w:t>
      </w:r>
      <w:r w:rsidRPr="00A3204A">
        <w:rPr>
          <w:rFonts w:ascii="Times New Roman" w:hAnsi="Times New Roman" w:cs="Times New Roman"/>
          <w:sz w:val="24"/>
          <w:szCs w:val="24"/>
        </w:rPr>
        <w:t xml:space="preserve"> </w:t>
      </w:r>
    </w:p>
    <w:p w:rsidR="00A3204A" w:rsidRPr="00A3204A" w:rsidRDefault="00A3204A" w:rsidP="009C3DC2">
      <w:pPr>
        <w:numPr>
          <w:ilvl w:val="0"/>
          <w:numId w:val="33"/>
        </w:numPr>
        <w:spacing w:before="0" w:after="120"/>
        <w:rPr>
          <w:rFonts w:ascii="Times New Roman" w:hAnsi="Times New Roman" w:cs="Times New Roman"/>
          <w:i/>
          <w:sz w:val="24"/>
          <w:szCs w:val="24"/>
        </w:rPr>
      </w:pPr>
      <w:bookmarkStart w:id="913" w:name="Zhang2004"/>
      <w:bookmarkEnd w:id="913"/>
      <w:r w:rsidRPr="00A3204A">
        <w:rPr>
          <w:rFonts w:ascii="Times New Roman" w:hAnsi="Times New Roman" w:cs="Times New Roman"/>
          <w:sz w:val="24"/>
          <w:szCs w:val="24"/>
        </w:rPr>
        <w:t xml:space="preserve">Zhang, L., Plotkin, R. C., Wang, G., Sandel, M. E., &amp; Lee, S. (2004). </w:t>
      </w:r>
      <w:r w:rsidRPr="00A3204A">
        <w:rPr>
          <w:rFonts w:ascii="Times New Roman" w:hAnsi="Times New Roman" w:cs="Times New Roman"/>
          <w:bCs/>
          <w:sz w:val="24"/>
          <w:szCs w:val="24"/>
        </w:rPr>
        <w:t xml:space="preserve">Cholinergic augmentation with Donepezil enhances recovery in short-term memory and sustained attention after traumatic brain injury. </w:t>
      </w:r>
      <w:r w:rsidRPr="00A3204A">
        <w:rPr>
          <w:rFonts w:ascii="Times New Roman" w:hAnsi="Times New Roman" w:cs="Times New Roman"/>
          <w:bCs/>
          <w:i/>
          <w:sz w:val="24"/>
          <w:szCs w:val="24"/>
        </w:rPr>
        <w:t xml:space="preserve">Archives Physical Medicine Rehabilitation, 85, </w:t>
      </w:r>
      <w:r w:rsidRPr="00A3204A">
        <w:rPr>
          <w:rFonts w:ascii="Times New Roman" w:hAnsi="Times New Roman" w:cs="Times New Roman"/>
          <w:bCs/>
          <w:sz w:val="24"/>
          <w:szCs w:val="24"/>
        </w:rPr>
        <w:t xml:space="preserve">1050-1055. DOI:10.1016/j.apmr.2003.10.014. </w:t>
      </w:r>
      <w:r w:rsidRPr="00A3204A">
        <w:rPr>
          <w:rFonts w:ascii="Times New Roman" w:hAnsi="Times New Roman" w:cs="Times New Roman"/>
          <w:i/>
          <w:sz w:val="24"/>
          <w:szCs w:val="24"/>
        </w:rPr>
        <w:t>***</w:t>
      </w:r>
      <w:r w:rsidRPr="00A3204A">
        <w:rPr>
          <w:rFonts w:ascii="Times New Roman" w:hAnsi="Times New Roman" w:cs="Times New Roman"/>
          <w:i/>
          <w:sz w:val="24"/>
          <w:szCs w:val="24"/>
          <w:highlight w:val="yellow"/>
        </w:rPr>
        <w:t>Used in Evidence Statement</w:t>
      </w:r>
      <w:r w:rsidRPr="00A3204A">
        <w:rPr>
          <w:rFonts w:ascii="Times New Roman" w:hAnsi="Times New Roman" w:cs="Times New Roman"/>
          <w:i/>
          <w:sz w:val="24"/>
          <w:szCs w:val="24"/>
        </w:rPr>
        <w:t xml:space="preserve">. </w:t>
      </w:r>
    </w:p>
    <w:p w:rsidR="00A3204A" w:rsidRPr="00A3204A" w:rsidRDefault="00A3204A" w:rsidP="009C3DC2">
      <w:pPr>
        <w:numPr>
          <w:ilvl w:val="0"/>
          <w:numId w:val="33"/>
        </w:numPr>
        <w:tabs>
          <w:tab w:val="clear" w:pos="360"/>
          <w:tab w:val="num" w:pos="540"/>
        </w:tabs>
        <w:spacing w:before="0" w:after="120"/>
        <w:ind w:left="900" w:hanging="900"/>
        <w:rPr>
          <w:rFonts w:ascii="Times New Roman" w:hAnsi="Times New Roman" w:cs="Times New Roman"/>
          <w:sz w:val="24"/>
          <w:szCs w:val="24"/>
        </w:rPr>
      </w:pPr>
      <w:r w:rsidRPr="00A3204A">
        <w:rPr>
          <w:rFonts w:ascii="Times New Roman" w:hAnsi="Times New Roman" w:cs="Times New Roman"/>
          <w:sz w:val="24"/>
          <w:szCs w:val="24"/>
        </w:rPr>
        <w:t>Zygun, D.</w:t>
      </w:r>
      <w:r w:rsidRPr="00A3204A">
        <w:rPr>
          <w:rFonts w:ascii="Times New Roman" w:hAnsi="Times New Roman" w:cs="Times New Roman"/>
          <w:bCs/>
          <w:sz w:val="24"/>
          <w:szCs w:val="24"/>
        </w:rPr>
        <w:t xml:space="preserve"> (n.d.). </w:t>
      </w:r>
      <w:r w:rsidRPr="00A3204A">
        <w:rPr>
          <w:rFonts w:ascii="Times New Roman" w:hAnsi="Times New Roman" w:cs="Times New Roman"/>
          <w:sz w:val="24"/>
          <w:szCs w:val="24"/>
        </w:rPr>
        <w:t xml:space="preserve">Commentary hypothermia in severe traumatic brain injury: Questions remain. </w:t>
      </w:r>
      <w:r w:rsidRPr="00A3204A">
        <w:rPr>
          <w:rFonts w:ascii="Times New Roman" w:hAnsi="Times New Roman" w:cs="Times New Roman"/>
          <w:i/>
          <w:sz w:val="24"/>
          <w:szCs w:val="24"/>
        </w:rPr>
        <w:t xml:space="preserve">Journal of Critical Care. </w:t>
      </w:r>
      <w:r w:rsidRPr="00A3204A">
        <w:rPr>
          <w:rFonts w:ascii="Times New Roman" w:hAnsi="Times New Roman" w:cs="Times New Roman"/>
          <w:sz w:val="24"/>
          <w:szCs w:val="24"/>
        </w:rPr>
        <w:t>235-236.</w:t>
      </w:r>
    </w:p>
    <w:p w:rsidR="00A3204A" w:rsidRPr="00A3204A" w:rsidRDefault="00A3204A" w:rsidP="00A3204A">
      <w:pPr>
        <w:spacing w:before="0" w:after="120"/>
        <w:rPr>
          <w:rFonts w:ascii="Times New Roman" w:hAnsi="Times New Roman" w:cs="Times New Roman"/>
          <w:sz w:val="24"/>
          <w:szCs w:val="24"/>
        </w:rPr>
      </w:pPr>
    </w:p>
    <w:p w:rsidR="00A3204A" w:rsidRPr="00A3204A" w:rsidRDefault="00A3204A" w:rsidP="00A3204A">
      <w:pPr>
        <w:spacing w:before="0" w:after="120"/>
        <w:rPr>
          <w:rFonts w:ascii="Times New Roman" w:hAnsi="Times New Roman" w:cs="Times New Roman"/>
          <w:sz w:val="24"/>
          <w:szCs w:val="24"/>
        </w:rPr>
      </w:pPr>
    </w:p>
    <w:p w:rsidR="008A1F61" w:rsidRPr="006054C0" w:rsidRDefault="008A1F61" w:rsidP="00D41D04">
      <w:pPr>
        <w:pStyle w:val="ListNumber2"/>
        <w:numPr>
          <w:ilvl w:val="0"/>
          <w:numId w:val="0"/>
        </w:numPr>
        <w:ind w:left="2160" w:hanging="360"/>
        <w:rPr>
          <w:i/>
        </w:rPr>
      </w:pPr>
    </w:p>
    <w:sectPr w:rsidR="008A1F61" w:rsidRPr="006054C0" w:rsidSect="00C70C7D">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8EE" w:rsidRDefault="009018EE">
      <w:r>
        <w:separator/>
      </w:r>
    </w:p>
  </w:endnote>
  <w:endnote w:type="continuationSeparator" w:id="0">
    <w:p w:rsidR="009018EE" w:rsidRDefault="00901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Copperplate Gothic Bold">
    <w:altName w:val="Arial"/>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Garamond-Regular">
    <w:altName w:val="Cambria"/>
    <w:panose1 w:val="00000000000000000000"/>
    <w:charset w:val="00"/>
    <w:family w:val="auto"/>
    <w:notTrueType/>
    <w:pitch w:val="default"/>
    <w:sig w:usb0="00000003" w:usb1="00000000" w:usb2="00000000" w:usb3="00000000" w:csb0="00000001" w:csb1="00000000"/>
  </w:font>
  <w:font w:name="AdvP418B97">
    <w:panose1 w:val="00000000000000000000"/>
    <w:charset w:val="00"/>
    <w:family w:val="roman"/>
    <w:notTrueType/>
    <w:pitch w:val="default"/>
    <w:sig w:usb0="00000003" w:usb1="00000000" w:usb2="00000000" w:usb3="00000000" w:csb0="00000001" w:csb1="00000000"/>
  </w:font>
  <w:font w:name="OTNEJMQuadraat">
    <w:altName w:val="Arial Unicode MS"/>
    <w:panose1 w:val="00000000000000000000"/>
    <w:charset w:val="86"/>
    <w:family w:val="roman"/>
    <w:notTrueType/>
    <w:pitch w:val="default"/>
    <w:sig w:usb0="00000000" w:usb1="080E0000" w:usb2="00000010" w:usb3="00000000" w:csb0="00040100" w:csb1="00000000"/>
  </w:font>
  <w:font w:name="MS Gothic">
    <w:altName w:val="ＭＳ ゴシック"/>
    <w:panose1 w:val="020B0609070205080204"/>
    <w:charset w:val="80"/>
    <w:family w:val="modern"/>
    <w:pitch w:val="fixed"/>
    <w:sig w:usb0="E00002FF" w:usb1="6AC7FDFB" w:usb2="00000012" w:usb3="00000000" w:csb0="0002009F" w:csb1="00000000"/>
  </w:font>
  <w:font w:name="RealpageBBO1">
    <w:panose1 w:val="00000000000000000000"/>
    <w:charset w:val="00"/>
    <w:family w:val="swiss"/>
    <w:notTrueType/>
    <w:pitch w:val="default"/>
    <w:sig w:usb0="00000003" w:usb1="00000000" w:usb2="00000000" w:usb3="00000000" w:csb0="00000001" w:csb1="00000000"/>
  </w:font>
  <w:font w:name="AdvPS9779">
    <w:panose1 w:val="00000000000000000000"/>
    <w:charset w:val="00"/>
    <w:family w:val="swiss"/>
    <w:notTrueType/>
    <w:pitch w:val="default"/>
    <w:sig w:usb0="00000003" w:usb1="00000000" w:usb2="00000000" w:usb3="00000000" w:csb0="00000001" w:csb1="00000000"/>
  </w:font>
  <w:font w:name="AdvPA0C4">
    <w:panose1 w:val="00000000000000000000"/>
    <w:charset w:val="81"/>
    <w:family w:val="auto"/>
    <w:notTrueType/>
    <w:pitch w:val="default"/>
    <w:sig w:usb0="00000001" w:usb1="09060000" w:usb2="00000010" w:usb3="00000000" w:csb0="0008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BerkeleyStd-Medium">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EE" w:rsidRDefault="009018EE" w:rsidP="00FE70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018EE" w:rsidRDefault="009018EE" w:rsidP="00FE702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Look w:val="01E0" w:firstRow="1" w:lastRow="1" w:firstColumn="1" w:lastColumn="1" w:noHBand="0" w:noVBand="0"/>
    </w:tblPr>
    <w:tblGrid>
      <w:gridCol w:w="4812"/>
      <w:gridCol w:w="4776"/>
    </w:tblGrid>
    <w:tr w:rsidR="009018EE" w:rsidTr="00623A35">
      <w:tc>
        <w:tcPr>
          <w:tcW w:w="4812" w:type="dxa"/>
        </w:tcPr>
        <w:p w:rsidR="009018EE" w:rsidRDefault="009018EE" w:rsidP="00623A35">
          <w:pPr>
            <w:pStyle w:val="Footer"/>
            <w:ind w:right="360"/>
          </w:pPr>
          <w:r>
            <w:t>Traumatic Brain Injury</w:t>
          </w:r>
        </w:p>
      </w:tc>
      <w:tc>
        <w:tcPr>
          <w:tcW w:w="4776" w:type="dxa"/>
        </w:tcPr>
        <w:p w:rsidR="009018EE" w:rsidRDefault="009018EE" w:rsidP="00623A35">
          <w:pPr>
            <w:pStyle w:val="Footer"/>
            <w:ind w:right="360"/>
            <w:jc w:val="right"/>
          </w:pPr>
          <w:r>
            <w:t xml:space="preserve">Exhibit Page Number </w:t>
          </w:r>
          <w:r>
            <w:rPr>
              <w:rStyle w:val="PageNumber"/>
            </w:rPr>
            <w:fldChar w:fldCharType="begin"/>
          </w:r>
          <w:r>
            <w:rPr>
              <w:rStyle w:val="PageNumber"/>
            </w:rPr>
            <w:instrText xml:space="preserve"> PAGE </w:instrText>
          </w:r>
          <w:r>
            <w:rPr>
              <w:rStyle w:val="PageNumber"/>
            </w:rPr>
            <w:fldChar w:fldCharType="separate"/>
          </w:r>
          <w:r w:rsidR="00203DF3">
            <w:rPr>
              <w:rStyle w:val="PageNumber"/>
              <w:noProof/>
            </w:rPr>
            <w:t>123</w:t>
          </w:r>
          <w:r>
            <w:rPr>
              <w:rStyle w:val="PageNumber"/>
            </w:rPr>
            <w:fldChar w:fldCharType="end"/>
          </w:r>
        </w:p>
      </w:tc>
    </w:tr>
  </w:tbl>
  <w:p w:rsidR="009018EE" w:rsidRDefault="009018EE" w:rsidP="00E47E8A">
    <w:pPr>
      <w:pStyle w:val="Footer"/>
      <w:spacing w:before="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8EE" w:rsidRDefault="009018EE">
      <w:r>
        <w:separator/>
      </w:r>
    </w:p>
  </w:footnote>
  <w:footnote w:type="continuationSeparator" w:id="0">
    <w:p w:rsidR="009018EE" w:rsidRDefault="00901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EE" w:rsidRDefault="00203D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60" type="#_x0000_t136" style="position:absolute;margin-left:0;margin-top:0;width:544.9pt;height:64.1pt;rotation:315;z-index:-251660288;mso-position-horizontal:center;mso-position-horizontal-relative:margin;mso-position-vertical:center;mso-position-vertical-relative:margin" o:allowincell="f" fillcolor="#999" stroked="f">
          <v:textpath style="font-family:&quot;Arial&quot;;font-size:1pt" string="Referenced Vers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EE" w:rsidRDefault="00203D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61" type="#_x0000_t136" style="position:absolute;margin-left:0;margin-top:0;width:544.9pt;height:64.1pt;rotation:315;z-index:-251659264;mso-position-horizontal:center;mso-position-horizontal-relative:margin;mso-position-vertical:center;mso-position-vertical-relative:margin" o:allowincell="f" fillcolor="#999" stroked="f">
          <v:textpath style="font-family:&quot;Arial&quot;;font-size:1pt" string="Referenced Vers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EE" w:rsidRDefault="00203D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9" type="#_x0000_t136" style="position:absolute;margin-left:0;margin-top:0;width:544.9pt;height:64.1pt;rotation:315;z-index:-251661312;mso-position-horizontal:center;mso-position-horizontal-relative:margin;mso-position-vertical:center;mso-position-vertical-relative:margin" o:allowincell="f" fillcolor="#999" stroked="f">
          <v:textpath style="font-family:&quot;Arial&quot;;font-size:1pt" string="Referenced Version"/>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EE" w:rsidRDefault="00203D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63" type="#_x0000_t136" style="position:absolute;margin-left:0;margin-top:0;width:544.9pt;height:64.1pt;rotation:315;z-index:-251657216;mso-position-horizontal:center;mso-position-horizontal-relative:margin;mso-position-vertical:center;mso-position-vertical-relative:margin" o:allowincell="f" fillcolor="#999" stroked="f">
          <v:textpath style="font-family:&quot;Arial&quot;;font-size:1pt" string="Referenced Version"/>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EE" w:rsidRDefault="00203D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64" type="#_x0000_t136" style="position:absolute;margin-left:0;margin-top:0;width:544.9pt;height:64.1pt;rotation:315;z-index:-251656192;mso-position-horizontal:center;mso-position-horizontal-relative:margin;mso-position-vertical:center;mso-position-vertical-relative:margin" o:allowincell="f" fillcolor="#999" stroked="f">
          <v:textpath style="font-family:&quot;Arial&quot;;font-size:1pt" string="Referenced Version"/>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EE" w:rsidRDefault="00203D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2" type="#_x0000_t136" style="position:absolute;margin-left:0;margin-top:0;width:544.9pt;height:64.1pt;rotation:315;z-index:-251658240;mso-position-horizontal:center;mso-position-horizontal-relative:margin;mso-position-vertical:center;mso-position-vertical-relative:margin" o:allowincell="f" fillcolor="#999" stroked="f">
          <v:textpath style="font-family:&quot;Arial&quot;;font-size:1pt" string="Referenced Vers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E7C3332"/>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F6EC3C10"/>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BE8A6118"/>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0CA0C00A"/>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9"/>
    <w:multiLevelType w:val="singleLevel"/>
    <w:tmpl w:val="78BC5E9A"/>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00A389D"/>
    <w:multiLevelType w:val="hybridMultilevel"/>
    <w:tmpl w:val="1794E4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02A6598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0926319F"/>
    <w:multiLevelType w:val="hybridMultilevel"/>
    <w:tmpl w:val="84481DA2"/>
    <w:lvl w:ilvl="0" w:tplc="D8141B38">
      <w:start w:val="1"/>
      <w:numFmt w:val="lowerLetter"/>
      <w:pStyle w:val="Guide1-ABC"/>
      <w:lvlText w:val="%1."/>
      <w:lvlJc w:val="left"/>
      <w:pPr>
        <w:tabs>
          <w:tab w:val="num" w:pos="720"/>
        </w:tabs>
        <w:ind w:left="1080" w:hanging="1080"/>
      </w:pPr>
      <w:rPr>
        <w:rFonts w:ascii="Arial Bold" w:hAnsi="Arial Bold" w:hint="default"/>
        <w:b/>
        <w:i w:val="0"/>
        <w:caps/>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E1C73DC"/>
    <w:multiLevelType w:val="hybridMultilevel"/>
    <w:tmpl w:val="2A86B0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28DD5D4D"/>
    <w:multiLevelType w:val="hybridMultilevel"/>
    <w:tmpl w:val="11148FC2"/>
    <w:lvl w:ilvl="0" w:tplc="3AAA08B8">
      <w:start w:val="1"/>
      <w:numFmt w:val="decimal"/>
      <w:lvlText w:val="%1."/>
      <w:lvlJc w:val="left"/>
      <w:pPr>
        <w:tabs>
          <w:tab w:val="num" w:pos="360"/>
        </w:tabs>
        <w:ind w:left="720" w:hanging="720"/>
      </w:pPr>
      <w:rPr>
        <w:rFonts w:cs="Copperplate Gothic Bold" w:hint="default"/>
        <w:b w:val="0"/>
        <w:i w:val="0"/>
        <w:color w:val="auto"/>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CB53EEF"/>
    <w:multiLevelType w:val="hybridMultilevel"/>
    <w:tmpl w:val="35DED89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nsid w:val="453D7D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B826C75"/>
    <w:multiLevelType w:val="multilevel"/>
    <w:tmpl w:val="F3B646AA"/>
    <w:lvl w:ilvl="0">
      <w:start w:val="1"/>
      <w:numFmt w:val="upperLetter"/>
      <w:pStyle w:val="ListNumber"/>
      <w:lvlText w:val="%1."/>
      <w:lvlJc w:val="left"/>
      <w:pPr>
        <w:tabs>
          <w:tab w:val="num" w:pos="720"/>
        </w:tabs>
        <w:ind w:left="720" w:hanging="720"/>
      </w:pPr>
      <w:rPr>
        <w:rFonts w:ascii="Arial Bold" w:hAnsi="Arial Bold" w:hint="default"/>
        <w:b/>
        <w:i w:val="0"/>
        <w:caps/>
        <w:color w:val="auto"/>
        <w:sz w:val="24"/>
      </w:rPr>
    </w:lvl>
    <w:lvl w:ilvl="1">
      <w:start w:val="1"/>
      <w:numFmt w:val="decimal"/>
      <w:pStyle w:val="ListNumber2"/>
      <w:lvlText w:val="%2."/>
      <w:lvlJc w:val="left"/>
      <w:pPr>
        <w:tabs>
          <w:tab w:val="num" w:pos="1440"/>
        </w:tabs>
        <w:ind w:left="1440" w:hanging="720"/>
      </w:pPr>
      <w:rPr>
        <w:rFonts w:ascii="Arial Bold" w:hAnsi="Arial Bold" w:hint="default"/>
        <w:b/>
        <w:i w:val="0"/>
        <w:caps/>
        <w:sz w:val="20"/>
        <w:u w:val="words"/>
      </w:rPr>
    </w:lvl>
    <w:lvl w:ilvl="2">
      <w:start w:val="1"/>
      <w:numFmt w:val="lowerLetter"/>
      <w:pStyle w:val="ListNumber3"/>
      <w:lvlText w:val="%3."/>
      <w:lvlJc w:val="left"/>
      <w:pPr>
        <w:tabs>
          <w:tab w:val="num" w:pos="2160"/>
        </w:tabs>
        <w:ind w:left="2160" w:hanging="720"/>
      </w:pPr>
      <w:rPr>
        <w:rFonts w:ascii="Arial Bold" w:hAnsi="Arial Bold" w:hint="default"/>
        <w:b/>
        <w:i w:val="0"/>
        <w:strike w:val="0"/>
        <w:sz w:val="20"/>
        <w:u w:val="words"/>
      </w:rPr>
    </w:lvl>
    <w:lvl w:ilvl="3">
      <w:start w:val="1"/>
      <w:numFmt w:val="lowerRoman"/>
      <w:pStyle w:val="ListNumber4"/>
      <w:lvlText w:val="%4."/>
      <w:lvlJc w:val="left"/>
      <w:pPr>
        <w:tabs>
          <w:tab w:val="num" w:pos="2880"/>
        </w:tabs>
        <w:ind w:left="2880" w:hanging="720"/>
      </w:pPr>
      <w:rPr>
        <w:rFonts w:ascii="Arial" w:hAnsi="Arial" w:hint="default"/>
        <w:b w:val="0"/>
        <w:i w:val="0"/>
        <w:sz w:val="20"/>
        <w:u w:val="words"/>
      </w:rPr>
    </w:lvl>
    <w:lvl w:ilvl="4">
      <w:start w:val="1"/>
      <w:numFmt w:val="upperLetter"/>
      <w:pStyle w:val="ListNumber5"/>
      <w:lvlText w:val="%5)"/>
      <w:lvlJc w:val="left"/>
      <w:pPr>
        <w:tabs>
          <w:tab w:val="num" w:pos="3600"/>
        </w:tabs>
        <w:ind w:left="3600" w:hanging="720"/>
      </w:pPr>
      <w:rPr>
        <w:rFonts w:ascii="Arial" w:hAnsi="Arial" w:hint="default"/>
        <w:b w:val="0"/>
        <w:i w:val="0"/>
        <w:sz w:val="2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3">
    <w:nsid w:val="549357AD"/>
    <w:multiLevelType w:val="hybridMultilevel"/>
    <w:tmpl w:val="89502E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6A367435"/>
    <w:multiLevelType w:val="hybridMultilevel"/>
    <w:tmpl w:val="8E5029A0"/>
    <w:lvl w:ilvl="0" w:tplc="A28ECF8C">
      <w:start w:val="20"/>
      <w:numFmt w:val="bullet"/>
      <w:lvlText w:val=""/>
      <w:lvlJc w:val="left"/>
      <w:pPr>
        <w:ind w:left="2160" w:hanging="360"/>
      </w:pPr>
      <w:rPr>
        <w:rFonts w:ascii="Wingdings" w:eastAsia="Times New Roman" w:hAnsi="Wingdings"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719F39BC"/>
    <w:multiLevelType w:val="hybridMultilevel"/>
    <w:tmpl w:val="5D2E43A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79D77F32"/>
    <w:multiLevelType w:val="hybridMultilevel"/>
    <w:tmpl w:val="B3BE2720"/>
    <w:lvl w:ilvl="0" w:tplc="A28ECF8C">
      <w:start w:val="20"/>
      <w:numFmt w:val="bullet"/>
      <w:lvlText w:val=""/>
      <w:lvlJc w:val="left"/>
      <w:pPr>
        <w:tabs>
          <w:tab w:val="num" w:pos="2880"/>
        </w:tabs>
        <w:ind w:left="2880" w:hanging="360"/>
      </w:pPr>
      <w:rPr>
        <w:rFonts w:ascii="Wingdings" w:eastAsia="Times New Roman"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6"/>
  </w:num>
  <w:num w:numId="2">
    <w:abstractNumId w:val="11"/>
  </w:num>
  <w:num w:numId="3">
    <w:abstractNumId w:val="4"/>
  </w:num>
  <w:num w:numId="4">
    <w:abstractNumId w:val="3"/>
  </w:num>
  <w:num w:numId="5">
    <w:abstractNumId w:val="2"/>
  </w:num>
  <w:num w:numId="6">
    <w:abstractNumId w:val="1"/>
  </w:num>
  <w:num w:numId="7">
    <w:abstractNumId w:val="0"/>
  </w:num>
  <w:num w:numId="8">
    <w:abstractNumId w:val="7"/>
  </w:num>
  <w:num w:numId="9">
    <w:abstractNumId w:val="12"/>
  </w:num>
  <w:num w:numId="10">
    <w:abstractNumId w:val="8"/>
  </w:num>
  <w:num w:numId="11">
    <w:abstractNumId w:val="5"/>
  </w:num>
  <w:num w:numId="12">
    <w:abstractNumId w:val="10"/>
  </w:num>
  <w:num w:numId="13">
    <w:abstractNumId w:val="1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5"/>
  </w:num>
  <w:num w:numId="32">
    <w:abstractNumId w:val="13"/>
  </w:num>
  <w:num w:numId="33">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GrammaticalErrors/>
  <w:activeWritingStyle w:appName="MSWord" w:lang="en-US"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A63"/>
    <w:rsid w:val="00005D80"/>
    <w:rsid w:val="00005E95"/>
    <w:rsid w:val="000079FA"/>
    <w:rsid w:val="000102C8"/>
    <w:rsid w:val="00010647"/>
    <w:rsid w:val="00023827"/>
    <w:rsid w:val="00031EA1"/>
    <w:rsid w:val="0003337E"/>
    <w:rsid w:val="000362A7"/>
    <w:rsid w:val="000379D6"/>
    <w:rsid w:val="000408B7"/>
    <w:rsid w:val="000430E9"/>
    <w:rsid w:val="000452A9"/>
    <w:rsid w:val="0004650B"/>
    <w:rsid w:val="00047105"/>
    <w:rsid w:val="00065D3B"/>
    <w:rsid w:val="00067834"/>
    <w:rsid w:val="00070642"/>
    <w:rsid w:val="00074390"/>
    <w:rsid w:val="00083CFA"/>
    <w:rsid w:val="00090351"/>
    <w:rsid w:val="00095C78"/>
    <w:rsid w:val="00097351"/>
    <w:rsid w:val="000A2FAB"/>
    <w:rsid w:val="000A3B58"/>
    <w:rsid w:val="000A66D9"/>
    <w:rsid w:val="000B3579"/>
    <w:rsid w:val="000B5C1E"/>
    <w:rsid w:val="000B657F"/>
    <w:rsid w:val="000C13B3"/>
    <w:rsid w:val="000C25B2"/>
    <w:rsid w:val="000C2612"/>
    <w:rsid w:val="000C32F9"/>
    <w:rsid w:val="000D22B6"/>
    <w:rsid w:val="000D5DCD"/>
    <w:rsid w:val="000E023E"/>
    <w:rsid w:val="000E3FC0"/>
    <w:rsid w:val="000F595E"/>
    <w:rsid w:val="000F5FCB"/>
    <w:rsid w:val="000F7FBF"/>
    <w:rsid w:val="00102215"/>
    <w:rsid w:val="00103FAD"/>
    <w:rsid w:val="00104C4D"/>
    <w:rsid w:val="00107E83"/>
    <w:rsid w:val="00110295"/>
    <w:rsid w:val="001114F0"/>
    <w:rsid w:val="001248B9"/>
    <w:rsid w:val="00125071"/>
    <w:rsid w:val="00130DA7"/>
    <w:rsid w:val="00131A3A"/>
    <w:rsid w:val="00133F53"/>
    <w:rsid w:val="00143A1C"/>
    <w:rsid w:val="00145780"/>
    <w:rsid w:val="00154A9F"/>
    <w:rsid w:val="00155CD1"/>
    <w:rsid w:val="00161AC8"/>
    <w:rsid w:val="00163C59"/>
    <w:rsid w:val="00163E15"/>
    <w:rsid w:val="001743A7"/>
    <w:rsid w:val="00176306"/>
    <w:rsid w:val="0018148C"/>
    <w:rsid w:val="00184F43"/>
    <w:rsid w:val="00185D02"/>
    <w:rsid w:val="00187C71"/>
    <w:rsid w:val="0019783C"/>
    <w:rsid w:val="001A5A54"/>
    <w:rsid w:val="001A75B9"/>
    <w:rsid w:val="001A7E56"/>
    <w:rsid w:val="001B3B4C"/>
    <w:rsid w:val="001B5B53"/>
    <w:rsid w:val="001B6189"/>
    <w:rsid w:val="001C25FC"/>
    <w:rsid w:val="001C2EE9"/>
    <w:rsid w:val="001D127F"/>
    <w:rsid w:val="001D1CF8"/>
    <w:rsid w:val="001D4E75"/>
    <w:rsid w:val="001D6883"/>
    <w:rsid w:val="001D6A0A"/>
    <w:rsid w:val="001D7A18"/>
    <w:rsid w:val="001E1B57"/>
    <w:rsid w:val="0020188D"/>
    <w:rsid w:val="002025FD"/>
    <w:rsid w:val="00202675"/>
    <w:rsid w:val="00203B09"/>
    <w:rsid w:val="00203DF3"/>
    <w:rsid w:val="0020584E"/>
    <w:rsid w:val="00212E30"/>
    <w:rsid w:val="00214F58"/>
    <w:rsid w:val="002218E8"/>
    <w:rsid w:val="00221A7D"/>
    <w:rsid w:val="00223699"/>
    <w:rsid w:val="0022766B"/>
    <w:rsid w:val="0023002A"/>
    <w:rsid w:val="00232710"/>
    <w:rsid w:val="00234FF0"/>
    <w:rsid w:val="0023547C"/>
    <w:rsid w:val="00235814"/>
    <w:rsid w:val="00241513"/>
    <w:rsid w:val="00241B23"/>
    <w:rsid w:val="00245723"/>
    <w:rsid w:val="00251B43"/>
    <w:rsid w:val="002523D1"/>
    <w:rsid w:val="00260F80"/>
    <w:rsid w:val="0026247C"/>
    <w:rsid w:val="002722CB"/>
    <w:rsid w:val="00273E70"/>
    <w:rsid w:val="002746A3"/>
    <w:rsid w:val="0027575B"/>
    <w:rsid w:val="00282405"/>
    <w:rsid w:val="00282A71"/>
    <w:rsid w:val="002843DC"/>
    <w:rsid w:val="00286563"/>
    <w:rsid w:val="00293468"/>
    <w:rsid w:val="00295458"/>
    <w:rsid w:val="00295FF4"/>
    <w:rsid w:val="00297F34"/>
    <w:rsid w:val="002A009E"/>
    <w:rsid w:val="002A07DE"/>
    <w:rsid w:val="002A2F13"/>
    <w:rsid w:val="002B0879"/>
    <w:rsid w:val="002B0BF4"/>
    <w:rsid w:val="002B622B"/>
    <w:rsid w:val="002C2E78"/>
    <w:rsid w:val="002C443D"/>
    <w:rsid w:val="002C6618"/>
    <w:rsid w:val="002C76B6"/>
    <w:rsid w:val="002D19A0"/>
    <w:rsid w:val="002D222F"/>
    <w:rsid w:val="002D295E"/>
    <w:rsid w:val="002D5CC1"/>
    <w:rsid w:val="002E02D1"/>
    <w:rsid w:val="002E082D"/>
    <w:rsid w:val="002E0D04"/>
    <w:rsid w:val="002E177A"/>
    <w:rsid w:val="002E3BF8"/>
    <w:rsid w:val="002E47D9"/>
    <w:rsid w:val="002E62A9"/>
    <w:rsid w:val="002E7636"/>
    <w:rsid w:val="002F1C41"/>
    <w:rsid w:val="00307A9A"/>
    <w:rsid w:val="003101C9"/>
    <w:rsid w:val="00316AC2"/>
    <w:rsid w:val="00317497"/>
    <w:rsid w:val="00320263"/>
    <w:rsid w:val="0032246C"/>
    <w:rsid w:val="00322E9B"/>
    <w:rsid w:val="00324C67"/>
    <w:rsid w:val="00335313"/>
    <w:rsid w:val="003425EC"/>
    <w:rsid w:val="00344ADC"/>
    <w:rsid w:val="003467C3"/>
    <w:rsid w:val="00347BB1"/>
    <w:rsid w:val="003523DB"/>
    <w:rsid w:val="00357E52"/>
    <w:rsid w:val="003661DE"/>
    <w:rsid w:val="003705DA"/>
    <w:rsid w:val="003710B5"/>
    <w:rsid w:val="003715C1"/>
    <w:rsid w:val="00375AA6"/>
    <w:rsid w:val="00380F1B"/>
    <w:rsid w:val="00381476"/>
    <w:rsid w:val="00387A03"/>
    <w:rsid w:val="00390A56"/>
    <w:rsid w:val="00393730"/>
    <w:rsid w:val="003A29E1"/>
    <w:rsid w:val="003A46A6"/>
    <w:rsid w:val="003A4754"/>
    <w:rsid w:val="003B1F9A"/>
    <w:rsid w:val="003B4CBC"/>
    <w:rsid w:val="003C0CBB"/>
    <w:rsid w:val="003C0FD3"/>
    <w:rsid w:val="003C6F6D"/>
    <w:rsid w:val="003D0CFC"/>
    <w:rsid w:val="003D1C44"/>
    <w:rsid w:val="003D6174"/>
    <w:rsid w:val="003E2A12"/>
    <w:rsid w:val="003E3D88"/>
    <w:rsid w:val="003E4E7F"/>
    <w:rsid w:val="003E5003"/>
    <w:rsid w:val="003F35E4"/>
    <w:rsid w:val="003F5FB9"/>
    <w:rsid w:val="003F7A69"/>
    <w:rsid w:val="00402CC8"/>
    <w:rsid w:val="0040423F"/>
    <w:rsid w:val="0040544E"/>
    <w:rsid w:val="0041067D"/>
    <w:rsid w:val="00410F0C"/>
    <w:rsid w:val="00411BA5"/>
    <w:rsid w:val="00415116"/>
    <w:rsid w:val="00415BC0"/>
    <w:rsid w:val="00425BB9"/>
    <w:rsid w:val="004331AF"/>
    <w:rsid w:val="004375CF"/>
    <w:rsid w:val="00437927"/>
    <w:rsid w:val="00442B2F"/>
    <w:rsid w:val="00445AE9"/>
    <w:rsid w:val="00447B17"/>
    <w:rsid w:val="00450AB8"/>
    <w:rsid w:val="00451ECB"/>
    <w:rsid w:val="00454CAF"/>
    <w:rsid w:val="00462CA7"/>
    <w:rsid w:val="00465E6F"/>
    <w:rsid w:val="00471323"/>
    <w:rsid w:val="0047702A"/>
    <w:rsid w:val="00481C3E"/>
    <w:rsid w:val="004826E2"/>
    <w:rsid w:val="00483B95"/>
    <w:rsid w:val="004855C6"/>
    <w:rsid w:val="004900F4"/>
    <w:rsid w:val="00492463"/>
    <w:rsid w:val="0049733A"/>
    <w:rsid w:val="00497913"/>
    <w:rsid w:val="004A329A"/>
    <w:rsid w:val="004A6BCA"/>
    <w:rsid w:val="004A6BFF"/>
    <w:rsid w:val="004B0DE0"/>
    <w:rsid w:val="004B4B64"/>
    <w:rsid w:val="004C00BC"/>
    <w:rsid w:val="004C0148"/>
    <w:rsid w:val="004C018D"/>
    <w:rsid w:val="004C2DCB"/>
    <w:rsid w:val="004C3526"/>
    <w:rsid w:val="004C50A3"/>
    <w:rsid w:val="004C5C4F"/>
    <w:rsid w:val="004D395B"/>
    <w:rsid w:val="004D5B20"/>
    <w:rsid w:val="004E28BB"/>
    <w:rsid w:val="004E6757"/>
    <w:rsid w:val="004F09C7"/>
    <w:rsid w:val="004F0EBC"/>
    <w:rsid w:val="004F2219"/>
    <w:rsid w:val="004F4CD0"/>
    <w:rsid w:val="004F7CC3"/>
    <w:rsid w:val="00500065"/>
    <w:rsid w:val="00506E14"/>
    <w:rsid w:val="00507A0A"/>
    <w:rsid w:val="005105E2"/>
    <w:rsid w:val="0051579D"/>
    <w:rsid w:val="00516249"/>
    <w:rsid w:val="00517DD3"/>
    <w:rsid w:val="005216A8"/>
    <w:rsid w:val="0052291A"/>
    <w:rsid w:val="00527940"/>
    <w:rsid w:val="0053165C"/>
    <w:rsid w:val="00533FD7"/>
    <w:rsid w:val="0053645B"/>
    <w:rsid w:val="00540073"/>
    <w:rsid w:val="005412DF"/>
    <w:rsid w:val="005465BE"/>
    <w:rsid w:val="00547001"/>
    <w:rsid w:val="00547839"/>
    <w:rsid w:val="0055035A"/>
    <w:rsid w:val="00560B80"/>
    <w:rsid w:val="0056308D"/>
    <w:rsid w:val="0056633D"/>
    <w:rsid w:val="00567D45"/>
    <w:rsid w:val="00572593"/>
    <w:rsid w:val="00584E1D"/>
    <w:rsid w:val="00587BE7"/>
    <w:rsid w:val="0059403B"/>
    <w:rsid w:val="005945F5"/>
    <w:rsid w:val="00594F48"/>
    <w:rsid w:val="00597629"/>
    <w:rsid w:val="005A2AC1"/>
    <w:rsid w:val="005A4E6D"/>
    <w:rsid w:val="005B1425"/>
    <w:rsid w:val="005B1DBA"/>
    <w:rsid w:val="005B369D"/>
    <w:rsid w:val="005B3854"/>
    <w:rsid w:val="005B4A17"/>
    <w:rsid w:val="005B558C"/>
    <w:rsid w:val="005B734B"/>
    <w:rsid w:val="005C209B"/>
    <w:rsid w:val="005C7D65"/>
    <w:rsid w:val="005D3487"/>
    <w:rsid w:val="005D3E6A"/>
    <w:rsid w:val="005E2CC0"/>
    <w:rsid w:val="005E4EF2"/>
    <w:rsid w:val="005E5E86"/>
    <w:rsid w:val="005F21EA"/>
    <w:rsid w:val="005F47FF"/>
    <w:rsid w:val="00600255"/>
    <w:rsid w:val="006014C7"/>
    <w:rsid w:val="006028C4"/>
    <w:rsid w:val="00603682"/>
    <w:rsid w:val="00604C8A"/>
    <w:rsid w:val="006054C0"/>
    <w:rsid w:val="00605B0F"/>
    <w:rsid w:val="00613164"/>
    <w:rsid w:val="006137FA"/>
    <w:rsid w:val="0061659E"/>
    <w:rsid w:val="00620C29"/>
    <w:rsid w:val="00623A35"/>
    <w:rsid w:val="00627A76"/>
    <w:rsid w:val="00635F23"/>
    <w:rsid w:val="00637EFA"/>
    <w:rsid w:val="006433BA"/>
    <w:rsid w:val="006453B6"/>
    <w:rsid w:val="006519EF"/>
    <w:rsid w:val="00651D26"/>
    <w:rsid w:val="00662B1E"/>
    <w:rsid w:val="00663857"/>
    <w:rsid w:val="006659FE"/>
    <w:rsid w:val="006664B6"/>
    <w:rsid w:val="00676635"/>
    <w:rsid w:val="00677439"/>
    <w:rsid w:val="0068357E"/>
    <w:rsid w:val="006843D9"/>
    <w:rsid w:val="00685F98"/>
    <w:rsid w:val="00687F3C"/>
    <w:rsid w:val="0069203C"/>
    <w:rsid w:val="00692A63"/>
    <w:rsid w:val="0069326B"/>
    <w:rsid w:val="006968C9"/>
    <w:rsid w:val="006975EC"/>
    <w:rsid w:val="006A3F15"/>
    <w:rsid w:val="006A6605"/>
    <w:rsid w:val="006A67D4"/>
    <w:rsid w:val="006A73C6"/>
    <w:rsid w:val="006B0D53"/>
    <w:rsid w:val="006B6DA9"/>
    <w:rsid w:val="006B6F8A"/>
    <w:rsid w:val="006C05C9"/>
    <w:rsid w:val="006C3E21"/>
    <w:rsid w:val="006C6D31"/>
    <w:rsid w:val="006D4820"/>
    <w:rsid w:val="006D5C43"/>
    <w:rsid w:val="006D69A0"/>
    <w:rsid w:val="006E1952"/>
    <w:rsid w:val="006E531F"/>
    <w:rsid w:val="006E5751"/>
    <w:rsid w:val="006E699D"/>
    <w:rsid w:val="006F2CCC"/>
    <w:rsid w:val="00700130"/>
    <w:rsid w:val="00700A46"/>
    <w:rsid w:val="00711ACC"/>
    <w:rsid w:val="00720DDE"/>
    <w:rsid w:val="0072398C"/>
    <w:rsid w:val="00723F06"/>
    <w:rsid w:val="00730B6B"/>
    <w:rsid w:val="0073739E"/>
    <w:rsid w:val="00740C00"/>
    <w:rsid w:val="00742477"/>
    <w:rsid w:val="007554F4"/>
    <w:rsid w:val="00756447"/>
    <w:rsid w:val="00762B43"/>
    <w:rsid w:val="00770BB1"/>
    <w:rsid w:val="00771B27"/>
    <w:rsid w:val="00773307"/>
    <w:rsid w:val="00775327"/>
    <w:rsid w:val="00776157"/>
    <w:rsid w:val="00780504"/>
    <w:rsid w:val="007813DC"/>
    <w:rsid w:val="007843AB"/>
    <w:rsid w:val="007843ED"/>
    <w:rsid w:val="0078565B"/>
    <w:rsid w:val="007924DF"/>
    <w:rsid w:val="00793742"/>
    <w:rsid w:val="007944F7"/>
    <w:rsid w:val="00795A8C"/>
    <w:rsid w:val="007A15B0"/>
    <w:rsid w:val="007A4797"/>
    <w:rsid w:val="007A5DB9"/>
    <w:rsid w:val="007B38E8"/>
    <w:rsid w:val="007B58B7"/>
    <w:rsid w:val="007B61B0"/>
    <w:rsid w:val="007C2488"/>
    <w:rsid w:val="007C4FC3"/>
    <w:rsid w:val="007C5BDF"/>
    <w:rsid w:val="007C706D"/>
    <w:rsid w:val="007C7E76"/>
    <w:rsid w:val="007D707E"/>
    <w:rsid w:val="007D7F42"/>
    <w:rsid w:val="007E0B8D"/>
    <w:rsid w:val="007E0C2F"/>
    <w:rsid w:val="007E4488"/>
    <w:rsid w:val="007E7001"/>
    <w:rsid w:val="007F0C95"/>
    <w:rsid w:val="007F2A10"/>
    <w:rsid w:val="00801993"/>
    <w:rsid w:val="00802F18"/>
    <w:rsid w:val="008057D7"/>
    <w:rsid w:val="0080758D"/>
    <w:rsid w:val="00811C8B"/>
    <w:rsid w:val="008132CD"/>
    <w:rsid w:val="00814C9F"/>
    <w:rsid w:val="00816243"/>
    <w:rsid w:val="008239BD"/>
    <w:rsid w:val="00825172"/>
    <w:rsid w:val="00825985"/>
    <w:rsid w:val="00830AA6"/>
    <w:rsid w:val="00837A5E"/>
    <w:rsid w:val="00837B9D"/>
    <w:rsid w:val="00840D5F"/>
    <w:rsid w:val="00840F42"/>
    <w:rsid w:val="00852B3F"/>
    <w:rsid w:val="00852CC9"/>
    <w:rsid w:val="00855CEC"/>
    <w:rsid w:val="008568BE"/>
    <w:rsid w:val="008608D6"/>
    <w:rsid w:val="00867FD7"/>
    <w:rsid w:val="00870D53"/>
    <w:rsid w:val="00873B39"/>
    <w:rsid w:val="00875C85"/>
    <w:rsid w:val="00882B88"/>
    <w:rsid w:val="008835E4"/>
    <w:rsid w:val="00883F06"/>
    <w:rsid w:val="00884C80"/>
    <w:rsid w:val="00896053"/>
    <w:rsid w:val="00896D96"/>
    <w:rsid w:val="008A140D"/>
    <w:rsid w:val="008A1F61"/>
    <w:rsid w:val="008A21D0"/>
    <w:rsid w:val="008A23F0"/>
    <w:rsid w:val="008A3536"/>
    <w:rsid w:val="008A3581"/>
    <w:rsid w:val="008A42CF"/>
    <w:rsid w:val="008A5E43"/>
    <w:rsid w:val="008B5C94"/>
    <w:rsid w:val="008B5C98"/>
    <w:rsid w:val="008C0D27"/>
    <w:rsid w:val="008C0DEB"/>
    <w:rsid w:val="008C125E"/>
    <w:rsid w:val="008C4B28"/>
    <w:rsid w:val="008C59B8"/>
    <w:rsid w:val="008C6A1F"/>
    <w:rsid w:val="008C743C"/>
    <w:rsid w:val="008D11CB"/>
    <w:rsid w:val="008D2A68"/>
    <w:rsid w:val="008D519C"/>
    <w:rsid w:val="008D5CA4"/>
    <w:rsid w:val="008D7772"/>
    <w:rsid w:val="008D7DFD"/>
    <w:rsid w:val="008E045A"/>
    <w:rsid w:val="009018EE"/>
    <w:rsid w:val="0090549F"/>
    <w:rsid w:val="00906376"/>
    <w:rsid w:val="00907206"/>
    <w:rsid w:val="0090746C"/>
    <w:rsid w:val="00911838"/>
    <w:rsid w:val="00913410"/>
    <w:rsid w:val="009137C9"/>
    <w:rsid w:val="00915CD9"/>
    <w:rsid w:val="00920C7B"/>
    <w:rsid w:val="009217C7"/>
    <w:rsid w:val="00922548"/>
    <w:rsid w:val="0092347D"/>
    <w:rsid w:val="00923D67"/>
    <w:rsid w:val="00930F2A"/>
    <w:rsid w:val="00932EE6"/>
    <w:rsid w:val="00936853"/>
    <w:rsid w:val="00940213"/>
    <w:rsid w:val="00940B0D"/>
    <w:rsid w:val="00943F1F"/>
    <w:rsid w:val="0094665E"/>
    <w:rsid w:val="009474A3"/>
    <w:rsid w:val="00960404"/>
    <w:rsid w:val="00962A22"/>
    <w:rsid w:val="00963987"/>
    <w:rsid w:val="00963B88"/>
    <w:rsid w:val="00964512"/>
    <w:rsid w:val="00965099"/>
    <w:rsid w:val="00975F14"/>
    <w:rsid w:val="00976469"/>
    <w:rsid w:val="00980EAA"/>
    <w:rsid w:val="00983A6D"/>
    <w:rsid w:val="00986685"/>
    <w:rsid w:val="009872AB"/>
    <w:rsid w:val="00993567"/>
    <w:rsid w:val="0099488D"/>
    <w:rsid w:val="00995B68"/>
    <w:rsid w:val="009971E4"/>
    <w:rsid w:val="009A1AB7"/>
    <w:rsid w:val="009A54CA"/>
    <w:rsid w:val="009A73FF"/>
    <w:rsid w:val="009B0153"/>
    <w:rsid w:val="009B1420"/>
    <w:rsid w:val="009B142B"/>
    <w:rsid w:val="009B3654"/>
    <w:rsid w:val="009C072A"/>
    <w:rsid w:val="009C1B73"/>
    <w:rsid w:val="009C3DC2"/>
    <w:rsid w:val="009C3EC3"/>
    <w:rsid w:val="009C516D"/>
    <w:rsid w:val="009C7427"/>
    <w:rsid w:val="009D20DB"/>
    <w:rsid w:val="009E01BA"/>
    <w:rsid w:val="009E204C"/>
    <w:rsid w:val="009E4D82"/>
    <w:rsid w:val="009E565B"/>
    <w:rsid w:val="009E784D"/>
    <w:rsid w:val="009F0AA8"/>
    <w:rsid w:val="00A00884"/>
    <w:rsid w:val="00A026A2"/>
    <w:rsid w:val="00A06BFD"/>
    <w:rsid w:val="00A22D65"/>
    <w:rsid w:val="00A279B6"/>
    <w:rsid w:val="00A3204A"/>
    <w:rsid w:val="00A329BF"/>
    <w:rsid w:val="00A4295A"/>
    <w:rsid w:val="00A45FF8"/>
    <w:rsid w:val="00A50EF3"/>
    <w:rsid w:val="00A52184"/>
    <w:rsid w:val="00A5378A"/>
    <w:rsid w:val="00A600B9"/>
    <w:rsid w:val="00A6054A"/>
    <w:rsid w:val="00A61AB8"/>
    <w:rsid w:val="00A67F88"/>
    <w:rsid w:val="00A74037"/>
    <w:rsid w:val="00A81A03"/>
    <w:rsid w:val="00A81A4E"/>
    <w:rsid w:val="00A81EA3"/>
    <w:rsid w:val="00A822ED"/>
    <w:rsid w:val="00A83DB0"/>
    <w:rsid w:val="00A92695"/>
    <w:rsid w:val="00A92C92"/>
    <w:rsid w:val="00A9375C"/>
    <w:rsid w:val="00A95C9B"/>
    <w:rsid w:val="00AA03ED"/>
    <w:rsid w:val="00AA12AF"/>
    <w:rsid w:val="00AA1D5D"/>
    <w:rsid w:val="00AA28F8"/>
    <w:rsid w:val="00AA3636"/>
    <w:rsid w:val="00AA4B8F"/>
    <w:rsid w:val="00AA4CB3"/>
    <w:rsid w:val="00AA4FF0"/>
    <w:rsid w:val="00AA67B3"/>
    <w:rsid w:val="00AA6F9B"/>
    <w:rsid w:val="00AB493B"/>
    <w:rsid w:val="00AB6AA7"/>
    <w:rsid w:val="00AB70FE"/>
    <w:rsid w:val="00AC652C"/>
    <w:rsid w:val="00AC6D37"/>
    <w:rsid w:val="00AD20E5"/>
    <w:rsid w:val="00AD4FC6"/>
    <w:rsid w:val="00AE05DD"/>
    <w:rsid w:val="00AE6FF2"/>
    <w:rsid w:val="00AF18BD"/>
    <w:rsid w:val="00AF2331"/>
    <w:rsid w:val="00AF4148"/>
    <w:rsid w:val="00AF63FB"/>
    <w:rsid w:val="00AF6D7E"/>
    <w:rsid w:val="00B01C0C"/>
    <w:rsid w:val="00B05FF1"/>
    <w:rsid w:val="00B065A0"/>
    <w:rsid w:val="00B10BA9"/>
    <w:rsid w:val="00B1112D"/>
    <w:rsid w:val="00B12D8D"/>
    <w:rsid w:val="00B14389"/>
    <w:rsid w:val="00B15196"/>
    <w:rsid w:val="00B15E94"/>
    <w:rsid w:val="00B206E6"/>
    <w:rsid w:val="00B20CD0"/>
    <w:rsid w:val="00B2589B"/>
    <w:rsid w:val="00B25E4F"/>
    <w:rsid w:val="00B2605D"/>
    <w:rsid w:val="00B30BDE"/>
    <w:rsid w:val="00B33618"/>
    <w:rsid w:val="00B34EAE"/>
    <w:rsid w:val="00B414F9"/>
    <w:rsid w:val="00B4392B"/>
    <w:rsid w:val="00B440B1"/>
    <w:rsid w:val="00B447D2"/>
    <w:rsid w:val="00B4688C"/>
    <w:rsid w:val="00B47D3C"/>
    <w:rsid w:val="00B50EFA"/>
    <w:rsid w:val="00B51CC7"/>
    <w:rsid w:val="00B52ED9"/>
    <w:rsid w:val="00B5378A"/>
    <w:rsid w:val="00B53D01"/>
    <w:rsid w:val="00B6289B"/>
    <w:rsid w:val="00B65846"/>
    <w:rsid w:val="00B67C2A"/>
    <w:rsid w:val="00B82A97"/>
    <w:rsid w:val="00BA010F"/>
    <w:rsid w:val="00BA0447"/>
    <w:rsid w:val="00BB4168"/>
    <w:rsid w:val="00BC027E"/>
    <w:rsid w:val="00BC4793"/>
    <w:rsid w:val="00BD01A3"/>
    <w:rsid w:val="00BD3035"/>
    <w:rsid w:val="00BD4C20"/>
    <w:rsid w:val="00BE1A9D"/>
    <w:rsid w:val="00BE4358"/>
    <w:rsid w:val="00BE4C05"/>
    <w:rsid w:val="00BE6CBB"/>
    <w:rsid w:val="00BE731F"/>
    <w:rsid w:val="00C05094"/>
    <w:rsid w:val="00C06BB8"/>
    <w:rsid w:val="00C07833"/>
    <w:rsid w:val="00C0784A"/>
    <w:rsid w:val="00C07FEF"/>
    <w:rsid w:val="00C1011E"/>
    <w:rsid w:val="00C1071A"/>
    <w:rsid w:val="00C16D40"/>
    <w:rsid w:val="00C2047E"/>
    <w:rsid w:val="00C319C3"/>
    <w:rsid w:val="00C44041"/>
    <w:rsid w:val="00C54A6F"/>
    <w:rsid w:val="00C551B3"/>
    <w:rsid w:val="00C552CE"/>
    <w:rsid w:val="00C61B0F"/>
    <w:rsid w:val="00C6550A"/>
    <w:rsid w:val="00C70C7D"/>
    <w:rsid w:val="00C71AEF"/>
    <w:rsid w:val="00C72926"/>
    <w:rsid w:val="00C80B09"/>
    <w:rsid w:val="00C820D1"/>
    <w:rsid w:val="00C86860"/>
    <w:rsid w:val="00C90E07"/>
    <w:rsid w:val="00C91111"/>
    <w:rsid w:val="00C92ADD"/>
    <w:rsid w:val="00CA2997"/>
    <w:rsid w:val="00CA2DF3"/>
    <w:rsid w:val="00CA410D"/>
    <w:rsid w:val="00CB50A9"/>
    <w:rsid w:val="00CB7CFF"/>
    <w:rsid w:val="00CC1088"/>
    <w:rsid w:val="00CC2236"/>
    <w:rsid w:val="00CC5FD7"/>
    <w:rsid w:val="00CC6A0E"/>
    <w:rsid w:val="00CC74DA"/>
    <w:rsid w:val="00CC7949"/>
    <w:rsid w:val="00CD02BE"/>
    <w:rsid w:val="00CD0AE5"/>
    <w:rsid w:val="00CD2913"/>
    <w:rsid w:val="00CD4608"/>
    <w:rsid w:val="00CE0546"/>
    <w:rsid w:val="00CE22B1"/>
    <w:rsid w:val="00CE30BE"/>
    <w:rsid w:val="00CE5A28"/>
    <w:rsid w:val="00CE5BB4"/>
    <w:rsid w:val="00CF06FD"/>
    <w:rsid w:val="00CF42B0"/>
    <w:rsid w:val="00D00A44"/>
    <w:rsid w:val="00D01B6F"/>
    <w:rsid w:val="00D02F10"/>
    <w:rsid w:val="00D03764"/>
    <w:rsid w:val="00D13473"/>
    <w:rsid w:val="00D1473C"/>
    <w:rsid w:val="00D14DDF"/>
    <w:rsid w:val="00D15EF8"/>
    <w:rsid w:val="00D16BB6"/>
    <w:rsid w:val="00D17087"/>
    <w:rsid w:val="00D216DC"/>
    <w:rsid w:val="00D23CD3"/>
    <w:rsid w:val="00D27EA3"/>
    <w:rsid w:val="00D32053"/>
    <w:rsid w:val="00D34D19"/>
    <w:rsid w:val="00D41D04"/>
    <w:rsid w:val="00D43A3F"/>
    <w:rsid w:val="00D4549A"/>
    <w:rsid w:val="00D47CCA"/>
    <w:rsid w:val="00D5039B"/>
    <w:rsid w:val="00D5711F"/>
    <w:rsid w:val="00D61842"/>
    <w:rsid w:val="00D61FBE"/>
    <w:rsid w:val="00D6308E"/>
    <w:rsid w:val="00D6440E"/>
    <w:rsid w:val="00D64C30"/>
    <w:rsid w:val="00D72934"/>
    <w:rsid w:val="00D74F37"/>
    <w:rsid w:val="00D937D9"/>
    <w:rsid w:val="00D93980"/>
    <w:rsid w:val="00D94BA4"/>
    <w:rsid w:val="00D96AC6"/>
    <w:rsid w:val="00D96D46"/>
    <w:rsid w:val="00DA698E"/>
    <w:rsid w:val="00DB1052"/>
    <w:rsid w:val="00DB2187"/>
    <w:rsid w:val="00DB49BA"/>
    <w:rsid w:val="00DC0F11"/>
    <w:rsid w:val="00DC10F4"/>
    <w:rsid w:val="00DC7739"/>
    <w:rsid w:val="00DD217D"/>
    <w:rsid w:val="00DD30D2"/>
    <w:rsid w:val="00DD531A"/>
    <w:rsid w:val="00DD579D"/>
    <w:rsid w:val="00DD6E91"/>
    <w:rsid w:val="00DE3053"/>
    <w:rsid w:val="00DE4145"/>
    <w:rsid w:val="00DE6A94"/>
    <w:rsid w:val="00DE6CF6"/>
    <w:rsid w:val="00DF0519"/>
    <w:rsid w:val="00DF149C"/>
    <w:rsid w:val="00DF56FC"/>
    <w:rsid w:val="00DF64A9"/>
    <w:rsid w:val="00DF6D26"/>
    <w:rsid w:val="00DF73DC"/>
    <w:rsid w:val="00E000CA"/>
    <w:rsid w:val="00E02483"/>
    <w:rsid w:val="00E02AE7"/>
    <w:rsid w:val="00E03930"/>
    <w:rsid w:val="00E04DF8"/>
    <w:rsid w:val="00E174CC"/>
    <w:rsid w:val="00E17D17"/>
    <w:rsid w:val="00E2118C"/>
    <w:rsid w:val="00E2324D"/>
    <w:rsid w:val="00E24BAA"/>
    <w:rsid w:val="00E268ED"/>
    <w:rsid w:val="00E27482"/>
    <w:rsid w:val="00E3093E"/>
    <w:rsid w:val="00E47E8A"/>
    <w:rsid w:val="00E50FE2"/>
    <w:rsid w:val="00E55458"/>
    <w:rsid w:val="00E56599"/>
    <w:rsid w:val="00E73ADA"/>
    <w:rsid w:val="00E764C4"/>
    <w:rsid w:val="00E7655E"/>
    <w:rsid w:val="00E807ED"/>
    <w:rsid w:val="00E807F9"/>
    <w:rsid w:val="00E80A2B"/>
    <w:rsid w:val="00E82392"/>
    <w:rsid w:val="00E913DB"/>
    <w:rsid w:val="00E91AE2"/>
    <w:rsid w:val="00E92422"/>
    <w:rsid w:val="00E92BFE"/>
    <w:rsid w:val="00E945EB"/>
    <w:rsid w:val="00E94FA5"/>
    <w:rsid w:val="00E9554C"/>
    <w:rsid w:val="00E96BC2"/>
    <w:rsid w:val="00EA2ADD"/>
    <w:rsid w:val="00EB49C2"/>
    <w:rsid w:val="00EB4F4D"/>
    <w:rsid w:val="00EB745F"/>
    <w:rsid w:val="00EC02AC"/>
    <w:rsid w:val="00EC682F"/>
    <w:rsid w:val="00ED7FB1"/>
    <w:rsid w:val="00EE30AD"/>
    <w:rsid w:val="00EF2FEC"/>
    <w:rsid w:val="00F0257F"/>
    <w:rsid w:val="00F03148"/>
    <w:rsid w:val="00F04FA7"/>
    <w:rsid w:val="00F17A86"/>
    <w:rsid w:val="00F201EA"/>
    <w:rsid w:val="00F21808"/>
    <w:rsid w:val="00F237CF"/>
    <w:rsid w:val="00F23C3D"/>
    <w:rsid w:val="00F23CC5"/>
    <w:rsid w:val="00F30379"/>
    <w:rsid w:val="00F318EB"/>
    <w:rsid w:val="00F37AF4"/>
    <w:rsid w:val="00F40CFD"/>
    <w:rsid w:val="00F501D5"/>
    <w:rsid w:val="00F50D42"/>
    <w:rsid w:val="00F51CDC"/>
    <w:rsid w:val="00F523FE"/>
    <w:rsid w:val="00F527DD"/>
    <w:rsid w:val="00F53655"/>
    <w:rsid w:val="00F5511A"/>
    <w:rsid w:val="00F57203"/>
    <w:rsid w:val="00F636AF"/>
    <w:rsid w:val="00F64CA1"/>
    <w:rsid w:val="00F64E42"/>
    <w:rsid w:val="00F702AC"/>
    <w:rsid w:val="00F76C10"/>
    <w:rsid w:val="00F8152B"/>
    <w:rsid w:val="00F91CC5"/>
    <w:rsid w:val="00F94771"/>
    <w:rsid w:val="00F96FBA"/>
    <w:rsid w:val="00FA0A79"/>
    <w:rsid w:val="00FA2FC4"/>
    <w:rsid w:val="00FA79FF"/>
    <w:rsid w:val="00FB1224"/>
    <w:rsid w:val="00FB3DA7"/>
    <w:rsid w:val="00FC4930"/>
    <w:rsid w:val="00FC588E"/>
    <w:rsid w:val="00FC6486"/>
    <w:rsid w:val="00FD0178"/>
    <w:rsid w:val="00FD0E20"/>
    <w:rsid w:val="00FD3712"/>
    <w:rsid w:val="00FD3A43"/>
    <w:rsid w:val="00FE18EB"/>
    <w:rsid w:val="00FE1C47"/>
    <w:rsid w:val="00FE35E2"/>
    <w:rsid w:val="00FE4DD5"/>
    <w:rsid w:val="00FE7026"/>
    <w:rsid w:val="00FF2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contacts" w:name="middlename"/>
  <w:smartTagType w:namespaceuri="urn:schemas-microsoft-com:office:smarttags" w:name="stockticker"/>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A63"/>
    <w:pPr>
      <w:spacing w:before="240"/>
    </w:pPr>
    <w:rPr>
      <w:rFonts w:ascii="Arial" w:hAnsi="Arial" w:cs="Arial"/>
    </w:rPr>
  </w:style>
  <w:style w:type="paragraph" w:styleId="Heading1">
    <w:name w:val="heading 1"/>
    <w:basedOn w:val="Normal"/>
    <w:next w:val="Normal"/>
    <w:qFormat/>
    <w:rsid w:val="00CB50A9"/>
    <w:pPr>
      <w:keepNext/>
      <w:widowControl w:val="0"/>
      <w:tabs>
        <w:tab w:val="center" w:pos="4680"/>
        <w:tab w:val="left" w:leader="dot" w:pos="5040"/>
        <w:tab w:val="left" w:leader="dot" w:pos="5760"/>
        <w:tab w:val="left" w:leader="dot" w:pos="6480"/>
        <w:tab w:val="left" w:leader="dot" w:pos="7200"/>
        <w:tab w:val="left" w:leader="dot" w:pos="7920"/>
        <w:tab w:val="left" w:leader="dot" w:pos="8640"/>
        <w:tab w:val="left" w:leader="dot" w:pos="9360"/>
      </w:tabs>
      <w:autoSpaceDE w:val="0"/>
      <w:autoSpaceDN w:val="0"/>
      <w:adjustRightInd w:val="0"/>
      <w:jc w:val="center"/>
      <w:outlineLvl w:val="0"/>
    </w:pPr>
    <w:rPr>
      <w:b/>
      <w:bCs/>
      <w:sz w:val="28"/>
      <w:szCs w:val="28"/>
    </w:rPr>
  </w:style>
  <w:style w:type="paragraph" w:styleId="Heading2">
    <w:name w:val="heading 2"/>
    <w:basedOn w:val="Normal"/>
    <w:next w:val="Normal"/>
    <w:link w:val="Heading2Char"/>
    <w:qFormat/>
    <w:rsid w:val="00CB50A9"/>
    <w:pPr>
      <w:keepNext/>
      <w:spacing w:after="60"/>
      <w:outlineLvl w:val="1"/>
    </w:pPr>
    <w:rPr>
      <w:b/>
      <w:bCs/>
      <w:i/>
      <w:iCs/>
      <w:sz w:val="28"/>
      <w:szCs w:val="28"/>
    </w:rPr>
  </w:style>
  <w:style w:type="paragraph" w:styleId="Heading3">
    <w:name w:val="heading 3"/>
    <w:basedOn w:val="Normal"/>
    <w:next w:val="Normal"/>
    <w:qFormat/>
    <w:rsid w:val="00CB50A9"/>
    <w:pPr>
      <w:keepNext/>
      <w:spacing w:after="60"/>
      <w:outlineLvl w:val="2"/>
    </w:pPr>
    <w:rPr>
      <w:b/>
      <w:bCs/>
      <w:sz w:val="26"/>
      <w:szCs w:val="26"/>
    </w:rPr>
  </w:style>
  <w:style w:type="paragraph" w:styleId="Heading4">
    <w:name w:val="heading 4"/>
    <w:basedOn w:val="Normal"/>
    <w:next w:val="Normal"/>
    <w:qFormat/>
    <w:rsid w:val="00CB50A9"/>
    <w:pPr>
      <w:keepNext/>
      <w:spacing w:after="60"/>
      <w:outlineLvl w:val="3"/>
    </w:pPr>
    <w:rPr>
      <w:rFonts w:ascii="Times New Roman" w:hAnsi="Times New Roman" w:cs="Times New Roman"/>
      <w:b/>
      <w:bCs/>
      <w:sz w:val="28"/>
      <w:szCs w:val="28"/>
    </w:rPr>
  </w:style>
  <w:style w:type="paragraph" w:styleId="Heading5">
    <w:name w:val="heading 5"/>
    <w:basedOn w:val="Normal"/>
    <w:next w:val="Normal"/>
    <w:qFormat/>
    <w:rsid w:val="00CB50A9"/>
    <w:pPr>
      <w:spacing w:after="60"/>
      <w:outlineLvl w:val="4"/>
    </w:pPr>
    <w:rPr>
      <w:b/>
      <w:bCs/>
      <w:i/>
      <w:iCs/>
      <w:sz w:val="26"/>
      <w:szCs w:val="26"/>
    </w:rPr>
  </w:style>
  <w:style w:type="paragraph" w:styleId="Heading6">
    <w:name w:val="heading 6"/>
    <w:basedOn w:val="Normal"/>
    <w:next w:val="Normal"/>
    <w:qFormat/>
    <w:rsid w:val="00CB50A9"/>
    <w:pPr>
      <w:spacing w:after="60"/>
      <w:outlineLvl w:val="5"/>
    </w:pPr>
    <w:rPr>
      <w:rFonts w:ascii="Times New Roman" w:hAnsi="Times New Roman" w:cs="Times New Roman"/>
      <w:b/>
      <w:bCs/>
      <w:sz w:val="22"/>
      <w:szCs w:val="22"/>
    </w:rPr>
  </w:style>
  <w:style w:type="paragraph" w:styleId="Heading7">
    <w:name w:val="heading 7"/>
    <w:basedOn w:val="Normal"/>
    <w:next w:val="Normal"/>
    <w:qFormat/>
    <w:rsid w:val="00CB50A9"/>
    <w:pPr>
      <w:spacing w:after="60"/>
      <w:outlineLvl w:val="6"/>
    </w:pPr>
    <w:rPr>
      <w:rFonts w:ascii="Times New Roman" w:hAnsi="Times New Roman" w:cs="Times New Roman"/>
    </w:rPr>
  </w:style>
  <w:style w:type="paragraph" w:styleId="Heading8">
    <w:name w:val="heading 8"/>
    <w:basedOn w:val="Normal"/>
    <w:next w:val="Normal"/>
    <w:qFormat/>
    <w:rsid w:val="00CB50A9"/>
    <w:pPr>
      <w:spacing w:after="60"/>
      <w:outlineLvl w:val="7"/>
    </w:pPr>
    <w:rPr>
      <w:rFonts w:ascii="Times New Roman" w:hAnsi="Times New Roman" w:cs="Times New Roman"/>
      <w:i/>
      <w:iCs/>
    </w:rPr>
  </w:style>
  <w:style w:type="paragraph" w:styleId="Heading9">
    <w:name w:val="heading 9"/>
    <w:basedOn w:val="Normal"/>
    <w:next w:val="Normal"/>
    <w:qFormat/>
    <w:rsid w:val="00CB50A9"/>
    <w:pPr>
      <w:spacing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837A5E"/>
    <w:rPr>
      <w:sz w:val="24"/>
    </w:rPr>
  </w:style>
  <w:style w:type="paragraph" w:styleId="EnvelopeAddress">
    <w:name w:val="envelope address"/>
    <w:basedOn w:val="Normal"/>
    <w:semiHidden/>
    <w:rsid w:val="00837A5E"/>
    <w:pPr>
      <w:framePr w:w="7920" w:h="1980" w:hRule="exact" w:hSpace="180" w:wrap="auto" w:hAnchor="page" w:xAlign="center" w:yAlign="bottom"/>
      <w:ind w:left="2880"/>
    </w:pPr>
    <w:rPr>
      <w:sz w:val="24"/>
    </w:rPr>
  </w:style>
  <w:style w:type="numbering" w:styleId="111111">
    <w:name w:val="Outline List 2"/>
    <w:basedOn w:val="NoList"/>
    <w:semiHidden/>
    <w:rsid w:val="00CB50A9"/>
    <w:pPr>
      <w:numPr>
        <w:numId w:val="1"/>
      </w:numPr>
    </w:pPr>
  </w:style>
  <w:style w:type="paragraph" w:styleId="Footer">
    <w:name w:val="footer"/>
    <w:basedOn w:val="Normal"/>
    <w:link w:val="FooterChar"/>
    <w:rsid w:val="00CB50A9"/>
    <w:pPr>
      <w:tabs>
        <w:tab w:val="center" w:pos="4320"/>
        <w:tab w:val="right" w:pos="8640"/>
      </w:tabs>
    </w:pPr>
  </w:style>
  <w:style w:type="numbering" w:styleId="1ai">
    <w:name w:val="Outline List 1"/>
    <w:basedOn w:val="NoList"/>
    <w:semiHidden/>
    <w:rsid w:val="00CB50A9"/>
    <w:pPr>
      <w:numPr>
        <w:numId w:val="2"/>
      </w:numPr>
    </w:pPr>
  </w:style>
  <w:style w:type="paragraph" w:styleId="Header">
    <w:name w:val="header"/>
    <w:basedOn w:val="Normal"/>
    <w:link w:val="HeaderChar"/>
    <w:rsid w:val="00CB50A9"/>
    <w:pPr>
      <w:tabs>
        <w:tab w:val="center" w:pos="4320"/>
        <w:tab w:val="right" w:pos="8640"/>
      </w:tabs>
    </w:pPr>
  </w:style>
  <w:style w:type="paragraph" w:customStyle="1" w:styleId="Agency">
    <w:name w:val="Agency"/>
    <w:basedOn w:val="Normal"/>
    <w:rsid w:val="00CB50A9"/>
    <w:pPr>
      <w:jc w:val="center"/>
    </w:pPr>
    <w:rPr>
      <w:b/>
      <w:bCs/>
      <w:sz w:val="28"/>
      <w:szCs w:val="28"/>
    </w:rPr>
  </w:style>
  <w:style w:type="paragraph" w:customStyle="1" w:styleId="BirdsTitle">
    <w:name w:val="Birds Title"/>
    <w:basedOn w:val="Normal"/>
    <w:rsid w:val="003467C3"/>
    <w:pPr>
      <w:widowControl w:val="0"/>
      <w:spacing w:after="480"/>
      <w:jc w:val="center"/>
    </w:pPr>
    <w:rPr>
      <w:rFonts w:ascii="Comic Sans MS" w:hAnsi="Comic Sans MS"/>
      <w:b/>
      <w:bCs/>
      <w:kern w:val="36"/>
      <w:sz w:val="40"/>
      <w:szCs w:val="40"/>
    </w:rPr>
  </w:style>
  <w:style w:type="paragraph" w:customStyle="1" w:styleId="BirdsSummary">
    <w:name w:val="Birds Summary"/>
    <w:basedOn w:val="NormalWeb"/>
    <w:autoRedefine/>
    <w:rsid w:val="003467C3"/>
    <w:pPr>
      <w:widowControl w:val="0"/>
    </w:pPr>
    <w:rPr>
      <w:rFonts w:ascii="Arial" w:hAnsi="Arial" w:cs="Arial"/>
      <w:sz w:val="20"/>
    </w:rPr>
  </w:style>
  <w:style w:type="paragraph" w:styleId="NormalWeb">
    <w:name w:val="Normal (Web)"/>
    <w:basedOn w:val="Normal"/>
    <w:semiHidden/>
    <w:rsid w:val="00CB50A9"/>
    <w:rPr>
      <w:rFonts w:ascii="Times New Roman" w:hAnsi="Times New Roman" w:cs="Times New Roman"/>
      <w:sz w:val="24"/>
      <w:szCs w:val="24"/>
    </w:rPr>
  </w:style>
  <w:style w:type="paragraph" w:customStyle="1" w:styleId="BirdsStory">
    <w:name w:val="Birds Story"/>
    <w:basedOn w:val="NormalWeb"/>
    <w:autoRedefine/>
    <w:rsid w:val="003467C3"/>
    <w:pPr>
      <w:widowControl w:val="0"/>
    </w:pPr>
    <w:rPr>
      <w:rFonts w:ascii="Arial" w:hAnsi="Arial" w:cs="Arial"/>
    </w:rPr>
  </w:style>
  <w:style w:type="paragraph" w:styleId="BalloonText">
    <w:name w:val="Balloon Text"/>
    <w:basedOn w:val="Normal"/>
    <w:link w:val="BalloonTextChar"/>
    <w:semiHidden/>
    <w:rsid w:val="00CB50A9"/>
    <w:rPr>
      <w:rFonts w:ascii="Tahoma" w:hAnsi="Tahoma" w:cs="Tahoma"/>
      <w:sz w:val="16"/>
      <w:szCs w:val="16"/>
    </w:rPr>
  </w:style>
  <w:style w:type="paragraph" w:customStyle="1" w:styleId="Style1">
    <w:name w:val="Style1"/>
    <w:basedOn w:val="Normal"/>
    <w:rsid w:val="007554F4"/>
    <w:pPr>
      <w:keepNext/>
    </w:pPr>
  </w:style>
  <w:style w:type="paragraph" w:customStyle="1" w:styleId="BirdsChapter">
    <w:name w:val="Birds Chapter"/>
    <w:basedOn w:val="Normal"/>
    <w:rsid w:val="00F30379"/>
    <w:pPr>
      <w:keepNext/>
      <w:widowControl w:val="0"/>
    </w:pPr>
    <w:rPr>
      <w:b/>
    </w:rPr>
  </w:style>
  <w:style w:type="paragraph" w:styleId="BlockText">
    <w:name w:val="Block Text"/>
    <w:basedOn w:val="Normal"/>
    <w:semiHidden/>
    <w:rsid w:val="00CB50A9"/>
    <w:pPr>
      <w:widowControl w:val="0"/>
      <w:autoSpaceDE w:val="0"/>
      <w:autoSpaceDN w:val="0"/>
      <w:adjustRightInd w:val="0"/>
      <w:spacing w:before="120"/>
    </w:pPr>
  </w:style>
  <w:style w:type="paragraph" w:styleId="BodyText">
    <w:name w:val="Body Text"/>
    <w:basedOn w:val="Normal"/>
    <w:link w:val="BodyTextChar"/>
    <w:rsid w:val="00CB50A9"/>
    <w:pPr>
      <w:jc w:val="center"/>
    </w:pPr>
    <w:rPr>
      <w:smallCaps/>
      <w:sz w:val="12"/>
      <w:szCs w:val="12"/>
    </w:rPr>
  </w:style>
  <w:style w:type="paragraph" w:styleId="BodyText2">
    <w:name w:val="Body Text 2"/>
    <w:basedOn w:val="Normal"/>
    <w:semiHidden/>
    <w:rsid w:val="00CB50A9"/>
    <w:pPr>
      <w:spacing w:after="120" w:line="480" w:lineRule="auto"/>
    </w:pPr>
  </w:style>
  <w:style w:type="paragraph" w:styleId="BodyText3">
    <w:name w:val="Body Text 3"/>
    <w:basedOn w:val="Normal"/>
    <w:semiHidden/>
    <w:rsid w:val="00CB50A9"/>
    <w:pPr>
      <w:spacing w:after="120"/>
    </w:pPr>
    <w:rPr>
      <w:sz w:val="16"/>
      <w:szCs w:val="16"/>
    </w:rPr>
  </w:style>
  <w:style w:type="paragraph" w:styleId="BodyTextFirstIndent">
    <w:name w:val="Body Text First Indent"/>
    <w:basedOn w:val="BodyText"/>
    <w:semiHidden/>
    <w:rsid w:val="00CB50A9"/>
    <w:pPr>
      <w:spacing w:after="120"/>
      <w:ind w:firstLine="210"/>
      <w:jc w:val="left"/>
    </w:pPr>
    <w:rPr>
      <w:smallCaps w:val="0"/>
      <w:sz w:val="20"/>
      <w:szCs w:val="20"/>
    </w:rPr>
  </w:style>
  <w:style w:type="paragraph" w:styleId="BodyTextIndent">
    <w:name w:val="Body Text Indent"/>
    <w:basedOn w:val="Normal"/>
    <w:link w:val="BodyTextIndentChar"/>
    <w:rsid w:val="00CB50A9"/>
    <w:rPr>
      <w:i/>
      <w:iCs/>
      <w:sz w:val="28"/>
      <w:szCs w:val="28"/>
    </w:rPr>
  </w:style>
  <w:style w:type="paragraph" w:styleId="BodyTextFirstIndent2">
    <w:name w:val="Body Text First Indent 2"/>
    <w:basedOn w:val="BodyTextIndent"/>
    <w:semiHidden/>
    <w:rsid w:val="00CB50A9"/>
    <w:pPr>
      <w:ind w:firstLine="210"/>
    </w:pPr>
    <w:rPr>
      <w:sz w:val="20"/>
      <w:szCs w:val="20"/>
    </w:rPr>
  </w:style>
  <w:style w:type="paragraph" w:styleId="BodyTextIndent2">
    <w:name w:val="Body Text Indent 2"/>
    <w:basedOn w:val="Normal"/>
    <w:semiHidden/>
    <w:rsid w:val="00CB50A9"/>
    <w:pPr>
      <w:spacing w:after="120" w:line="480" w:lineRule="auto"/>
      <w:ind w:left="360"/>
    </w:pPr>
  </w:style>
  <w:style w:type="paragraph" w:styleId="BodyTextIndent3">
    <w:name w:val="Body Text Indent 3"/>
    <w:basedOn w:val="Normal"/>
    <w:semiHidden/>
    <w:rsid w:val="00CB50A9"/>
    <w:pPr>
      <w:spacing w:after="120"/>
      <w:ind w:left="360"/>
    </w:pPr>
    <w:rPr>
      <w:sz w:val="16"/>
      <w:szCs w:val="16"/>
    </w:rPr>
  </w:style>
  <w:style w:type="paragraph" w:customStyle="1" w:styleId="CCRNumber">
    <w:name w:val="CCR Number"/>
    <w:rsid w:val="00CB50A9"/>
    <w:pPr>
      <w:jc w:val="center"/>
    </w:pPr>
    <w:rPr>
      <w:rFonts w:ascii="Arial" w:hAnsi="Arial" w:cs="Arial"/>
      <w:b/>
      <w:bCs/>
      <w:caps/>
      <w:sz w:val="24"/>
      <w:szCs w:val="24"/>
    </w:rPr>
  </w:style>
  <w:style w:type="paragraph" w:customStyle="1" w:styleId="CCRTitle">
    <w:name w:val="CCR Title"/>
    <w:rsid w:val="00CB50A9"/>
    <w:pPr>
      <w:jc w:val="center"/>
    </w:pPr>
    <w:rPr>
      <w:rFonts w:ascii="Arial" w:hAnsi="Arial" w:cs="Arial"/>
      <w:b/>
      <w:bCs/>
      <w:caps/>
      <w:sz w:val="24"/>
      <w:szCs w:val="24"/>
    </w:rPr>
  </w:style>
  <w:style w:type="character" w:customStyle="1" w:styleId="cite">
    <w:name w:val="cite"/>
    <w:rsid w:val="00CB50A9"/>
    <w:rPr>
      <w:rFonts w:cs="Times New Roman"/>
      <w:color w:val="008080"/>
    </w:rPr>
  </w:style>
  <w:style w:type="character" w:styleId="CommentReference">
    <w:name w:val="annotation reference"/>
    <w:semiHidden/>
    <w:rsid w:val="00CB50A9"/>
    <w:rPr>
      <w:rFonts w:cs="Times New Roman"/>
      <w:sz w:val="16"/>
      <w:szCs w:val="16"/>
    </w:rPr>
  </w:style>
  <w:style w:type="paragraph" w:styleId="CommentText">
    <w:name w:val="annotation text"/>
    <w:basedOn w:val="Normal"/>
    <w:link w:val="CommentTextChar1"/>
    <w:semiHidden/>
    <w:rsid w:val="00CB50A9"/>
  </w:style>
  <w:style w:type="paragraph" w:styleId="CommentSubject">
    <w:name w:val="annotation subject"/>
    <w:basedOn w:val="CommentText"/>
    <w:next w:val="CommentText"/>
    <w:semiHidden/>
    <w:rsid w:val="00CB50A9"/>
    <w:rPr>
      <w:b/>
      <w:bCs/>
    </w:rPr>
  </w:style>
  <w:style w:type="paragraph" w:customStyle="1" w:styleId="cp">
    <w:name w:val="cp"/>
    <w:basedOn w:val="Normal"/>
    <w:semiHidden/>
    <w:rsid w:val="00CB50A9"/>
    <w:pPr>
      <w:jc w:val="center"/>
    </w:pPr>
  </w:style>
  <w:style w:type="paragraph" w:styleId="Date">
    <w:name w:val="Date"/>
    <w:basedOn w:val="Normal"/>
    <w:next w:val="Normal"/>
    <w:semiHidden/>
    <w:rsid w:val="00CB50A9"/>
  </w:style>
  <w:style w:type="paragraph" w:customStyle="1" w:styleId="Department">
    <w:name w:val="Department"/>
    <w:rsid w:val="00CB50A9"/>
    <w:pPr>
      <w:jc w:val="center"/>
    </w:pPr>
    <w:rPr>
      <w:rFonts w:ascii="Arial" w:hAnsi="Arial" w:cs="Arial"/>
      <w:b/>
      <w:bCs/>
      <w:caps/>
      <w:sz w:val="28"/>
      <w:szCs w:val="28"/>
    </w:rPr>
  </w:style>
  <w:style w:type="paragraph" w:styleId="DocumentMap">
    <w:name w:val="Document Map"/>
    <w:basedOn w:val="Normal"/>
    <w:semiHidden/>
    <w:rsid w:val="00CB50A9"/>
    <w:pPr>
      <w:shd w:val="clear" w:color="auto" w:fill="000080"/>
    </w:pPr>
    <w:rPr>
      <w:rFonts w:ascii="Tahoma" w:hAnsi="Tahoma" w:cs="Tahoma"/>
    </w:rPr>
  </w:style>
  <w:style w:type="character" w:customStyle="1" w:styleId="eff">
    <w:name w:val="eff"/>
    <w:semiHidden/>
    <w:rsid w:val="00CB50A9"/>
    <w:rPr>
      <w:rFonts w:ascii="Arial" w:hAnsi="Arial" w:cs="Arial"/>
      <w:i/>
      <w:iCs/>
      <w:color w:val="0000FF"/>
      <w:sz w:val="20"/>
      <w:szCs w:val="20"/>
    </w:rPr>
  </w:style>
  <w:style w:type="paragraph" w:styleId="E-mailSignature">
    <w:name w:val="E-mail Signature"/>
    <w:basedOn w:val="Normal"/>
    <w:semiHidden/>
    <w:rsid w:val="00CB50A9"/>
  </w:style>
  <w:style w:type="character" w:styleId="Emphasis">
    <w:name w:val="Emphasis"/>
    <w:qFormat/>
    <w:rsid w:val="00CB50A9"/>
    <w:rPr>
      <w:i/>
      <w:iCs/>
    </w:rPr>
  </w:style>
  <w:style w:type="paragraph" w:customStyle="1" w:styleId="figure-caption">
    <w:name w:val="figure-caption"/>
    <w:basedOn w:val="Normal"/>
    <w:semiHidden/>
    <w:rsid w:val="00CB50A9"/>
    <w:rPr>
      <w:color w:val="800080"/>
    </w:rPr>
  </w:style>
  <w:style w:type="paragraph" w:customStyle="1" w:styleId="figure-filename">
    <w:name w:val="figure-filename"/>
    <w:basedOn w:val="Normal"/>
    <w:semiHidden/>
    <w:rsid w:val="00CB50A9"/>
    <w:rPr>
      <w:color w:val="800080"/>
    </w:rPr>
  </w:style>
  <w:style w:type="paragraph" w:customStyle="1" w:styleId="figure-orientation">
    <w:name w:val="figure-orientation"/>
    <w:basedOn w:val="Normal"/>
    <w:semiHidden/>
    <w:rsid w:val="00CB50A9"/>
    <w:rPr>
      <w:color w:val="800080"/>
    </w:rPr>
  </w:style>
  <w:style w:type="character" w:styleId="FollowedHyperlink">
    <w:name w:val="FollowedHyperlink"/>
    <w:rsid w:val="00CB50A9"/>
    <w:rPr>
      <w:rFonts w:cs="Times New Roman"/>
      <w:color w:val="800080"/>
      <w:u w:val="single"/>
    </w:rPr>
  </w:style>
  <w:style w:type="character" w:styleId="HTMLAcronym">
    <w:name w:val="HTML Acronym"/>
    <w:basedOn w:val="DefaultParagraphFont"/>
    <w:semiHidden/>
    <w:rsid w:val="00CB50A9"/>
  </w:style>
  <w:style w:type="paragraph" w:styleId="HTMLAddress">
    <w:name w:val="HTML Address"/>
    <w:basedOn w:val="Normal"/>
    <w:semiHidden/>
    <w:rsid w:val="00CB50A9"/>
    <w:rPr>
      <w:i/>
      <w:iCs/>
    </w:rPr>
  </w:style>
  <w:style w:type="character" w:styleId="HTMLCite">
    <w:name w:val="HTML Cite"/>
    <w:semiHidden/>
    <w:rsid w:val="00CB50A9"/>
    <w:rPr>
      <w:i/>
      <w:iCs/>
    </w:rPr>
  </w:style>
  <w:style w:type="character" w:styleId="HTMLCode">
    <w:name w:val="HTML Code"/>
    <w:semiHidden/>
    <w:rsid w:val="00CB50A9"/>
    <w:rPr>
      <w:rFonts w:ascii="Courier New" w:hAnsi="Courier New" w:cs="Courier New"/>
      <w:sz w:val="20"/>
      <w:szCs w:val="20"/>
    </w:rPr>
  </w:style>
  <w:style w:type="character" w:styleId="HTMLDefinition">
    <w:name w:val="HTML Definition"/>
    <w:semiHidden/>
    <w:rsid w:val="00CB50A9"/>
    <w:rPr>
      <w:i/>
      <w:iCs/>
    </w:rPr>
  </w:style>
  <w:style w:type="character" w:styleId="HTMLKeyboard">
    <w:name w:val="HTML Keyboard"/>
    <w:semiHidden/>
    <w:rsid w:val="00CB50A9"/>
    <w:rPr>
      <w:rFonts w:ascii="Courier New" w:hAnsi="Courier New" w:cs="Courier New"/>
      <w:sz w:val="20"/>
      <w:szCs w:val="20"/>
    </w:rPr>
  </w:style>
  <w:style w:type="paragraph" w:styleId="HTMLPreformatted">
    <w:name w:val="HTML Preformatted"/>
    <w:basedOn w:val="Normal"/>
    <w:semiHidden/>
    <w:rsid w:val="00CB50A9"/>
    <w:rPr>
      <w:rFonts w:ascii="Courier New" w:hAnsi="Courier New" w:cs="Courier New"/>
    </w:rPr>
  </w:style>
  <w:style w:type="character" w:styleId="HTMLSample">
    <w:name w:val="HTML Sample"/>
    <w:semiHidden/>
    <w:rsid w:val="00CB50A9"/>
    <w:rPr>
      <w:rFonts w:ascii="Courier New" w:hAnsi="Courier New" w:cs="Courier New"/>
    </w:rPr>
  </w:style>
  <w:style w:type="character" w:styleId="HTMLTypewriter">
    <w:name w:val="HTML Typewriter"/>
    <w:semiHidden/>
    <w:rsid w:val="00CB50A9"/>
    <w:rPr>
      <w:rFonts w:ascii="Courier New" w:hAnsi="Courier New" w:cs="Courier New"/>
      <w:sz w:val="20"/>
      <w:szCs w:val="20"/>
    </w:rPr>
  </w:style>
  <w:style w:type="character" w:styleId="HTMLVariable">
    <w:name w:val="HTML Variable"/>
    <w:semiHidden/>
    <w:rsid w:val="00CB50A9"/>
    <w:rPr>
      <w:i/>
      <w:iCs/>
    </w:rPr>
  </w:style>
  <w:style w:type="character" w:styleId="Hyperlink">
    <w:name w:val="Hyperlink"/>
    <w:uiPriority w:val="99"/>
    <w:rsid w:val="00CB50A9"/>
    <w:rPr>
      <w:rFonts w:cs="Times New Roman"/>
      <w:color w:val="0000FF"/>
      <w:u w:val="single"/>
    </w:rPr>
  </w:style>
  <w:style w:type="character" w:styleId="LineNumber">
    <w:name w:val="line number"/>
    <w:basedOn w:val="DefaultParagraphFont"/>
    <w:semiHidden/>
    <w:rsid w:val="00CB50A9"/>
  </w:style>
  <w:style w:type="paragraph" w:styleId="List">
    <w:name w:val="List"/>
    <w:basedOn w:val="Normal"/>
    <w:semiHidden/>
    <w:rsid w:val="00CB50A9"/>
    <w:pPr>
      <w:ind w:left="360" w:hanging="360"/>
    </w:pPr>
  </w:style>
  <w:style w:type="paragraph" w:styleId="List2">
    <w:name w:val="List 2"/>
    <w:basedOn w:val="Normal"/>
    <w:semiHidden/>
    <w:rsid w:val="00CB50A9"/>
    <w:pPr>
      <w:ind w:left="720" w:hanging="360"/>
    </w:pPr>
  </w:style>
  <w:style w:type="paragraph" w:styleId="List3">
    <w:name w:val="List 3"/>
    <w:basedOn w:val="Normal"/>
    <w:semiHidden/>
    <w:rsid w:val="00CB50A9"/>
    <w:pPr>
      <w:ind w:left="1080" w:hanging="360"/>
    </w:pPr>
  </w:style>
  <w:style w:type="paragraph" w:styleId="List4">
    <w:name w:val="List 4"/>
    <w:basedOn w:val="Normal"/>
    <w:semiHidden/>
    <w:rsid w:val="00CB50A9"/>
    <w:pPr>
      <w:ind w:left="1440" w:hanging="360"/>
    </w:pPr>
  </w:style>
  <w:style w:type="paragraph" w:styleId="List5">
    <w:name w:val="List 5"/>
    <w:basedOn w:val="Normal"/>
    <w:semiHidden/>
    <w:rsid w:val="00CB50A9"/>
    <w:pPr>
      <w:ind w:left="1800" w:hanging="360"/>
    </w:pPr>
  </w:style>
  <w:style w:type="paragraph" w:styleId="ListBullet">
    <w:name w:val="List Bullet"/>
    <w:basedOn w:val="Normal"/>
    <w:semiHidden/>
    <w:rsid w:val="00CB50A9"/>
    <w:pPr>
      <w:numPr>
        <w:numId w:val="3"/>
      </w:numPr>
    </w:pPr>
  </w:style>
  <w:style w:type="paragraph" w:styleId="ListBullet2">
    <w:name w:val="List Bullet 2"/>
    <w:basedOn w:val="Normal"/>
    <w:semiHidden/>
    <w:rsid w:val="00CB50A9"/>
    <w:pPr>
      <w:numPr>
        <w:numId w:val="4"/>
      </w:numPr>
    </w:pPr>
  </w:style>
  <w:style w:type="paragraph" w:styleId="ListBullet3">
    <w:name w:val="List Bullet 3"/>
    <w:basedOn w:val="Normal"/>
    <w:semiHidden/>
    <w:rsid w:val="00CB50A9"/>
    <w:pPr>
      <w:numPr>
        <w:numId w:val="5"/>
      </w:numPr>
    </w:pPr>
  </w:style>
  <w:style w:type="paragraph" w:styleId="ListBullet4">
    <w:name w:val="List Bullet 4"/>
    <w:basedOn w:val="Normal"/>
    <w:semiHidden/>
    <w:rsid w:val="00CB50A9"/>
    <w:pPr>
      <w:numPr>
        <w:numId w:val="6"/>
      </w:numPr>
    </w:pPr>
  </w:style>
  <w:style w:type="paragraph" w:styleId="ListBullet5">
    <w:name w:val="List Bullet 5"/>
    <w:basedOn w:val="Normal"/>
    <w:semiHidden/>
    <w:rsid w:val="00CB50A9"/>
    <w:pPr>
      <w:numPr>
        <w:numId w:val="7"/>
      </w:numPr>
    </w:pPr>
  </w:style>
  <w:style w:type="paragraph" w:styleId="ListContinue">
    <w:name w:val="List Continue"/>
    <w:basedOn w:val="Normal"/>
    <w:semiHidden/>
    <w:rsid w:val="00CB50A9"/>
    <w:pPr>
      <w:spacing w:after="120"/>
      <w:ind w:left="360"/>
    </w:pPr>
  </w:style>
  <w:style w:type="paragraph" w:styleId="ListContinue2">
    <w:name w:val="List Continue 2"/>
    <w:basedOn w:val="Normal"/>
    <w:semiHidden/>
    <w:rsid w:val="00CB50A9"/>
    <w:pPr>
      <w:spacing w:after="120"/>
      <w:ind w:left="720"/>
    </w:pPr>
  </w:style>
  <w:style w:type="paragraph" w:styleId="ListContinue3">
    <w:name w:val="List Continue 3"/>
    <w:basedOn w:val="Normal"/>
    <w:semiHidden/>
    <w:rsid w:val="00CB50A9"/>
    <w:pPr>
      <w:spacing w:after="120"/>
      <w:ind w:left="1080"/>
    </w:pPr>
  </w:style>
  <w:style w:type="paragraph" w:styleId="ListContinue4">
    <w:name w:val="List Continue 4"/>
    <w:basedOn w:val="Normal"/>
    <w:semiHidden/>
    <w:rsid w:val="00CB50A9"/>
    <w:pPr>
      <w:spacing w:after="120"/>
      <w:ind w:left="1440"/>
    </w:pPr>
  </w:style>
  <w:style w:type="paragraph" w:styleId="ListContinue5">
    <w:name w:val="List Continue 5"/>
    <w:basedOn w:val="Normal"/>
    <w:semiHidden/>
    <w:rsid w:val="00CB50A9"/>
    <w:pPr>
      <w:spacing w:after="120"/>
      <w:ind w:left="1800"/>
    </w:pPr>
  </w:style>
  <w:style w:type="paragraph" w:styleId="ListNumber">
    <w:name w:val="List Number"/>
    <w:basedOn w:val="Normal"/>
    <w:link w:val="ListNumberChar"/>
    <w:semiHidden/>
    <w:rsid w:val="00516249"/>
    <w:pPr>
      <w:numPr>
        <w:numId w:val="9"/>
      </w:numPr>
    </w:pPr>
  </w:style>
  <w:style w:type="paragraph" w:styleId="ListNumber2">
    <w:name w:val="List Number 2"/>
    <w:basedOn w:val="Normal"/>
    <w:semiHidden/>
    <w:rsid w:val="00516249"/>
    <w:pPr>
      <w:numPr>
        <w:ilvl w:val="1"/>
        <w:numId w:val="9"/>
      </w:numPr>
    </w:pPr>
  </w:style>
  <w:style w:type="paragraph" w:styleId="ListNumber3">
    <w:name w:val="List Number 3"/>
    <w:basedOn w:val="Normal"/>
    <w:link w:val="ListNumber3Char1"/>
    <w:semiHidden/>
    <w:rsid w:val="00516249"/>
    <w:pPr>
      <w:numPr>
        <w:ilvl w:val="2"/>
        <w:numId w:val="9"/>
      </w:numPr>
    </w:pPr>
  </w:style>
  <w:style w:type="paragraph" w:styleId="ListNumber4">
    <w:name w:val="List Number 4"/>
    <w:basedOn w:val="Normal"/>
    <w:link w:val="ListNumber4Char1"/>
    <w:semiHidden/>
    <w:rsid w:val="00516249"/>
    <w:pPr>
      <w:numPr>
        <w:ilvl w:val="3"/>
        <w:numId w:val="9"/>
      </w:numPr>
    </w:pPr>
  </w:style>
  <w:style w:type="paragraph" w:styleId="ListNumber5">
    <w:name w:val="List Number 5"/>
    <w:basedOn w:val="Normal"/>
    <w:semiHidden/>
    <w:rsid w:val="00516249"/>
    <w:pPr>
      <w:numPr>
        <w:ilvl w:val="4"/>
        <w:numId w:val="9"/>
      </w:numPr>
    </w:pPr>
  </w:style>
  <w:style w:type="paragraph" w:styleId="MessageHeader">
    <w:name w:val="Message Header"/>
    <w:basedOn w:val="Normal"/>
    <w:semiHidden/>
    <w:rsid w:val="00CB50A9"/>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rsid w:val="00CB50A9"/>
    <w:pPr>
      <w:ind w:left="720"/>
    </w:pPr>
  </w:style>
  <w:style w:type="paragraph" w:styleId="NoteHeading">
    <w:name w:val="Note Heading"/>
    <w:basedOn w:val="Normal"/>
    <w:next w:val="Normal"/>
    <w:semiHidden/>
    <w:rsid w:val="00CB50A9"/>
  </w:style>
  <w:style w:type="character" w:styleId="PageNumber">
    <w:name w:val="page number"/>
    <w:rsid w:val="00CB50A9"/>
    <w:rPr>
      <w:rFonts w:cs="Times New Roman"/>
    </w:rPr>
  </w:style>
  <w:style w:type="paragraph" w:customStyle="1" w:styleId="Par1">
    <w:name w:val="Par 1"/>
    <w:basedOn w:val="Heading1"/>
    <w:rsid w:val="00CB50A9"/>
    <w:pPr>
      <w:spacing w:before="0"/>
      <w:jc w:val="left"/>
    </w:pPr>
    <w:rPr>
      <w:bCs w:val="0"/>
      <w:sz w:val="24"/>
      <w:szCs w:val="24"/>
    </w:rPr>
  </w:style>
  <w:style w:type="paragraph" w:customStyle="1" w:styleId="par10">
    <w:name w:val="par1"/>
    <w:basedOn w:val="Normal"/>
    <w:rsid w:val="00CB50A9"/>
    <w:pPr>
      <w:tabs>
        <w:tab w:val="left" w:pos="720"/>
        <w:tab w:val="left" w:pos="1440"/>
        <w:tab w:val="left" w:pos="2160"/>
      </w:tabs>
      <w:ind w:left="720" w:hanging="720"/>
    </w:pPr>
  </w:style>
  <w:style w:type="paragraph" w:customStyle="1" w:styleId="par2">
    <w:name w:val="par2"/>
    <w:basedOn w:val="par10"/>
    <w:rsid w:val="00CB50A9"/>
    <w:pPr>
      <w:ind w:left="1440"/>
    </w:pPr>
  </w:style>
  <w:style w:type="paragraph" w:customStyle="1" w:styleId="par3">
    <w:name w:val="par3"/>
    <w:basedOn w:val="par10"/>
    <w:rsid w:val="00CB50A9"/>
    <w:pPr>
      <w:ind w:left="2160"/>
    </w:pPr>
  </w:style>
  <w:style w:type="paragraph" w:customStyle="1" w:styleId="par4">
    <w:name w:val="par4"/>
    <w:basedOn w:val="par10"/>
    <w:rsid w:val="00CB50A9"/>
    <w:pPr>
      <w:ind w:left="2880"/>
    </w:pPr>
  </w:style>
  <w:style w:type="paragraph" w:customStyle="1" w:styleId="par5">
    <w:name w:val="par5"/>
    <w:basedOn w:val="par10"/>
    <w:rsid w:val="00CB50A9"/>
    <w:pPr>
      <w:ind w:left="3600"/>
    </w:pPr>
  </w:style>
  <w:style w:type="paragraph" w:customStyle="1" w:styleId="par6">
    <w:name w:val="par6"/>
    <w:basedOn w:val="par10"/>
    <w:rsid w:val="00CB50A9"/>
    <w:pPr>
      <w:ind w:left="4320"/>
    </w:pPr>
  </w:style>
  <w:style w:type="paragraph" w:customStyle="1" w:styleId="par7">
    <w:name w:val="par7"/>
    <w:basedOn w:val="par6"/>
    <w:semiHidden/>
    <w:rsid w:val="00CB50A9"/>
  </w:style>
  <w:style w:type="paragraph" w:customStyle="1" w:styleId="par8">
    <w:name w:val="par8"/>
    <w:basedOn w:val="par7"/>
    <w:semiHidden/>
    <w:rsid w:val="00CB50A9"/>
  </w:style>
  <w:style w:type="paragraph" w:styleId="PlainText">
    <w:name w:val="Plain Text"/>
    <w:basedOn w:val="Normal"/>
    <w:semiHidden/>
    <w:rsid w:val="00CB50A9"/>
    <w:rPr>
      <w:rFonts w:ascii="Courier New" w:hAnsi="Courier New" w:cs="Courier New"/>
    </w:rPr>
  </w:style>
  <w:style w:type="character" w:customStyle="1" w:styleId="provision">
    <w:name w:val="provision"/>
    <w:semiHidden/>
    <w:rsid w:val="00CB50A9"/>
    <w:rPr>
      <w:rFonts w:ascii="Arial" w:hAnsi="Arial"/>
      <w:color w:val="auto"/>
      <w:sz w:val="20"/>
    </w:rPr>
  </w:style>
  <w:style w:type="paragraph" w:styleId="Salutation">
    <w:name w:val="Salutation"/>
    <w:basedOn w:val="Normal"/>
    <w:next w:val="Normal"/>
    <w:semiHidden/>
    <w:rsid w:val="00CB50A9"/>
  </w:style>
  <w:style w:type="paragraph" w:styleId="Signature">
    <w:name w:val="Signature"/>
    <w:basedOn w:val="Normal"/>
    <w:semiHidden/>
    <w:rsid w:val="00CB50A9"/>
    <w:pPr>
      <w:ind w:left="4320"/>
    </w:pPr>
  </w:style>
  <w:style w:type="character" w:styleId="Strong">
    <w:name w:val="Strong"/>
    <w:qFormat/>
    <w:rsid w:val="00CB50A9"/>
    <w:rPr>
      <w:b/>
      <w:bCs/>
    </w:rPr>
  </w:style>
  <w:style w:type="paragraph" w:styleId="Subtitle">
    <w:name w:val="Subtitle"/>
    <w:basedOn w:val="Normal"/>
    <w:qFormat/>
    <w:rsid w:val="00CB50A9"/>
    <w:pPr>
      <w:spacing w:after="60"/>
      <w:jc w:val="center"/>
      <w:outlineLvl w:val="1"/>
    </w:pPr>
    <w:rPr>
      <w:sz w:val="24"/>
      <w:szCs w:val="24"/>
    </w:rPr>
  </w:style>
  <w:style w:type="table" w:styleId="Table3Deffects1">
    <w:name w:val="Table 3D effects 1"/>
    <w:basedOn w:val="TableNormal"/>
    <w:semiHidden/>
    <w:rsid w:val="00CB50A9"/>
    <w:pPr>
      <w:spacing w:before="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50A9"/>
    <w:pPr>
      <w:spacing w:before="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50A9"/>
    <w:pPr>
      <w:spacing w:before="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50A9"/>
    <w:pPr>
      <w:spacing w:before="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50A9"/>
    <w:pPr>
      <w:spacing w:before="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50A9"/>
    <w:pPr>
      <w:spacing w:before="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50A9"/>
    <w:pPr>
      <w:spacing w:before="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50A9"/>
    <w:pPr>
      <w:spacing w:before="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50A9"/>
    <w:pPr>
      <w:spacing w:before="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50A9"/>
    <w:pPr>
      <w:spacing w:before="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50A9"/>
    <w:pPr>
      <w:spacing w:before="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50A9"/>
    <w:pPr>
      <w:spacing w:before="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50A9"/>
    <w:pPr>
      <w:spacing w:before="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50A9"/>
    <w:pPr>
      <w:spacing w:before="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50A9"/>
    <w:pPr>
      <w:spacing w:before="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50A9"/>
    <w:pPr>
      <w:spacing w:before="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50A9"/>
    <w:pPr>
      <w:spacing w:before="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50A9"/>
    <w:pPr>
      <w:spacing w:before="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50A9"/>
    <w:pPr>
      <w:spacing w:before="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50A9"/>
    <w:pPr>
      <w:spacing w:before="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50A9"/>
    <w:pPr>
      <w:spacing w:before="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50A9"/>
    <w:pPr>
      <w:spacing w:before="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50A9"/>
    <w:pPr>
      <w:spacing w:before="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50A9"/>
    <w:pPr>
      <w:spacing w:before="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50A9"/>
    <w:pPr>
      <w:spacing w:before="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50A9"/>
    <w:pPr>
      <w:spacing w:before="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50A9"/>
    <w:pPr>
      <w:spacing w:before="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50A9"/>
    <w:pPr>
      <w:spacing w:before="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B50A9"/>
    <w:pPr>
      <w:spacing w:before="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50A9"/>
    <w:pPr>
      <w:spacing w:before="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50A9"/>
    <w:pPr>
      <w:spacing w:before="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B50A9"/>
    <w:pPr>
      <w:spacing w:line="287" w:lineRule="auto"/>
      <w:jc w:val="center"/>
    </w:pPr>
    <w:rPr>
      <w:sz w:val="32"/>
      <w:szCs w:val="32"/>
    </w:rPr>
  </w:style>
  <w:style w:type="paragraph" w:customStyle="1" w:styleId="Title1">
    <w:name w:val="Title1"/>
    <w:basedOn w:val="Normal"/>
    <w:rsid w:val="00CB50A9"/>
    <w:pPr>
      <w:tabs>
        <w:tab w:val="left" w:pos="720"/>
        <w:tab w:val="left" w:pos="1440"/>
        <w:tab w:val="left" w:pos="2160"/>
      </w:tabs>
      <w:ind w:left="720" w:hanging="720"/>
    </w:pPr>
    <w:rPr>
      <w:b/>
      <w:bCs/>
      <w:sz w:val="24"/>
      <w:szCs w:val="24"/>
    </w:rPr>
  </w:style>
  <w:style w:type="paragraph" w:customStyle="1" w:styleId="Title2">
    <w:name w:val="Title2"/>
    <w:basedOn w:val="Title1"/>
    <w:semiHidden/>
    <w:rsid w:val="00CB50A9"/>
    <w:rPr>
      <w:sz w:val="20"/>
      <w:szCs w:val="20"/>
    </w:rPr>
  </w:style>
  <w:style w:type="paragraph" w:customStyle="1" w:styleId="Title3">
    <w:name w:val="Title3"/>
    <w:basedOn w:val="Title2"/>
    <w:semiHidden/>
    <w:rsid w:val="00CB50A9"/>
  </w:style>
  <w:style w:type="paragraph" w:customStyle="1" w:styleId="Title4">
    <w:name w:val="Title4"/>
    <w:basedOn w:val="Title2"/>
    <w:semiHidden/>
    <w:rsid w:val="00CB50A9"/>
  </w:style>
  <w:style w:type="paragraph" w:customStyle="1" w:styleId="Title5">
    <w:name w:val="Title5"/>
    <w:basedOn w:val="Title2"/>
    <w:semiHidden/>
    <w:rsid w:val="00CB50A9"/>
  </w:style>
  <w:style w:type="paragraph" w:customStyle="1" w:styleId="Title6">
    <w:name w:val="Title6"/>
    <w:basedOn w:val="Title2"/>
    <w:semiHidden/>
    <w:rsid w:val="00CB50A9"/>
  </w:style>
  <w:style w:type="paragraph" w:customStyle="1" w:styleId="upar1">
    <w:name w:val="upar1"/>
    <w:basedOn w:val="Normal"/>
    <w:link w:val="upar1Char"/>
    <w:rsid w:val="00CB50A9"/>
    <w:pPr>
      <w:tabs>
        <w:tab w:val="left" w:pos="720"/>
        <w:tab w:val="left" w:pos="1440"/>
      </w:tabs>
    </w:pPr>
  </w:style>
  <w:style w:type="paragraph" w:customStyle="1" w:styleId="upar2">
    <w:name w:val="upar2"/>
    <w:basedOn w:val="upar1"/>
    <w:rsid w:val="00CB50A9"/>
    <w:pPr>
      <w:ind w:left="720"/>
    </w:pPr>
  </w:style>
  <w:style w:type="paragraph" w:customStyle="1" w:styleId="upar3">
    <w:name w:val="upar3"/>
    <w:basedOn w:val="upar1"/>
    <w:rsid w:val="00CB50A9"/>
    <w:pPr>
      <w:ind w:left="1440"/>
    </w:pPr>
  </w:style>
  <w:style w:type="paragraph" w:customStyle="1" w:styleId="upar4">
    <w:name w:val="upar4"/>
    <w:basedOn w:val="upar1"/>
    <w:rsid w:val="00CB50A9"/>
    <w:pPr>
      <w:ind w:left="2160"/>
    </w:pPr>
  </w:style>
  <w:style w:type="paragraph" w:customStyle="1" w:styleId="upar5">
    <w:name w:val="upar5"/>
    <w:basedOn w:val="upar1"/>
    <w:rsid w:val="00CB50A9"/>
    <w:pPr>
      <w:ind w:left="2880"/>
    </w:pPr>
  </w:style>
  <w:style w:type="paragraph" w:customStyle="1" w:styleId="upar6">
    <w:name w:val="upar6"/>
    <w:basedOn w:val="upar1"/>
    <w:rsid w:val="00CB50A9"/>
    <w:pPr>
      <w:ind w:left="3600"/>
    </w:pPr>
  </w:style>
  <w:style w:type="paragraph" w:customStyle="1" w:styleId="upar7">
    <w:name w:val="upar7"/>
    <w:basedOn w:val="upar6"/>
    <w:semiHidden/>
    <w:rsid w:val="00CB50A9"/>
  </w:style>
  <w:style w:type="paragraph" w:customStyle="1" w:styleId="upar8">
    <w:name w:val="upar8"/>
    <w:basedOn w:val="upar6"/>
    <w:semiHidden/>
    <w:rsid w:val="00CB50A9"/>
  </w:style>
  <w:style w:type="paragraph" w:customStyle="1" w:styleId="upar9">
    <w:name w:val="upar9"/>
    <w:basedOn w:val="par6"/>
    <w:semiHidden/>
    <w:rsid w:val="00CB50A9"/>
  </w:style>
  <w:style w:type="character" w:customStyle="1" w:styleId="CommentTextChar">
    <w:name w:val="Comment Text Char"/>
    <w:semiHidden/>
    <w:locked/>
    <w:rsid w:val="00CF06FD"/>
    <w:rPr>
      <w:rFonts w:ascii="Arial" w:hAnsi="Arial" w:cs="Arial"/>
      <w:lang w:val="en-US" w:eastAsia="en-US" w:bidi="ar-SA"/>
    </w:rPr>
  </w:style>
  <w:style w:type="character" w:customStyle="1" w:styleId="ListNumber3Char">
    <w:name w:val="List Number 3 Char"/>
    <w:rsid w:val="00CF06FD"/>
    <w:rPr>
      <w:rFonts w:ascii="Arial" w:hAnsi="Arial" w:cs="Arial"/>
      <w:lang w:val="en-US" w:eastAsia="en-US" w:bidi="ar-SA"/>
    </w:rPr>
  </w:style>
  <w:style w:type="character" w:customStyle="1" w:styleId="Guide4-i">
    <w:name w:val="Guide 4 - i"/>
    <w:aliases w:val="ii,iii"/>
    <w:rsid w:val="00CB50A9"/>
    <w:rPr>
      <w:rFonts w:ascii="Arial" w:hAnsi="Arial"/>
      <w:color w:val="auto"/>
      <w:sz w:val="20"/>
      <w:u w:val="single"/>
    </w:rPr>
  </w:style>
  <w:style w:type="paragraph" w:customStyle="1" w:styleId="Guide1-ABC">
    <w:name w:val="Guide 1 - ABC"/>
    <w:basedOn w:val="Normal"/>
    <w:link w:val="Guide1-ABCCharChar"/>
    <w:rsid w:val="00840F42"/>
    <w:pPr>
      <w:numPr>
        <w:numId w:val="8"/>
      </w:numPr>
      <w:ind w:left="720" w:hanging="720"/>
    </w:pPr>
    <w:rPr>
      <w:b/>
      <w:sz w:val="24"/>
      <w:szCs w:val="24"/>
    </w:rPr>
  </w:style>
  <w:style w:type="paragraph" w:customStyle="1" w:styleId="Guide-123">
    <w:name w:val="Guide-123"/>
    <w:basedOn w:val="par2"/>
    <w:rsid w:val="00CB50A9"/>
    <w:rPr>
      <w:b/>
      <w:u w:val="single"/>
    </w:rPr>
  </w:style>
  <w:style w:type="paragraph" w:styleId="Revision">
    <w:name w:val="Revision"/>
    <w:hidden/>
    <w:uiPriority w:val="99"/>
    <w:semiHidden/>
    <w:rsid w:val="003A46A6"/>
    <w:rPr>
      <w:rFonts w:ascii="Arial" w:hAnsi="Arial" w:cs="Arial"/>
    </w:rPr>
  </w:style>
  <w:style w:type="paragraph" w:customStyle="1" w:styleId="Guide3-abcd">
    <w:name w:val="Guide 3 - abcd"/>
    <w:basedOn w:val="par3"/>
    <w:link w:val="Guide3-abcdChar"/>
    <w:rsid w:val="00CB50A9"/>
    <w:pPr>
      <w:ind w:left="720"/>
    </w:pPr>
    <w:rPr>
      <w:b/>
      <w:u w:val="single"/>
    </w:rPr>
  </w:style>
  <w:style w:type="paragraph" w:styleId="TOC1">
    <w:name w:val="toc 1"/>
    <w:aliases w:val="TOC 1 Guide"/>
    <w:basedOn w:val="Normal"/>
    <w:next w:val="Normal"/>
    <w:uiPriority w:val="39"/>
    <w:rsid w:val="007B58B7"/>
    <w:pPr>
      <w:spacing w:before="120" w:after="120"/>
      <w:ind w:left="720" w:hanging="720"/>
    </w:pPr>
    <w:rPr>
      <w:rFonts w:ascii="Arial Bold" w:hAnsi="Arial Bold" w:cs="Times New Roman"/>
      <w:b/>
      <w:bCs/>
      <w:caps/>
    </w:rPr>
  </w:style>
  <w:style w:type="paragraph" w:styleId="TOC2">
    <w:name w:val="toc 2"/>
    <w:aliases w:val="TOC 2 Guide"/>
    <w:basedOn w:val="Normal"/>
    <w:next w:val="Normal"/>
    <w:uiPriority w:val="39"/>
    <w:rsid w:val="007B58B7"/>
    <w:pPr>
      <w:spacing w:before="0"/>
      <w:ind w:left="1440" w:hanging="720"/>
    </w:pPr>
    <w:rPr>
      <w:rFonts w:cs="Times New Roman"/>
      <w:caps/>
    </w:rPr>
  </w:style>
  <w:style w:type="paragraph" w:styleId="TOC3">
    <w:name w:val="toc 3"/>
    <w:aliases w:val="TOC 3 Guide"/>
    <w:basedOn w:val="Normal"/>
    <w:next w:val="Normal"/>
    <w:uiPriority w:val="39"/>
    <w:rsid w:val="007B58B7"/>
    <w:pPr>
      <w:spacing w:before="0"/>
      <w:ind w:left="2160" w:hanging="720"/>
    </w:pPr>
    <w:rPr>
      <w:rFonts w:cs="Times New Roman"/>
      <w:iCs/>
    </w:rPr>
  </w:style>
  <w:style w:type="paragraph" w:customStyle="1" w:styleId="GuideCites">
    <w:name w:val="Guide Cites"/>
    <w:basedOn w:val="upar4"/>
    <w:link w:val="GuideCitesCharChar"/>
    <w:rsid w:val="003F35E4"/>
    <w:pPr>
      <w:tabs>
        <w:tab w:val="num" w:pos="360"/>
      </w:tabs>
      <w:spacing w:before="0"/>
      <w:ind w:left="0"/>
    </w:pPr>
  </w:style>
  <w:style w:type="paragraph" w:customStyle="1" w:styleId="Guide-Main">
    <w:name w:val="Guide - Main"/>
    <w:link w:val="Guide-MainChar"/>
    <w:rsid w:val="008C125E"/>
    <w:pPr>
      <w:spacing w:before="240"/>
    </w:pPr>
    <w:rPr>
      <w:rFonts w:ascii="Arial" w:hAnsi="Arial" w:cs="Arial"/>
    </w:rPr>
  </w:style>
  <w:style w:type="paragraph" w:customStyle="1" w:styleId="Guide2-123">
    <w:name w:val="Guide 2-123"/>
    <w:basedOn w:val="Normal"/>
    <w:link w:val="Guide2-123Char"/>
    <w:rsid w:val="00D32053"/>
    <w:rPr>
      <w:rFonts w:ascii="Arial Bold" w:hAnsi="Arial Bold"/>
      <w:b/>
      <w:caps/>
      <w:u w:val="single"/>
    </w:rPr>
  </w:style>
  <w:style w:type="character" w:customStyle="1" w:styleId="Guide2-1230">
    <w:name w:val="Guide2-123"/>
    <w:rsid w:val="00D32053"/>
    <w:rPr>
      <w:rFonts w:ascii="Arial Bold" w:hAnsi="Arial Bold" w:cs="Arial"/>
      <w:b/>
      <w:caps/>
      <w:sz w:val="20"/>
      <w:u w:val="single"/>
      <w:lang w:val="en-US" w:eastAsia="en-US" w:bidi="ar-SA"/>
    </w:rPr>
  </w:style>
  <w:style w:type="paragraph" w:styleId="TOC4">
    <w:name w:val="toc 4"/>
    <w:aliases w:val="TOC 4 Guide"/>
    <w:basedOn w:val="Normal"/>
    <w:next w:val="Normal"/>
    <w:uiPriority w:val="39"/>
    <w:rsid w:val="00594F48"/>
    <w:pPr>
      <w:spacing w:before="0"/>
      <w:ind w:left="2880" w:hanging="720"/>
    </w:pPr>
  </w:style>
  <w:style w:type="character" w:customStyle="1" w:styleId="TitleChar">
    <w:name w:val="Title Char"/>
    <w:link w:val="Title"/>
    <w:locked/>
    <w:rsid w:val="00692A63"/>
    <w:rPr>
      <w:rFonts w:ascii="Arial" w:hAnsi="Arial" w:cs="Arial"/>
      <w:sz w:val="32"/>
      <w:szCs w:val="32"/>
      <w:lang w:val="en-US" w:eastAsia="en-US" w:bidi="ar-SA"/>
    </w:rPr>
  </w:style>
  <w:style w:type="character" w:customStyle="1" w:styleId="Guide1-ABCCharChar">
    <w:name w:val="Guide 1 - ABC Char Char"/>
    <w:link w:val="Guide1-ABC"/>
    <w:locked/>
    <w:rsid w:val="00840F42"/>
    <w:rPr>
      <w:rFonts w:ascii="Arial" w:hAnsi="Arial" w:cs="Arial"/>
      <w:b/>
      <w:sz w:val="24"/>
      <w:szCs w:val="24"/>
    </w:rPr>
  </w:style>
  <w:style w:type="character" w:customStyle="1" w:styleId="Guide2-123Char">
    <w:name w:val="Guide 2-123 Char"/>
    <w:link w:val="Guide2-123"/>
    <w:locked/>
    <w:rsid w:val="00E268ED"/>
    <w:rPr>
      <w:rFonts w:ascii="Arial Bold" w:hAnsi="Arial Bold" w:cs="Arial"/>
      <w:b/>
      <w:caps/>
      <w:u w:val="single"/>
      <w:lang w:val="en-US" w:eastAsia="en-US" w:bidi="ar-SA"/>
    </w:rPr>
  </w:style>
  <w:style w:type="character" w:customStyle="1" w:styleId="Guide3-abcdChar">
    <w:name w:val="Guide 3 - abcd Char"/>
    <w:link w:val="Guide3-abcd"/>
    <w:locked/>
    <w:rsid w:val="00E268ED"/>
    <w:rPr>
      <w:rFonts w:ascii="Arial" w:hAnsi="Arial" w:cs="Arial"/>
      <w:b/>
      <w:u w:val="single"/>
      <w:lang w:val="en-US" w:eastAsia="en-US" w:bidi="ar-SA"/>
    </w:rPr>
  </w:style>
  <w:style w:type="character" w:customStyle="1" w:styleId="GuideCitesCharChar">
    <w:name w:val="Guide Cites Char Char"/>
    <w:link w:val="GuideCites"/>
    <w:locked/>
    <w:rsid w:val="00E268ED"/>
    <w:rPr>
      <w:rFonts w:ascii="Arial" w:hAnsi="Arial" w:cs="Arial"/>
      <w:lang w:val="en-US" w:eastAsia="en-US" w:bidi="ar-SA"/>
    </w:rPr>
  </w:style>
  <w:style w:type="paragraph" w:styleId="TOC5">
    <w:name w:val="toc 5"/>
    <w:basedOn w:val="Normal"/>
    <w:next w:val="Normal"/>
    <w:autoRedefine/>
    <w:uiPriority w:val="39"/>
    <w:rsid w:val="00103FAD"/>
    <w:pPr>
      <w:spacing w:before="0"/>
      <w:ind w:left="960"/>
    </w:pPr>
    <w:rPr>
      <w:rFonts w:ascii="Times New Roman" w:hAnsi="Times New Roman" w:cs="Times New Roman"/>
      <w:sz w:val="24"/>
      <w:szCs w:val="24"/>
    </w:rPr>
  </w:style>
  <w:style w:type="paragraph" w:styleId="TOC6">
    <w:name w:val="toc 6"/>
    <w:basedOn w:val="Normal"/>
    <w:next w:val="Normal"/>
    <w:autoRedefine/>
    <w:uiPriority w:val="39"/>
    <w:rsid w:val="00103FAD"/>
    <w:pPr>
      <w:spacing w:before="0"/>
      <w:ind w:left="1200"/>
    </w:pPr>
    <w:rPr>
      <w:rFonts w:ascii="Times New Roman" w:hAnsi="Times New Roman" w:cs="Times New Roman"/>
      <w:sz w:val="24"/>
      <w:szCs w:val="24"/>
    </w:rPr>
  </w:style>
  <w:style w:type="paragraph" w:styleId="TOC7">
    <w:name w:val="toc 7"/>
    <w:basedOn w:val="Normal"/>
    <w:next w:val="Normal"/>
    <w:autoRedefine/>
    <w:uiPriority w:val="39"/>
    <w:rsid w:val="00103FAD"/>
    <w:pPr>
      <w:spacing w:before="0"/>
      <w:ind w:left="1440"/>
    </w:pPr>
    <w:rPr>
      <w:rFonts w:ascii="Times New Roman" w:hAnsi="Times New Roman" w:cs="Times New Roman"/>
      <w:sz w:val="24"/>
      <w:szCs w:val="24"/>
    </w:rPr>
  </w:style>
  <w:style w:type="paragraph" w:styleId="TOC8">
    <w:name w:val="toc 8"/>
    <w:basedOn w:val="Normal"/>
    <w:next w:val="Normal"/>
    <w:autoRedefine/>
    <w:uiPriority w:val="39"/>
    <w:rsid w:val="00103FAD"/>
    <w:pPr>
      <w:spacing w:before="0"/>
      <w:ind w:left="1680"/>
    </w:pPr>
    <w:rPr>
      <w:rFonts w:ascii="Times New Roman" w:hAnsi="Times New Roman" w:cs="Times New Roman"/>
      <w:sz w:val="24"/>
      <w:szCs w:val="24"/>
    </w:rPr>
  </w:style>
  <w:style w:type="paragraph" w:styleId="TOC9">
    <w:name w:val="toc 9"/>
    <w:basedOn w:val="Normal"/>
    <w:next w:val="Normal"/>
    <w:autoRedefine/>
    <w:uiPriority w:val="39"/>
    <w:rsid w:val="00103FAD"/>
    <w:pPr>
      <w:spacing w:before="0"/>
      <w:ind w:left="1920"/>
    </w:pPr>
    <w:rPr>
      <w:rFonts w:ascii="Times New Roman" w:hAnsi="Times New Roman" w:cs="Times New Roman"/>
      <w:sz w:val="24"/>
      <w:szCs w:val="24"/>
    </w:rPr>
  </w:style>
  <w:style w:type="character" w:customStyle="1" w:styleId="guidecitescharchar0">
    <w:name w:val="guidecitescharchar"/>
    <w:rsid w:val="00720DDE"/>
    <w:rPr>
      <w:rFonts w:ascii="Arial" w:hAnsi="Arial" w:cs="Arial"/>
    </w:rPr>
  </w:style>
  <w:style w:type="character" w:customStyle="1" w:styleId="CommentTextChar1">
    <w:name w:val="Comment Text Char1"/>
    <w:link w:val="CommentText"/>
    <w:locked/>
    <w:rsid w:val="00711ACC"/>
    <w:rPr>
      <w:rFonts w:ascii="Arial" w:hAnsi="Arial" w:cs="Arial"/>
      <w:lang w:val="en-US" w:eastAsia="en-US" w:bidi="ar-SA"/>
    </w:rPr>
  </w:style>
  <w:style w:type="character" w:customStyle="1" w:styleId="upar1Char">
    <w:name w:val="upar1 Char"/>
    <w:link w:val="upar1"/>
    <w:locked/>
    <w:rsid w:val="00711ACC"/>
    <w:rPr>
      <w:rFonts w:ascii="Arial" w:hAnsi="Arial" w:cs="Arial"/>
      <w:lang w:val="en-US" w:eastAsia="en-US" w:bidi="ar-SA"/>
    </w:rPr>
  </w:style>
  <w:style w:type="character" w:customStyle="1" w:styleId="ListNumber4Char1">
    <w:name w:val="List Number 4 Char1"/>
    <w:link w:val="ListNumber4"/>
    <w:semiHidden/>
    <w:locked/>
    <w:rsid w:val="00DC10F4"/>
    <w:rPr>
      <w:rFonts w:ascii="Arial" w:hAnsi="Arial" w:cs="Arial"/>
    </w:rPr>
  </w:style>
  <w:style w:type="character" w:customStyle="1" w:styleId="ListNumberChar">
    <w:name w:val="List Number Char"/>
    <w:link w:val="ListNumber"/>
    <w:semiHidden/>
    <w:rsid w:val="008C125E"/>
    <w:rPr>
      <w:rFonts w:ascii="Arial" w:hAnsi="Arial" w:cs="Arial"/>
    </w:rPr>
  </w:style>
  <w:style w:type="character" w:customStyle="1" w:styleId="Guide-MainChar">
    <w:name w:val="Guide - Main Char"/>
    <w:link w:val="Guide-Main"/>
    <w:rsid w:val="008C125E"/>
    <w:rPr>
      <w:rFonts w:ascii="Arial" w:hAnsi="Arial" w:cs="Arial"/>
      <w:lang w:val="en-US" w:eastAsia="en-US" w:bidi="ar-SA"/>
    </w:rPr>
  </w:style>
  <w:style w:type="character" w:customStyle="1" w:styleId="ListNumber4Char">
    <w:name w:val="List Number 4 Char"/>
    <w:locked/>
    <w:rsid w:val="00FE7026"/>
    <w:rPr>
      <w:rFonts w:ascii="Arial" w:hAnsi="Arial" w:cs="Arial"/>
      <w:lang w:val="en-US" w:eastAsia="en-US" w:bidi="ar-SA"/>
    </w:rPr>
  </w:style>
  <w:style w:type="character" w:customStyle="1" w:styleId="ListNumber3Char1">
    <w:name w:val="List Number 3 Char1"/>
    <w:link w:val="ListNumber3"/>
    <w:semiHidden/>
    <w:rsid w:val="005412DF"/>
    <w:rPr>
      <w:rFonts w:ascii="Arial" w:hAnsi="Arial" w:cs="Arial"/>
    </w:rPr>
  </w:style>
  <w:style w:type="character" w:customStyle="1" w:styleId="CharChar">
    <w:name w:val="Char Char"/>
    <w:rsid w:val="000408B7"/>
    <w:rPr>
      <w:rFonts w:ascii="Arial" w:hAnsi="Arial" w:cs="Arial"/>
      <w:lang w:val="en-US" w:eastAsia="en-US" w:bidi="ar-SA"/>
    </w:rPr>
  </w:style>
  <w:style w:type="character" w:customStyle="1" w:styleId="CharChar2">
    <w:name w:val="Char Char2"/>
    <w:rsid w:val="000408B7"/>
    <w:rPr>
      <w:rFonts w:ascii="Arial" w:hAnsi="Arial" w:cs="Arial"/>
      <w:lang w:val="en-US" w:eastAsia="en-US" w:bidi="ar-SA"/>
    </w:rPr>
  </w:style>
  <w:style w:type="character" w:customStyle="1" w:styleId="CharChar4">
    <w:name w:val="Char Char4"/>
    <w:rsid w:val="000408B7"/>
    <w:rPr>
      <w:rFonts w:ascii="Arial" w:hAnsi="Arial" w:cs="Arial"/>
      <w:lang w:val="en-US" w:eastAsia="en-US" w:bidi="ar-SA"/>
    </w:rPr>
  </w:style>
  <w:style w:type="character" w:customStyle="1" w:styleId="Heading2Char">
    <w:name w:val="Heading 2 Char"/>
    <w:basedOn w:val="DefaultParagraphFont"/>
    <w:link w:val="Heading2"/>
    <w:rsid w:val="00A3204A"/>
    <w:rPr>
      <w:rFonts w:ascii="Arial" w:hAnsi="Arial" w:cs="Arial"/>
      <w:b/>
      <w:bCs/>
      <w:i/>
      <w:iCs/>
      <w:sz w:val="28"/>
      <w:szCs w:val="28"/>
    </w:rPr>
  </w:style>
  <w:style w:type="character" w:customStyle="1" w:styleId="BodyTextIndentChar">
    <w:name w:val="Body Text Indent Char"/>
    <w:basedOn w:val="DefaultParagraphFont"/>
    <w:link w:val="BodyTextIndent"/>
    <w:rsid w:val="00A3204A"/>
    <w:rPr>
      <w:rFonts w:ascii="Arial" w:hAnsi="Arial" w:cs="Arial"/>
      <w:i/>
      <w:iCs/>
      <w:sz w:val="28"/>
      <w:szCs w:val="28"/>
    </w:rPr>
  </w:style>
  <w:style w:type="paragraph" w:customStyle="1" w:styleId="Default">
    <w:name w:val="Default"/>
    <w:rsid w:val="00A3204A"/>
    <w:pPr>
      <w:widowControl w:val="0"/>
      <w:autoSpaceDE w:val="0"/>
      <w:autoSpaceDN w:val="0"/>
      <w:adjustRightInd w:val="0"/>
    </w:pPr>
    <w:rPr>
      <w:rFonts w:ascii="Arial" w:hAnsi="Arial" w:cs="Arial"/>
      <w:color w:val="000000"/>
      <w:sz w:val="24"/>
      <w:szCs w:val="24"/>
    </w:rPr>
  </w:style>
  <w:style w:type="character" w:customStyle="1" w:styleId="BalloonTextChar">
    <w:name w:val="Balloon Text Char"/>
    <w:basedOn w:val="DefaultParagraphFont"/>
    <w:link w:val="BalloonText"/>
    <w:semiHidden/>
    <w:rsid w:val="00A3204A"/>
    <w:rPr>
      <w:rFonts w:ascii="Tahoma" w:hAnsi="Tahoma" w:cs="Tahoma"/>
      <w:sz w:val="16"/>
      <w:szCs w:val="16"/>
    </w:rPr>
  </w:style>
  <w:style w:type="character" w:customStyle="1" w:styleId="FooterChar">
    <w:name w:val="Footer Char"/>
    <w:basedOn w:val="DefaultParagraphFont"/>
    <w:link w:val="Footer"/>
    <w:rsid w:val="00A3204A"/>
    <w:rPr>
      <w:rFonts w:ascii="Arial" w:hAnsi="Arial" w:cs="Arial"/>
    </w:rPr>
  </w:style>
  <w:style w:type="character" w:customStyle="1" w:styleId="HeaderChar">
    <w:name w:val="Header Char"/>
    <w:basedOn w:val="DefaultParagraphFont"/>
    <w:link w:val="Header"/>
    <w:rsid w:val="00A3204A"/>
    <w:rPr>
      <w:rFonts w:ascii="Arial" w:hAnsi="Arial" w:cs="Arial"/>
    </w:rPr>
  </w:style>
  <w:style w:type="character" w:customStyle="1" w:styleId="BodyTextChar">
    <w:name w:val="Body Text Char"/>
    <w:basedOn w:val="DefaultParagraphFont"/>
    <w:link w:val="BodyText"/>
    <w:rsid w:val="00A3204A"/>
    <w:rPr>
      <w:rFonts w:ascii="Arial" w:hAnsi="Arial" w:cs="Arial"/>
      <w:smallCaps/>
      <w:sz w:val="12"/>
      <w:szCs w:val="12"/>
    </w:rPr>
  </w:style>
  <w:style w:type="paragraph" w:customStyle="1" w:styleId="xl23">
    <w:name w:val="xl23"/>
    <w:basedOn w:val="Normal"/>
    <w:rsid w:val="00A3204A"/>
    <w:pPr>
      <w:spacing w:before="100" w:beforeAutospacing="1" w:after="100" w:afterAutospacing="1"/>
    </w:pPr>
    <w:rPr>
      <w:sz w:val="24"/>
      <w:szCs w:val="24"/>
    </w:rPr>
  </w:style>
  <w:style w:type="character" w:customStyle="1" w:styleId="apple-converted-space">
    <w:name w:val="apple-converted-space"/>
    <w:basedOn w:val="DefaultParagraphFont"/>
    <w:rsid w:val="00A320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A63"/>
    <w:pPr>
      <w:spacing w:before="240"/>
    </w:pPr>
    <w:rPr>
      <w:rFonts w:ascii="Arial" w:hAnsi="Arial" w:cs="Arial"/>
    </w:rPr>
  </w:style>
  <w:style w:type="paragraph" w:styleId="Heading1">
    <w:name w:val="heading 1"/>
    <w:basedOn w:val="Normal"/>
    <w:next w:val="Normal"/>
    <w:qFormat/>
    <w:rsid w:val="00CB50A9"/>
    <w:pPr>
      <w:keepNext/>
      <w:widowControl w:val="0"/>
      <w:tabs>
        <w:tab w:val="center" w:pos="4680"/>
        <w:tab w:val="left" w:leader="dot" w:pos="5040"/>
        <w:tab w:val="left" w:leader="dot" w:pos="5760"/>
        <w:tab w:val="left" w:leader="dot" w:pos="6480"/>
        <w:tab w:val="left" w:leader="dot" w:pos="7200"/>
        <w:tab w:val="left" w:leader="dot" w:pos="7920"/>
        <w:tab w:val="left" w:leader="dot" w:pos="8640"/>
        <w:tab w:val="left" w:leader="dot" w:pos="9360"/>
      </w:tabs>
      <w:autoSpaceDE w:val="0"/>
      <w:autoSpaceDN w:val="0"/>
      <w:adjustRightInd w:val="0"/>
      <w:jc w:val="center"/>
      <w:outlineLvl w:val="0"/>
    </w:pPr>
    <w:rPr>
      <w:b/>
      <w:bCs/>
      <w:sz w:val="28"/>
      <w:szCs w:val="28"/>
    </w:rPr>
  </w:style>
  <w:style w:type="paragraph" w:styleId="Heading2">
    <w:name w:val="heading 2"/>
    <w:basedOn w:val="Normal"/>
    <w:next w:val="Normal"/>
    <w:link w:val="Heading2Char"/>
    <w:qFormat/>
    <w:rsid w:val="00CB50A9"/>
    <w:pPr>
      <w:keepNext/>
      <w:spacing w:after="60"/>
      <w:outlineLvl w:val="1"/>
    </w:pPr>
    <w:rPr>
      <w:b/>
      <w:bCs/>
      <w:i/>
      <w:iCs/>
      <w:sz w:val="28"/>
      <w:szCs w:val="28"/>
    </w:rPr>
  </w:style>
  <w:style w:type="paragraph" w:styleId="Heading3">
    <w:name w:val="heading 3"/>
    <w:basedOn w:val="Normal"/>
    <w:next w:val="Normal"/>
    <w:qFormat/>
    <w:rsid w:val="00CB50A9"/>
    <w:pPr>
      <w:keepNext/>
      <w:spacing w:after="60"/>
      <w:outlineLvl w:val="2"/>
    </w:pPr>
    <w:rPr>
      <w:b/>
      <w:bCs/>
      <w:sz w:val="26"/>
      <w:szCs w:val="26"/>
    </w:rPr>
  </w:style>
  <w:style w:type="paragraph" w:styleId="Heading4">
    <w:name w:val="heading 4"/>
    <w:basedOn w:val="Normal"/>
    <w:next w:val="Normal"/>
    <w:qFormat/>
    <w:rsid w:val="00CB50A9"/>
    <w:pPr>
      <w:keepNext/>
      <w:spacing w:after="60"/>
      <w:outlineLvl w:val="3"/>
    </w:pPr>
    <w:rPr>
      <w:rFonts w:ascii="Times New Roman" w:hAnsi="Times New Roman" w:cs="Times New Roman"/>
      <w:b/>
      <w:bCs/>
      <w:sz w:val="28"/>
      <w:szCs w:val="28"/>
    </w:rPr>
  </w:style>
  <w:style w:type="paragraph" w:styleId="Heading5">
    <w:name w:val="heading 5"/>
    <w:basedOn w:val="Normal"/>
    <w:next w:val="Normal"/>
    <w:qFormat/>
    <w:rsid w:val="00CB50A9"/>
    <w:pPr>
      <w:spacing w:after="60"/>
      <w:outlineLvl w:val="4"/>
    </w:pPr>
    <w:rPr>
      <w:b/>
      <w:bCs/>
      <w:i/>
      <w:iCs/>
      <w:sz w:val="26"/>
      <w:szCs w:val="26"/>
    </w:rPr>
  </w:style>
  <w:style w:type="paragraph" w:styleId="Heading6">
    <w:name w:val="heading 6"/>
    <w:basedOn w:val="Normal"/>
    <w:next w:val="Normal"/>
    <w:qFormat/>
    <w:rsid w:val="00CB50A9"/>
    <w:pPr>
      <w:spacing w:after="60"/>
      <w:outlineLvl w:val="5"/>
    </w:pPr>
    <w:rPr>
      <w:rFonts w:ascii="Times New Roman" w:hAnsi="Times New Roman" w:cs="Times New Roman"/>
      <w:b/>
      <w:bCs/>
      <w:sz w:val="22"/>
      <w:szCs w:val="22"/>
    </w:rPr>
  </w:style>
  <w:style w:type="paragraph" w:styleId="Heading7">
    <w:name w:val="heading 7"/>
    <w:basedOn w:val="Normal"/>
    <w:next w:val="Normal"/>
    <w:qFormat/>
    <w:rsid w:val="00CB50A9"/>
    <w:pPr>
      <w:spacing w:after="60"/>
      <w:outlineLvl w:val="6"/>
    </w:pPr>
    <w:rPr>
      <w:rFonts w:ascii="Times New Roman" w:hAnsi="Times New Roman" w:cs="Times New Roman"/>
    </w:rPr>
  </w:style>
  <w:style w:type="paragraph" w:styleId="Heading8">
    <w:name w:val="heading 8"/>
    <w:basedOn w:val="Normal"/>
    <w:next w:val="Normal"/>
    <w:qFormat/>
    <w:rsid w:val="00CB50A9"/>
    <w:pPr>
      <w:spacing w:after="60"/>
      <w:outlineLvl w:val="7"/>
    </w:pPr>
    <w:rPr>
      <w:rFonts w:ascii="Times New Roman" w:hAnsi="Times New Roman" w:cs="Times New Roman"/>
      <w:i/>
      <w:iCs/>
    </w:rPr>
  </w:style>
  <w:style w:type="paragraph" w:styleId="Heading9">
    <w:name w:val="heading 9"/>
    <w:basedOn w:val="Normal"/>
    <w:next w:val="Normal"/>
    <w:qFormat/>
    <w:rsid w:val="00CB50A9"/>
    <w:pPr>
      <w:spacing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837A5E"/>
    <w:rPr>
      <w:sz w:val="24"/>
    </w:rPr>
  </w:style>
  <w:style w:type="paragraph" w:styleId="EnvelopeAddress">
    <w:name w:val="envelope address"/>
    <w:basedOn w:val="Normal"/>
    <w:semiHidden/>
    <w:rsid w:val="00837A5E"/>
    <w:pPr>
      <w:framePr w:w="7920" w:h="1980" w:hRule="exact" w:hSpace="180" w:wrap="auto" w:hAnchor="page" w:xAlign="center" w:yAlign="bottom"/>
      <w:ind w:left="2880"/>
    </w:pPr>
    <w:rPr>
      <w:sz w:val="24"/>
    </w:rPr>
  </w:style>
  <w:style w:type="numbering" w:styleId="111111">
    <w:name w:val="Outline List 2"/>
    <w:basedOn w:val="NoList"/>
    <w:semiHidden/>
    <w:rsid w:val="00CB50A9"/>
    <w:pPr>
      <w:numPr>
        <w:numId w:val="1"/>
      </w:numPr>
    </w:pPr>
  </w:style>
  <w:style w:type="paragraph" w:styleId="Footer">
    <w:name w:val="footer"/>
    <w:basedOn w:val="Normal"/>
    <w:link w:val="FooterChar"/>
    <w:rsid w:val="00CB50A9"/>
    <w:pPr>
      <w:tabs>
        <w:tab w:val="center" w:pos="4320"/>
        <w:tab w:val="right" w:pos="8640"/>
      </w:tabs>
    </w:pPr>
  </w:style>
  <w:style w:type="numbering" w:styleId="1ai">
    <w:name w:val="Outline List 1"/>
    <w:basedOn w:val="NoList"/>
    <w:semiHidden/>
    <w:rsid w:val="00CB50A9"/>
    <w:pPr>
      <w:numPr>
        <w:numId w:val="2"/>
      </w:numPr>
    </w:pPr>
  </w:style>
  <w:style w:type="paragraph" w:styleId="Header">
    <w:name w:val="header"/>
    <w:basedOn w:val="Normal"/>
    <w:link w:val="HeaderChar"/>
    <w:rsid w:val="00CB50A9"/>
    <w:pPr>
      <w:tabs>
        <w:tab w:val="center" w:pos="4320"/>
        <w:tab w:val="right" w:pos="8640"/>
      </w:tabs>
    </w:pPr>
  </w:style>
  <w:style w:type="paragraph" w:customStyle="1" w:styleId="Agency">
    <w:name w:val="Agency"/>
    <w:basedOn w:val="Normal"/>
    <w:rsid w:val="00CB50A9"/>
    <w:pPr>
      <w:jc w:val="center"/>
    </w:pPr>
    <w:rPr>
      <w:b/>
      <w:bCs/>
      <w:sz w:val="28"/>
      <w:szCs w:val="28"/>
    </w:rPr>
  </w:style>
  <w:style w:type="paragraph" w:customStyle="1" w:styleId="BirdsTitle">
    <w:name w:val="Birds Title"/>
    <w:basedOn w:val="Normal"/>
    <w:rsid w:val="003467C3"/>
    <w:pPr>
      <w:widowControl w:val="0"/>
      <w:spacing w:after="480"/>
      <w:jc w:val="center"/>
    </w:pPr>
    <w:rPr>
      <w:rFonts w:ascii="Comic Sans MS" w:hAnsi="Comic Sans MS"/>
      <w:b/>
      <w:bCs/>
      <w:kern w:val="36"/>
      <w:sz w:val="40"/>
      <w:szCs w:val="40"/>
    </w:rPr>
  </w:style>
  <w:style w:type="paragraph" w:customStyle="1" w:styleId="BirdsSummary">
    <w:name w:val="Birds Summary"/>
    <w:basedOn w:val="NormalWeb"/>
    <w:autoRedefine/>
    <w:rsid w:val="003467C3"/>
    <w:pPr>
      <w:widowControl w:val="0"/>
    </w:pPr>
    <w:rPr>
      <w:rFonts w:ascii="Arial" w:hAnsi="Arial" w:cs="Arial"/>
      <w:sz w:val="20"/>
    </w:rPr>
  </w:style>
  <w:style w:type="paragraph" w:styleId="NormalWeb">
    <w:name w:val="Normal (Web)"/>
    <w:basedOn w:val="Normal"/>
    <w:semiHidden/>
    <w:rsid w:val="00CB50A9"/>
    <w:rPr>
      <w:rFonts w:ascii="Times New Roman" w:hAnsi="Times New Roman" w:cs="Times New Roman"/>
      <w:sz w:val="24"/>
      <w:szCs w:val="24"/>
    </w:rPr>
  </w:style>
  <w:style w:type="paragraph" w:customStyle="1" w:styleId="BirdsStory">
    <w:name w:val="Birds Story"/>
    <w:basedOn w:val="NormalWeb"/>
    <w:autoRedefine/>
    <w:rsid w:val="003467C3"/>
    <w:pPr>
      <w:widowControl w:val="0"/>
    </w:pPr>
    <w:rPr>
      <w:rFonts w:ascii="Arial" w:hAnsi="Arial" w:cs="Arial"/>
    </w:rPr>
  </w:style>
  <w:style w:type="paragraph" w:styleId="BalloonText">
    <w:name w:val="Balloon Text"/>
    <w:basedOn w:val="Normal"/>
    <w:link w:val="BalloonTextChar"/>
    <w:semiHidden/>
    <w:rsid w:val="00CB50A9"/>
    <w:rPr>
      <w:rFonts w:ascii="Tahoma" w:hAnsi="Tahoma" w:cs="Tahoma"/>
      <w:sz w:val="16"/>
      <w:szCs w:val="16"/>
    </w:rPr>
  </w:style>
  <w:style w:type="paragraph" w:customStyle="1" w:styleId="Style1">
    <w:name w:val="Style1"/>
    <w:basedOn w:val="Normal"/>
    <w:rsid w:val="007554F4"/>
    <w:pPr>
      <w:keepNext/>
    </w:pPr>
  </w:style>
  <w:style w:type="paragraph" w:customStyle="1" w:styleId="BirdsChapter">
    <w:name w:val="Birds Chapter"/>
    <w:basedOn w:val="Normal"/>
    <w:rsid w:val="00F30379"/>
    <w:pPr>
      <w:keepNext/>
      <w:widowControl w:val="0"/>
    </w:pPr>
    <w:rPr>
      <w:b/>
    </w:rPr>
  </w:style>
  <w:style w:type="paragraph" w:styleId="BlockText">
    <w:name w:val="Block Text"/>
    <w:basedOn w:val="Normal"/>
    <w:semiHidden/>
    <w:rsid w:val="00CB50A9"/>
    <w:pPr>
      <w:widowControl w:val="0"/>
      <w:autoSpaceDE w:val="0"/>
      <w:autoSpaceDN w:val="0"/>
      <w:adjustRightInd w:val="0"/>
      <w:spacing w:before="120"/>
    </w:pPr>
  </w:style>
  <w:style w:type="paragraph" w:styleId="BodyText">
    <w:name w:val="Body Text"/>
    <w:basedOn w:val="Normal"/>
    <w:link w:val="BodyTextChar"/>
    <w:rsid w:val="00CB50A9"/>
    <w:pPr>
      <w:jc w:val="center"/>
    </w:pPr>
    <w:rPr>
      <w:smallCaps/>
      <w:sz w:val="12"/>
      <w:szCs w:val="12"/>
    </w:rPr>
  </w:style>
  <w:style w:type="paragraph" w:styleId="BodyText2">
    <w:name w:val="Body Text 2"/>
    <w:basedOn w:val="Normal"/>
    <w:semiHidden/>
    <w:rsid w:val="00CB50A9"/>
    <w:pPr>
      <w:spacing w:after="120" w:line="480" w:lineRule="auto"/>
    </w:pPr>
  </w:style>
  <w:style w:type="paragraph" w:styleId="BodyText3">
    <w:name w:val="Body Text 3"/>
    <w:basedOn w:val="Normal"/>
    <w:semiHidden/>
    <w:rsid w:val="00CB50A9"/>
    <w:pPr>
      <w:spacing w:after="120"/>
    </w:pPr>
    <w:rPr>
      <w:sz w:val="16"/>
      <w:szCs w:val="16"/>
    </w:rPr>
  </w:style>
  <w:style w:type="paragraph" w:styleId="BodyTextFirstIndent">
    <w:name w:val="Body Text First Indent"/>
    <w:basedOn w:val="BodyText"/>
    <w:semiHidden/>
    <w:rsid w:val="00CB50A9"/>
    <w:pPr>
      <w:spacing w:after="120"/>
      <w:ind w:firstLine="210"/>
      <w:jc w:val="left"/>
    </w:pPr>
    <w:rPr>
      <w:smallCaps w:val="0"/>
      <w:sz w:val="20"/>
      <w:szCs w:val="20"/>
    </w:rPr>
  </w:style>
  <w:style w:type="paragraph" w:styleId="BodyTextIndent">
    <w:name w:val="Body Text Indent"/>
    <w:basedOn w:val="Normal"/>
    <w:link w:val="BodyTextIndentChar"/>
    <w:rsid w:val="00CB50A9"/>
    <w:rPr>
      <w:i/>
      <w:iCs/>
      <w:sz w:val="28"/>
      <w:szCs w:val="28"/>
    </w:rPr>
  </w:style>
  <w:style w:type="paragraph" w:styleId="BodyTextFirstIndent2">
    <w:name w:val="Body Text First Indent 2"/>
    <w:basedOn w:val="BodyTextIndent"/>
    <w:semiHidden/>
    <w:rsid w:val="00CB50A9"/>
    <w:pPr>
      <w:ind w:firstLine="210"/>
    </w:pPr>
    <w:rPr>
      <w:sz w:val="20"/>
      <w:szCs w:val="20"/>
    </w:rPr>
  </w:style>
  <w:style w:type="paragraph" w:styleId="BodyTextIndent2">
    <w:name w:val="Body Text Indent 2"/>
    <w:basedOn w:val="Normal"/>
    <w:semiHidden/>
    <w:rsid w:val="00CB50A9"/>
    <w:pPr>
      <w:spacing w:after="120" w:line="480" w:lineRule="auto"/>
      <w:ind w:left="360"/>
    </w:pPr>
  </w:style>
  <w:style w:type="paragraph" w:styleId="BodyTextIndent3">
    <w:name w:val="Body Text Indent 3"/>
    <w:basedOn w:val="Normal"/>
    <w:semiHidden/>
    <w:rsid w:val="00CB50A9"/>
    <w:pPr>
      <w:spacing w:after="120"/>
      <w:ind w:left="360"/>
    </w:pPr>
    <w:rPr>
      <w:sz w:val="16"/>
      <w:szCs w:val="16"/>
    </w:rPr>
  </w:style>
  <w:style w:type="paragraph" w:customStyle="1" w:styleId="CCRNumber">
    <w:name w:val="CCR Number"/>
    <w:rsid w:val="00CB50A9"/>
    <w:pPr>
      <w:jc w:val="center"/>
    </w:pPr>
    <w:rPr>
      <w:rFonts w:ascii="Arial" w:hAnsi="Arial" w:cs="Arial"/>
      <w:b/>
      <w:bCs/>
      <w:caps/>
      <w:sz w:val="24"/>
      <w:szCs w:val="24"/>
    </w:rPr>
  </w:style>
  <w:style w:type="paragraph" w:customStyle="1" w:styleId="CCRTitle">
    <w:name w:val="CCR Title"/>
    <w:rsid w:val="00CB50A9"/>
    <w:pPr>
      <w:jc w:val="center"/>
    </w:pPr>
    <w:rPr>
      <w:rFonts w:ascii="Arial" w:hAnsi="Arial" w:cs="Arial"/>
      <w:b/>
      <w:bCs/>
      <w:caps/>
      <w:sz w:val="24"/>
      <w:szCs w:val="24"/>
    </w:rPr>
  </w:style>
  <w:style w:type="character" w:customStyle="1" w:styleId="cite">
    <w:name w:val="cite"/>
    <w:rsid w:val="00CB50A9"/>
    <w:rPr>
      <w:rFonts w:cs="Times New Roman"/>
      <w:color w:val="008080"/>
    </w:rPr>
  </w:style>
  <w:style w:type="character" w:styleId="CommentReference">
    <w:name w:val="annotation reference"/>
    <w:semiHidden/>
    <w:rsid w:val="00CB50A9"/>
    <w:rPr>
      <w:rFonts w:cs="Times New Roman"/>
      <w:sz w:val="16"/>
      <w:szCs w:val="16"/>
    </w:rPr>
  </w:style>
  <w:style w:type="paragraph" w:styleId="CommentText">
    <w:name w:val="annotation text"/>
    <w:basedOn w:val="Normal"/>
    <w:link w:val="CommentTextChar1"/>
    <w:semiHidden/>
    <w:rsid w:val="00CB50A9"/>
  </w:style>
  <w:style w:type="paragraph" w:styleId="CommentSubject">
    <w:name w:val="annotation subject"/>
    <w:basedOn w:val="CommentText"/>
    <w:next w:val="CommentText"/>
    <w:semiHidden/>
    <w:rsid w:val="00CB50A9"/>
    <w:rPr>
      <w:b/>
      <w:bCs/>
    </w:rPr>
  </w:style>
  <w:style w:type="paragraph" w:customStyle="1" w:styleId="cp">
    <w:name w:val="cp"/>
    <w:basedOn w:val="Normal"/>
    <w:semiHidden/>
    <w:rsid w:val="00CB50A9"/>
    <w:pPr>
      <w:jc w:val="center"/>
    </w:pPr>
  </w:style>
  <w:style w:type="paragraph" w:styleId="Date">
    <w:name w:val="Date"/>
    <w:basedOn w:val="Normal"/>
    <w:next w:val="Normal"/>
    <w:semiHidden/>
    <w:rsid w:val="00CB50A9"/>
  </w:style>
  <w:style w:type="paragraph" w:customStyle="1" w:styleId="Department">
    <w:name w:val="Department"/>
    <w:rsid w:val="00CB50A9"/>
    <w:pPr>
      <w:jc w:val="center"/>
    </w:pPr>
    <w:rPr>
      <w:rFonts w:ascii="Arial" w:hAnsi="Arial" w:cs="Arial"/>
      <w:b/>
      <w:bCs/>
      <w:caps/>
      <w:sz w:val="28"/>
      <w:szCs w:val="28"/>
    </w:rPr>
  </w:style>
  <w:style w:type="paragraph" w:styleId="DocumentMap">
    <w:name w:val="Document Map"/>
    <w:basedOn w:val="Normal"/>
    <w:semiHidden/>
    <w:rsid w:val="00CB50A9"/>
    <w:pPr>
      <w:shd w:val="clear" w:color="auto" w:fill="000080"/>
    </w:pPr>
    <w:rPr>
      <w:rFonts w:ascii="Tahoma" w:hAnsi="Tahoma" w:cs="Tahoma"/>
    </w:rPr>
  </w:style>
  <w:style w:type="character" w:customStyle="1" w:styleId="eff">
    <w:name w:val="eff"/>
    <w:semiHidden/>
    <w:rsid w:val="00CB50A9"/>
    <w:rPr>
      <w:rFonts w:ascii="Arial" w:hAnsi="Arial" w:cs="Arial"/>
      <w:i/>
      <w:iCs/>
      <w:color w:val="0000FF"/>
      <w:sz w:val="20"/>
      <w:szCs w:val="20"/>
    </w:rPr>
  </w:style>
  <w:style w:type="paragraph" w:styleId="E-mailSignature">
    <w:name w:val="E-mail Signature"/>
    <w:basedOn w:val="Normal"/>
    <w:semiHidden/>
    <w:rsid w:val="00CB50A9"/>
  </w:style>
  <w:style w:type="character" w:styleId="Emphasis">
    <w:name w:val="Emphasis"/>
    <w:qFormat/>
    <w:rsid w:val="00CB50A9"/>
    <w:rPr>
      <w:i/>
      <w:iCs/>
    </w:rPr>
  </w:style>
  <w:style w:type="paragraph" w:customStyle="1" w:styleId="figure-caption">
    <w:name w:val="figure-caption"/>
    <w:basedOn w:val="Normal"/>
    <w:semiHidden/>
    <w:rsid w:val="00CB50A9"/>
    <w:rPr>
      <w:color w:val="800080"/>
    </w:rPr>
  </w:style>
  <w:style w:type="paragraph" w:customStyle="1" w:styleId="figure-filename">
    <w:name w:val="figure-filename"/>
    <w:basedOn w:val="Normal"/>
    <w:semiHidden/>
    <w:rsid w:val="00CB50A9"/>
    <w:rPr>
      <w:color w:val="800080"/>
    </w:rPr>
  </w:style>
  <w:style w:type="paragraph" w:customStyle="1" w:styleId="figure-orientation">
    <w:name w:val="figure-orientation"/>
    <w:basedOn w:val="Normal"/>
    <w:semiHidden/>
    <w:rsid w:val="00CB50A9"/>
    <w:rPr>
      <w:color w:val="800080"/>
    </w:rPr>
  </w:style>
  <w:style w:type="character" w:styleId="FollowedHyperlink">
    <w:name w:val="FollowedHyperlink"/>
    <w:rsid w:val="00CB50A9"/>
    <w:rPr>
      <w:rFonts w:cs="Times New Roman"/>
      <w:color w:val="800080"/>
      <w:u w:val="single"/>
    </w:rPr>
  </w:style>
  <w:style w:type="character" w:styleId="HTMLAcronym">
    <w:name w:val="HTML Acronym"/>
    <w:basedOn w:val="DefaultParagraphFont"/>
    <w:semiHidden/>
    <w:rsid w:val="00CB50A9"/>
  </w:style>
  <w:style w:type="paragraph" w:styleId="HTMLAddress">
    <w:name w:val="HTML Address"/>
    <w:basedOn w:val="Normal"/>
    <w:semiHidden/>
    <w:rsid w:val="00CB50A9"/>
    <w:rPr>
      <w:i/>
      <w:iCs/>
    </w:rPr>
  </w:style>
  <w:style w:type="character" w:styleId="HTMLCite">
    <w:name w:val="HTML Cite"/>
    <w:semiHidden/>
    <w:rsid w:val="00CB50A9"/>
    <w:rPr>
      <w:i/>
      <w:iCs/>
    </w:rPr>
  </w:style>
  <w:style w:type="character" w:styleId="HTMLCode">
    <w:name w:val="HTML Code"/>
    <w:semiHidden/>
    <w:rsid w:val="00CB50A9"/>
    <w:rPr>
      <w:rFonts w:ascii="Courier New" w:hAnsi="Courier New" w:cs="Courier New"/>
      <w:sz w:val="20"/>
      <w:szCs w:val="20"/>
    </w:rPr>
  </w:style>
  <w:style w:type="character" w:styleId="HTMLDefinition">
    <w:name w:val="HTML Definition"/>
    <w:semiHidden/>
    <w:rsid w:val="00CB50A9"/>
    <w:rPr>
      <w:i/>
      <w:iCs/>
    </w:rPr>
  </w:style>
  <w:style w:type="character" w:styleId="HTMLKeyboard">
    <w:name w:val="HTML Keyboard"/>
    <w:semiHidden/>
    <w:rsid w:val="00CB50A9"/>
    <w:rPr>
      <w:rFonts w:ascii="Courier New" w:hAnsi="Courier New" w:cs="Courier New"/>
      <w:sz w:val="20"/>
      <w:szCs w:val="20"/>
    </w:rPr>
  </w:style>
  <w:style w:type="paragraph" w:styleId="HTMLPreformatted">
    <w:name w:val="HTML Preformatted"/>
    <w:basedOn w:val="Normal"/>
    <w:semiHidden/>
    <w:rsid w:val="00CB50A9"/>
    <w:rPr>
      <w:rFonts w:ascii="Courier New" w:hAnsi="Courier New" w:cs="Courier New"/>
    </w:rPr>
  </w:style>
  <w:style w:type="character" w:styleId="HTMLSample">
    <w:name w:val="HTML Sample"/>
    <w:semiHidden/>
    <w:rsid w:val="00CB50A9"/>
    <w:rPr>
      <w:rFonts w:ascii="Courier New" w:hAnsi="Courier New" w:cs="Courier New"/>
    </w:rPr>
  </w:style>
  <w:style w:type="character" w:styleId="HTMLTypewriter">
    <w:name w:val="HTML Typewriter"/>
    <w:semiHidden/>
    <w:rsid w:val="00CB50A9"/>
    <w:rPr>
      <w:rFonts w:ascii="Courier New" w:hAnsi="Courier New" w:cs="Courier New"/>
      <w:sz w:val="20"/>
      <w:szCs w:val="20"/>
    </w:rPr>
  </w:style>
  <w:style w:type="character" w:styleId="HTMLVariable">
    <w:name w:val="HTML Variable"/>
    <w:semiHidden/>
    <w:rsid w:val="00CB50A9"/>
    <w:rPr>
      <w:i/>
      <w:iCs/>
    </w:rPr>
  </w:style>
  <w:style w:type="character" w:styleId="Hyperlink">
    <w:name w:val="Hyperlink"/>
    <w:uiPriority w:val="99"/>
    <w:rsid w:val="00CB50A9"/>
    <w:rPr>
      <w:rFonts w:cs="Times New Roman"/>
      <w:color w:val="0000FF"/>
      <w:u w:val="single"/>
    </w:rPr>
  </w:style>
  <w:style w:type="character" w:styleId="LineNumber">
    <w:name w:val="line number"/>
    <w:basedOn w:val="DefaultParagraphFont"/>
    <w:semiHidden/>
    <w:rsid w:val="00CB50A9"/>
  </w:style>
  <w:style w:type="paragraph" w:styleId="List">
    <w:name w:val="List"/>
    <w:basedOn w:val="Normal"/>
    <w:semiHidden/>
    <w:rsid w:val="00CB50A9"/>
    <w:pPr>
      <w:ind w:left="360" w:hanging="360"/>
    </w:pPr>
  </w:style>
  <w:style w:type="paragraph" w:styleId="List2">
    <w:name w:val="List 2"/>
    <w:basedOn w:val="Normal"/>
    <w:semiHidden/>
    <w:rsid w:val="00CB50A9"/>
    <w:pPr>
      <w:ind w:left="720" w:hanging="360"/>
    </w:pPr>
  </w:style>
  <w:style w:type="paragraph" w:styleId="List3">
    <w:name w:val="List 3"/>
    <w:basedOn w:val="Normal"/>
    <w:semiHidden/>
    <w:rsid w:val="00CB50A9"/>
    <w:pPr>
      <w:ind w:left="1080" w:hanging="360"/>
    </w:pPr>
  </w:style>
  <w:style w:type="paragraph" w:styleId="List4">
    <w:name w:val="List 4"/>
    <w:basedOn w:val="Normal"/>
    <w:semiHidden/>
    <w:rsid w:val="00CB50A9"/>
    <w:pPr>
      <w:ind w:left="1440" w:hanging="360"/>
    </w:pPr>
  </w:style>
  <w:style w:type="paragraph" w:styleId="List5">
    <w:name w:val="List 5"/>
    <w:basedOn w:val="Normal"/>
    <w:semiHidden/>
    <w:rsid w:val="00CB50A9"/>
    <w:pPr>
      <w:ind w:left="1800" w:hanging="360"/>
    </w:pPr>
  </w:style>
  <w:style w:type="paragraph" w:styleId="ListBullet">
    <w:name w:val="List Bullet"/>
    <w:basedOn w:val="Normal"/>
    <w:semiHidden/>
    <w:rsid w:val="00CB50A9"/>
    <w:pPr>
      <w:numPr>
        <w:numId w:val="3"/>
      </w:numPr>
    </w:pPr>
  </w:style>
  <w:style w:type="paragraph" w:styleId="ListBullet2">
    <w:name w:val="List Bullet 2"/>
    <w:basedOn w:val="Normal"/>
    <w:semiHidden/>
    <w:rsid w:val="00CB50A9"/>
    <w:pPr>
      <w:numPr>
        <w:numId w:val="4"/>
      </w:numPr>
    </w:pPr>
  </w:style>
  <w:style w:type="paragraph" w:styleId="ListBullet3">
    <w:name w:val="List Bullet 3"/>
    <w:basedOn w:val="Normal"/>
    <w:semiHidden/>
    <w:rsid w:val="00CB50A9"/>
    <w:pPr>
      <w:numPr>
        <w:numId w:val="5"/>
      </w:numPr>
    </w:pPr>
  </w:style>
  <w:style w:type="paragraph" w:styleId="ListBullet4">
    <w:name w:val="List Bullet 4"/>
    <w:basedOn w:val="Normal"/>
    <w:semiHidden/>
    <w:rsid w:val="00CB50A9"/>
    <w:pPr>
      <w:numPr>
        <w:numId w:val="6"/>
      </w:numPr>
    </w:pPr>
  </w:style>
  <w:style w:type="paragraph" w:styleId="ListBullet5">
    <w:name w:val="List Bullet 5"/>
    <w:basedOn w:val="Normal"/>
    <w:semiHidden/>
    <w:rsid w:val="00CB50A9"/>
    <w:pPr>
      <w:numPr>
        <w:numId w:val="7"/>
      </w:numPr>
    </w:pPr>
  </w:style>
  <w:style w:type="paragraph" w:styleId="ListContinue">
    <w:name w:val="List Continue"/>
    <w:basedOn w:val="Normal"/>
    <w:semiHidden/>
    <w:rsid w:val="00CB50A9"/>
    <w:pPr>
      <w:spacing w:after="120"/>
      <w:ind w:left="360"/>
    </w:pPr>
  </w:style>
  <w:style w:type="paragraph" w:styleId="ListContinue2">
    <w:name w:val="List Continue 2"/>
    <w:basedOn w:val="Normal"/>
    <w:semiHidden/>
    <w:rsid w:val="00CB50A9"/>
    <w:pPr>
      <w:spacing w:after="120"/>
      <w:ind w:left="720"/>
    </w:pPr>
  </w:style>
  <w:style w:type="paragraph" w:styleId="ListContinue3">
    <w:name w:val="List Continue 3"/>
    <w:basedOn w:val="Normal"/>
    <w:semiHidden/>
    <w:rsid w:val="00CB50A9"/>
    <w:pPr>
      <w:spacing w:after="120"/>
      <w:ind w:left="1080"/>
    </w:pPr>
  </w:style>
  <w:style w:type="paragraph" w:styleId="ListContinue4">
    <w:name w:val="List Continue 4"/>
    <w:basedOn w:val="Normal"/>
    <w:semiHidden/>
    <w:rsid w:val="00CB50A9"/>
    <w:pPr>
      <w:spacing w:after="120"/>
      <w:ind w:left="1440"/>
    </w:pPr>
  </w:style>
  <w:style w:type="paragraph" w:styleId="ListContinue5">
    <w:name w:val="List Continue 5"/>
    <w:basedOn w:val="Normal"/>
    <w:semiHidden/>
    <w:rsid w:val="00CB50A9"/>
    <w:pPr>
      <w:spacing w:after="120"/>
      <w:ind w:left="1800"/>
    </w:pPr>
  </w:style>
  <w:style w:type="paragraph" w:styleId="ListNumber">
    <w:name w:val="List Number"/>
    <w:basedOn w:val="Normal"/>
    <w:link w:val="ListNumberChar"/>
    <w:semiHidden/>
    <w:rsid w:val="00516249"/>
    <w:pPr>
      <w:numPr>
        <w:numId w:val="9"/>
      </w:numPr>
    </w:pPr>
  </w:style>
  <w:style w:type="paragraph" w:styleId="ListNumber2">
    <w:name w:val="List Number 2"/>
    <w:basedOn w:val="Normal"/>
    <w:semiHidden/>
    <w:rsid w:val="00516249"/>
    <w:pPr>
      <w:numPr>
        <w:ilvl w:val="1"/>
        <w:numId w:val="9"/>
      </w:numPr>
    </w:pPr>
  </w:style>
  <w:style w:type="paragraph" w:styleId="ListNumber3">
    <w:name w:val="List Number 3"/>
    <w:basedOn w:val="Normal"/>
    <w:link w:val="ListNumber3Char1"/>
    <w:semiHidden/>
    <w:rsid w:val="00516249"/>
    <w:pPr>
      <w:numPr>
        <w:ilvl w:val="2"/>
        <w:numId w:val="9"/>
      </w:numPr>
    </w:pPr>
  </w:style>
  <w:style w:type="paragraph" w:styleId="ListNumber4">
    <w:name w:val="List Number 4"/>
    <w:basedOn w:val="Normal"/>
    <w:link w:val="ListNumber4Char1"/>
    <w:semiHidden/>
    <w:rsid w:val="00516249"/>
    <w:pPr>
      <w:numPr>
        <w:ilvl w:val="3"/>
        <w:numId w:val="9"/>
      </w:numPr>
    </w:pPr>
  </w:style>
  <w:style w:type="paragraph" w:styleId="ListNumber5">
    <w:name w:val="List Number 5"/>
    <w:basedOn w:val="Normal"/>
    <w:semiHidden/>
    <w:rsid w:val="00516249"/>
    <w:pPr>
      <w:numPr>
        <w:ilvl w:val="4"/>
        <w:numId w:val="9"/>
      </w:numPr>
    </w:pPr>
  </w:style>
  <w:style w:type="paragraph" w:styleId="MessageHeader">
    <w:name w:val="Message Header"/>
    <w:basedOn w:val="Normal"/>
    <w:semiHidden/>
    <w:rsid w:val="00CB50A9"/>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rsid w:val="00CB50A9"/>
    <w:pPr>
      <w:ind w:left="720"/>
    </w:pPr>
  </w:style>
  <w:style w:type="paragraph" w:styleId="NoteHeading">
    <w:name w:val="Note Heading"/>
    <w:basedOn w:val="Normal"/>
    <w:next w:val="Normal"/>
    <w:semiHidden/>
    <w:rsid w:val="00CB50A9"/>
  </w:style>
  <w:style w:type="character" w:styleId="PageNumber">
    <w:name w:val="page number"/>
    <w:rsid w:val="00CB50A9"/>
    <w:rPr>
      <w:rFonts w:cs="Times New Roman"/>
    </w:rPr>
  </w:style>
  <w:style w:type="paragraph" w:customStyle="1" w:styleId="Par1">
    <w:name w:val="Par 1"/>
    <w:basedOn w:val="Heading1"/>
    <w:rsid w:val="00CB50A9"/>
    <w:pPr>
      <w:spacing w:before="0"/>
      <w:jc w:val="left"/>
    </w:pPr>
    <w:rPr>
      <w:bCs w:val="0"/>
      <w:sz w:val="24"/>
      <w:szCs w:val="24"/>
    </w:rPr>
  </w:style>
  <w:style w:type="paragraph" w:customStyle="1" w:styleId="par10">
    <w:name w:val="par1"/>
    <w:basedOn w:val="Normal"/>
    <w:rsid w:val="00CB50A9"/>
    <w:pPr>
      <w:tabs>
        <w:tab w:val="left" w:pos="720"/>
        <w:tab w:val="left" w:pos="1440"/>
        <w:tab w:val="left" w:pos="2160"/>
      </w:tabs>
      <w:ind w:left="720" w:hanging="720"/>
    </w:pPr>
  </w:style>
  <w:style w:type="paragraph" w:customStyle="1" w:styleId="par2">
    <w:name w:val="par2"/>
    <w:basedOn w:val="par10"/>
    <w:rsid w:val="00CB50A9"/>
    <w:pPr>
      <w:ind w:left="1440"/>
    </w:pPr>
  </w:style>
  <w:style w:type="paragraph" w:customStyle="1" w:styleId="par3">
    <w:name w:val="par3"/>
    <w:basedOn w:val="par10"/>
    <w:rsid w:val="00CB50A9"/>
    <w:pPr>
      <w:ind w:left="2160"/>
    </w:pPr>
  </w:style>
  <w:style w:type="paragraph" w:customStyle="1" w:styleId="par4">
    <w:name w:val="par4"/>
    <w:basedOn w:val="par10"/>
    <w:rsid w:val="00CB50A9"/>
    <w:pPr>
      <w:ind w:left="2880"/>
    </w:pPr>
  </w:style>
  <w:style w:type="paragraph" w:customStyle="1" w:styleId="par5">
    <w:name w:val="par5"/>
    <w:basedOn w:val="par10"/>
    <w:rsid w:val="00CB50A9"/>
    <w:pPr>
      <w:ind w:left="3600"/>
    </w:pPr>
  </w:style>
  <w:style w:type="paragraph" w:customStyle="1" w:styleId="par6">
    <w:name w:val="par6"/>
    <w:basedOn w:val="par10"/>
    <w:rsid w:val="00CB50A9"/>
    <w:pPr>
      <w:ind w:left="4320"/>
    </w:pPr>
  </w:style>
  <w:style w:type="paragraph" w:customStyle="1" w:styleId="par7">
    <w:name w:val="par7"/>
    <w:basedOn w:val="par6"/>
    <w:semiHidden/>
    <w:rsid w:val="00CB50A9"/>
  </w:style>
  <w:style w:type="paragraph" w:customStyle="1" w:styleId="par8">
    <w:name w:val="par8"/>
    <w:basedOn w:val="par7"/>
    <w:semiHidden/>
    <w:rsid w:val="00CB50A9"/>
  </w:style>
  <w:style w:type="paragraph" w:styleId="PlainText">
    <w:name w:val="Plain Text"/>
    <w:basedOn w:val="Normal"/>
    <w:semiHidden/>
    <w:rsid w:val="00CB50A9"/>
    <w:rPr>
      <w:rFonts w:ascii="Courier New" w:hAnsi="Courier New" w:cs="Courier New"/>
    </w:rPr>
  </w:style>
  <w:style w:type="character" w:customStyle="1" w:styleId="provision">
    <w:name w:val="provision"/>
    <w:semiHidden/>
    <w:rsid w:val="00CB50A9"/>
    <w:rPr>
      <w:rFonts w:ascii="Arial" w:hAnsi="Arial"/>
      <w:color w:val="auto"/>
      <w:sz w:val="20"/>
    </w:rPr>
  </w:style>
  <w:style w:type="paragraph" w:styleId="Salutation">
    <w:name w:val="Salutation"/>
    <w:basedOn w:val="Normal"/>
    <w:next w:val="Normal"/>
    <w:semiHidden/>
    <w:rsid w:val="00CB50A9"/>
  </w:style>
  <w:style w:type="paragraph" w:styleId="Signature">
    <w:name w:val="Signature"/>
    <w:basedOn w:val="Normal"/>
    <w:semiHidden/>
    <w:rsid w:val="00CB50A9"/>
    <w:pPr>
      <w:ind w:left="4320"/>
    </w:pPr>
  </w:style>
  <w:style w:type="character" w:styleId="Strong">
    <w:name w:val="Strong"/>
    <w:qFormat/>
    <w:rsid w:val="00CB50A9"/>
    <w:rPr>
      <w:b/>
      <w:bCs/>
    </w:rPr>
  </w:style>
  <w:style w:type="paragraph" w:styleId="Subtitle">
    <w:name w:val="Subtitle"/>
    <w:basedOn w:val="Normal"/>
    <w:qFormat/>
    <w:rsid w:val="00CB50A9"/>
    <w:pPr>
      <w:spacing w:after="60"/>
      <w:jc w:val="center"/>
      <w:outlineLvl w:val="1"/>
    </w:pPr>
    <w:rPr>
      <w:sz w:val="24"/>
      <w:szCs w:val="24"/>
    </w:rPr>
  </w:style>
  <w:style w:type="table" w:styleId="Table3Deffects1">
    <w:name w:val="Table 3D effects 1"/>
    <w:basedOn w:val="TableNormal"/>
    <w:semiHidden/>
    <w:rsid w:val="00CB50A9"/>
    <w:pPr>
      <w:spacing w:before="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50A9"/>
    <w:pPr>
      <w:spacing w:before="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50A9"/>
    <w:pPr>
      <w:spacing w:before="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50A9"/>
    <w:pPr>
      <w:spacing w:before="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50A9"/>
    <w:pPr>
      <w:spacing w:before="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50A9"/>
    <w:pPr>
      <w:spacing w:before="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50A9"/>
    <w:pPr>
      <w:spacing w:before="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50A9"/>
    <w:pPr>
      <w:spacing w:before="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50A9"/>
    <w:pPr>
      <w:spacing w:before="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50A9"/>
    <w:pPr>
      <w:spacing w:before="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50A9"/>
    <w:pPr>
      <w:spacing w:before="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50A9"/>
    <w:pPr>
      <w:spacing w:before="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50A9"/>
    <w:pPr>
      <w:spacing w:before="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50A9"/>
    <w:pPr>
      <w:spacing w:before="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50A9"/>
    <w:pPr>
      <w:spacing w:before="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50A9"/>
    <w:pPr>
      <w:spacing w:before="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50A9"/>
    <w:pPr>
      <w:spacing w:before="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50A9"/>
    <w:pPr>
      <w:spacing w:before="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50A9"/>
    <w:pPr>
      <w:spacing w:before="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50A9"/>
    <w:pPr>
      <w:spacing w:before="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50A9"/>
    <w:pPr>
      <w:spacing w:before="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50A9"/>
    <w:pPr>
      <w:spacing w:before="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50A9"/>
    <w:pPr>
      <w:spacing w:before="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50A9"/>
    <w:pPr>
      <w:spacing w:before="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50A9"/>
    <w:pPr>
      <w:spacing w:before="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50A9"/>
    <w:pPr>
      <w:spacing w:before="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50A9"/>
    <w:pPr>
      <w:spacing w:before="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50A9"/>
    <w:pPr>
      <w:spacing w:before="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B50A9"/>
    <w:pPr>
      <w:spacing w:before="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50A9"/>
    <w:pPr>
      <w:spacing w:before="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50A9"/>
    <w:pPr>
      <w:spacing w:before="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B50A9"/>
    <w:pPr>
      <w:spacing w:line="287" w:lineRule="auto"/>
      <w:jc w:val="center"/>
    </w:pPr>
    <w:rPr>
      <w:sz w:val="32"/>
      <w:szCs w:val="32"/>
    </w:rPr>
  </w:style>
  <w:style w:type="paragraph" w:customStyle="1" w:styleId="Title1">
    <w:name w:val="Title1"/>
    <w:basedOn w:val="Normal"/>
    <w:rsid w:val="00CB50A9"/>
    <w:pPr>
      <w:tabs>
        <w:tab w:val="left" w:pos="720"/>
        <w:tab w:val="left" w:pos="1440"/>
        <w:tab w:val="left" w:pos="2160"/>
      </w:tabs>
      <w:ind w:left="720" w:hanging="720"/>
    </w:pPr>
    <w:rPr>
      <w:b/>
      <w:bCs/>
      <w:sz w:val="24"/>
      <w:szCs w:val="24"/>
    </w:rPr>
  </w:style>
  <w:style w:type="paragraph" w:customStyle="1" w:styleId="Title2">
    <w:name w:val="Title2"/>
    <w:basedOn w:val="Title1"/>
    <w:semiHidden/>
    <w:rsid w:val="00CB50A9"/>
    <w:rPr>
      <w:sz w:val="20"/>
      <w:szCs w:val="20"/>
    </w:rPr>
  </w:style>
  <w:style w:type="paragraph" w:customStyle="1" w:styleId="Title3">
    <w:name w:val="Title3"/>
    <w:basedOn w:val="Title2"/>
    <w:semiHidden/>
    <w:rsid w:val="00CB50A9"/>
  </w:style>
  <w:style w:type="paragraph" w:customStyle="1" w:styleId="Title4">
    <w:name w:val="Title4"/>
    <w:basedOn w:val="Title2"/>
    <w:semiHidden/>
    <w:rsid w:val="00CB50A9"/>
  </w:style>
  <w:style w:type="paragraph" w:customStyle="1" w:styleId="Title5">
    <w:name w:val="Title5"/>
    <w:basedOn w:val="Title2"/>
    <w:semiHidden/>
    <w:rsid w:val="00CB50A9"/>
  </w:style>
  <w:style w:type="paragraph" w:customStyle="1" w:styleId="Title6">
    <w:name w:val="Title6"/>
    <w:basedOn w:val="Title2"/>
    <w:semiHidden/>
    <w:rsid w:val="00CB50A9"/>
  </w:style>
  <w:style w:type="paragraph" w:customStyle="1" w:styleId="upar1">
    <w:name w:val="upar1"/>
    <w:basedOn w:val="Normal"/>
    <w:link w:val="upar1Char"/>
    <w:rsid w:val="00CB50A9"/>
    <w:pPr>
      <w:tabs>
        <w:tab w:val="left" w:pos="720"/>
        <w:tab w:val="left" w:pos="1440"/>
      </w:tabs>
    </w:pPr>
  </w:style>
  <w:style w:type="paragraph" w:customStyle="1" w:styleId="upar2">
    <w:name w:val="upar2"/>
    <w:basedOn w:val="upar1"/>
    <w:rsid w:val="00CB50A9"/>
    <w:pPr>
      <w:ind w:left="720"/>
    </w:pPr>
  </w:style>
  <w:style w:type="paragraph" w:customStyle="1" w:styleId="upar3">
    <w:name w:val="upar3"/>
    <w:basedOn w:val="upar1"/>
    <w:rsid w:val="00CB50A9"/>
    <w:pPr>
      <w:ind w:left="1440"/>
    </w:pPr>
  </w:style>
  <w:style w:type="paragraph" w:customStyle="1" w:styleId="upar4">
    <w:name w:val="upar4"/>
    <w:basedOn w:val="upar1"/>
    <w:rsid w:val="00CB50A9"/>
    <w:pPr>
      <w:ind w:left="2160"/>
    </w:pPr>
  </w:style>
  <w:style w:type="paragraph" w:customStyle="1" w:styleId="upar5">
    <w:name w:val="upar5"/>
    <w:basedOn w:val="upar1"/>
    <w:rsid w:val="00CB50A9"/>
    <w:pPr>
      <w:ind w:left="2880"/>
    </w:pPr>
  </w:style>
  <w:style w:type="paragraph" w:customStyle="1" w:styleId="upar6">
    <w:name w:val="upar6"/>
    <w:basedOn w:val="upar1"/>
    <w:rsid w:val="00CB50A9"/>
    <w:pPr>
      <w:ind w:left="3600"/>
    </w:pPr>
  </w:style>
  <w:style w:type="paragraph" w:customStyle="1" w:styleId="upar7">
    <w:name w:val="upar7"/>
    <w:basedOn w:val="upar6"/>
    <w:semiHidden/>
    <w:rsid w:val="00CB50A9"/>
  </w:style>
  <w:style w:type="paragraph" w:customStyle="1" w:styleId="upar8">
    <w:name w:val="upar8"/>
    <w:basedOn w:val="upar6"/>
    <w:semiHidden/>
    <w:rsid w:val="00CB50A9"/>
  </w:style>
  <w:style w:type="paragraph" w:customStyle="1" w:styleId="upar9">
    <w:name w:val="upar9"/>
    <w:basedOn w:val="par6"/>
    <w:semiHidden/>
    <w:rsid w:val="00CB50A9"/>
  </w:style>
  <w:style w:type="character" w:customStyle="1" w:styleId="CommentTextChar">
    <w:name w:val="Comment Text Char"/>
    <w:semiHidden/>
    <w:locked/>
    <w:rsid w:val="00CF06FD"/>
    <w:rPr>
      <w:rFonts w:ascii="Arial" w:hAnsi="Arial" w:cs="Arial"/>
      <w:lang w:val="en-US" w:eastAsia="en-US" w:bidi="ar-SA"/>
    </w:rPr>
  </w:style>
  <w:style w:type="character" w:customStyle="1" w:styleId="ListNumber3Char">
    <w:name w:val="List Number 3 Char"/>
    <w:rsid w:val="00CF06FD"/>
    <w:rPr>
      <w:rFonts w:ascii="Arial" w:hAnsi="Arial" w:cs="Arial"/>
      <w:lang w:val="en-US" w:eastAsia="en-US" w:bidi="ar-SA"/>
    </w:rPr>
  </w:style>
  <w:style w:type="character" w:customStyle="1" w:styleId="Guide4-i">
    <w:name w:val="Guide 4 - i"/>
    <w:aliases w:val="ii,iii"/>
    <w:rsid w:val="00CB50A9"/>
    <w:rPr>
      <w:rFonts w:ascii="Arial" w:hAnsi="Arial"/>
      <w:color w:val="auto"/>
      <w:sz w:val="20"/>
      <w:u w:val="single"/>
    </w:rPr>
  </w:style>
  <w:style w:type="paragraph" w:customStyle="1" w:styleId="Guide1-ABC">
    <w:name w:val="Guide 1 - ABC"/>
    <w:basedOn w:val="Normal"/>
    <w:link w:val="Guide1-ABCCharChar"/>
    <w:rsid w:val="00840F42"/>
    <w:pPr>
      <w:numPr>
        <w:numId w:val="8"/>
      </w:numPr>
      <w:ind w:left="720" w:hanging="720"/>
    </w:pPr>
    <w:rPr>
      <w:b/>
      <w:sz w:val="24"/>
      <w:szCs w:val="24"/>
    </w:rPr>
  </w:style>
  <w:style w:type="paragraph" w:customStyle="1" w:styleId="Guide-123">
    <w:name w:val="Guide-123"/>
    <w:basedOn w:val="par2"/>
    <w:rsid w:val="00CB50A9"/>
    <w:rPr>
      <w:b/>
      <w:u w:val="single"/>
    </w:rPr>
  </w:style>
  <w:style w:type="paragraph" w:styleId="Revision">
    <w:name w:val="Revision"/>
    <w:hidden/>
    <w:uiPriority w:val="99"/>
    <w:semiHidden/>
    <w:rsid w:val="003A46A6"/>
    <w:rPr>
      <w:rFonts w:ascii="Arial" w:hAnsi="Arial" w:cs="Arial"/>
    </w:rPr>
  </w:style>
  <w:style w:type="paragraph" w:customStyle="1" w:styleId="Guide3-abcd">
    <w:name w:val="Guide 3 - abcd"/>
    <w:basedOn w:val="par3"/>
    <w:link w:val="Guide3-abcdChar"/>
    <w:rsid w:val="00CB50A9"/>
    <w:pPr>
      <w:ind w:left="720"/>
    </w:pPr>
    <w:rPr>
      <w:b/>
      <w:u w:val="single"/>
    </w:rPr>
  </w:style>
  <w:style w:type="paragraph" w:styleId="TOC1">
    <w:name w:val="toc 1"/>
    <w:aliases w:val="TOC 1 Guide"/>
    <w:basedOn w:val="Normal"/>
    <w:next w:val="Normal"/>
    <w:uiPriority w:val="39"/>
    <w:rsid w:val="007B58B7"/>
    <w:pPr>
      <w:spacing w:before="120" w:after="120"/>
      <w:ind w:left="720" w:hanging="720"/>
    </w:pPr>
    <w:rPr>
      <w:rFonts w:ascii="Arial Bold" w:hAnsi="Arial Bold" w:cs="Times New Roman"/>
      <w:b/>
      <w:bCs/>
      <w:caps/>
    </w:rPr>
  </w:style>
  <w:style w:type="paragraph" w:styleId="TOC2">
    <w:name w:val="toc 2"/>
    <w:aliases w:val="TOC 2 Guide"/>
    <w:basedOn w:val="Normal"/>
    <w:next w:val="Normal"/>
    <w:uiPriority w:val="39"/>
    <w:rsid w:val="007B58B7"/>
    <w:pPr>
      <w:spacing w:before="0"/>
      <w:ind w:left="1440" w:hanging="720"/>
    </w:pPr>
    <w:rPr>
      <w:rFonts w:cs="Times New Roman"/>
      <w:caps/>
    </w:rPr>
  </w:style>
  <w:style w:type="paragraph" w:styleId="TOC3">
    <w:name w:val="toc 3"/>
    <w:aliases w:val="TOC 3 Guide"/>
    <w:basedOn w:val="Normal"/>
    <w:next w:val="Normal"/>
    <w:uiPriority w:val="39"/>
    <w:rsid w:val="007B58B7"/>
    <w:pPr>
      <w:spacing w:before="0"/>
      <w:ind w:left="2160" w:hanging="720"/>
    </w:pPr>
    <w:rPr>
      <w:rFonts w:cs="Times New Roman"/>
      <w:iCs/>
    </w:rPr>
  </w:style>
  <w:style w:type="paragraph" w:customStyle="1" w:styleId="GuideCites">
    <w:name w:val="Guide Cites"/>
    <w:basedOn w:val="upar4"/>
    <w:link w:val="GuideCitesCharChar"/>
    <w:rsid w:val="003F35E4"/>
    <w:pPr>
      <w:tabs>
        <w:tab w:val="num" w:pos="360"/>
      </w:tabs>
      <w:spacing w:before="0"/>
      <w:ind w:left="0"/>
    </w:pPr>
  </w:style>
  <w:style w:type="paragraph" w:customStyle="1" w:styleId="Guide-Main">
    <w:name w:val="Guide - Main"/>
    <w:link w:val="Guide-MainChar"/>
    <w:rsid w:val="008C125E"/>
    <w:pPr>
      <w:spacing w:before="240"/>
    </w:pPr>
    <w:rPr>
      <w:rFonts w:ascii="Arial" w:hAnsi="Arial" w:cs="Arial"/>
    </w:rPr>
  </w:style>
  <w:style w:type="paragraph" w:customStyle="1" w:styleId="Guide2-123">
    <w:name w:val="Guide 2-123"/>
    <w:basedOn w:val="Normal"/>
    <w:link w:val="Guide2-123Char"/>
    <w:rsid w:val="00D32053"/>
    <w:rPr>
      <w:rFonts w:ascii="Arial Bold" w:hAnsi="Arial Bold"/>
      <w:b/>
      <w:caps/>
      <w:u w:val="single"/>
    </w:rPr>
  </w:style>
  <w:style w:type="character" w:customStyle="1" w:styleId="Guide2-1230">
    <w:name w:val="Guide2-123"/>
    <w:rsid w:val="00D32053"/>
    <w:rPr>
      <w:rFonts w:ascii="Arial Bold" w:hAnsi="Arial Bold" w:cs="Arial"/>
      <w:b/>
      <w:caps/>
      <w:sz w:val="20"/>
      <w:u w:val="single"/>
      <w:lang w:val="en-US" w:eastAsia="en-US" w:bidi="ar-SA"/>
    </w:rPr>
  </w:style>
  <w:style w:type="paragraph" w:styleId="TOC4">
    <w:name w:val="toc 4"/>
    <w:aliases w:val="TOC 4 Guide"/>
    <w:basedOn w:val="Normal"/>
    <w:next w:val="Normal"/>
    <w:uiPriority w:val="39"/>
    <w:rsid w:val="00594F48"/>
    <w:pPr>
      <w:spacing w:before="0"/>
      <w:ind w:left="2880" w:hanging="720"/>
    </w:pPr>
  </w:style>
  <w:style w:type="character" w:customStyle="1" w:styleId="TitleChar">
    <w:name w:val="Title Char"/>
    <w:link w:val="Title"/>
    <w:locked/>
    <w:rsid w:val="00692A63"/>
    <w:rPr>
      <w:rFonts w:ascii="Arial" w:hAnsi="Arial" w:cs="Arial"/>
      <w:sz w:val="32"/>
      <w:szCs w:val="32"/>
      <w:lang w:val="en-US" w:eastAsia="en-US" w:bidi="ar-SA"/>
    </w:rPr>
  </w:style>
  <w:style w:type="character" w:customStyle="1" w:styleId="Guide1-ABCCharChar">
    <w:name w:val="Guide 1 - ABC Char Char"/>
    <w:link w:val="Guide1-ABC"/>
    <w:locked/>
    <w:rsid w:val="00840F42"/>
    <w:rPr>
      <w:rFonts w:ascii="Arial" w:hAnsi="Arial" w:cs="Arial"/>
      <w:b/>
      <w:sz w:val="24"/>
      <w:szCs w:val="24"/>
    </w:rPr>
  </w:style>
  <w:style w:type="character" w:customStyle="1" w:styleId="Guide2-123Char">
    <w:name w:val="Guide 2-123 Char"/>
    <w:link w:val="Guide2-123"/>
    <w:locked/>
    <w:rsid w:val="00E268ED"/>
    <w:rPr>
      <w:rFonts w:ascii="Arial Bold" w:hAnsi="Arial Bold" w:cs="Arial"/>
      <w:b/>
      <w:caps/>
      <w:u w:val="single"/>
      <w:lang w:val="en-US" w:eastAsia="en-US" w:bidi="ar-SA"/>
    </w:rPr>
  </w:style>
  <w:style w:type="character" w:customStyle="1" w:styleId="Guide3-abcdChar">
    <w:name w:val="Guide 3 - abcd Char"/>
    <w:link w:val="Guide3-abcd"/>
    <w:locked/>
    <w:rsid w:val="00E268ED"/>
    <w:rPr>
      <w:rFonts w:ascii="Arial" w:hAnsi="Arial" w:cs="Arial"/>
      <w:b/>
      <w:u w:val="single"/>
      <w:lang w:val="en-US" w:eastAsia="en-US" w:bidi="ar-SA"/>
    </w:rPr>
  </w:style>
  <w:style w:type="character" w:customStyle="1" w:styleId="GuideCitesCharChar">
    <w:name w:val="Guide Cites Char Char"/>
    <w:link w:val="GuideCites"/>
    <w:locked/>
    <w:rsid w:val="00E268ED"/>
    <w:rPr>
      <w:rFonts w:ascii="Arial" w:hAnsi="Arial" w:cs="Arial"/>
      <w:lang w:val="en-US" w:eastAsia="en-US" w:bidi="ar-SA"/>
    </w:rPr>
  </w:style>
  <w:style w:type="paragraph" w:styleId="TOC5">
    <w:name w:val="toc 5"/>
    <w:basedOn w:val="Normal"/>
    <w:next w:val="Normal"/>
    <w:autoRedefine/>
    <w:uiPriority w:val="39"/>
    <w:rsid w:val="00103FAD"/>
    <w:pPr>
      <w:spacing w:before="0"/>
      <w:ind w:left="960"/>
    </w:pPr>
    <w:rPr>
      <w:rFonts w:ascii="Times New Roman" w:hAnsi="Times New Roman" w:cs="Times New Roman"/>
      <w:sz w:val="24"/>
      <w:szCs w:val="24"/>
    </w:rPr>
  </w:style>
  <w:style w:type="paragraph" w:styleId="TOC6">
    <w:name w:val="toc 6"/>
    <w:basedOn w:val="Normal"/>
    <w:next w:val="Normal"/>
    <w:autoRedefine/>
    <w:uiPriority w:val="39"/>
    <w:rsid w:val="00103FAD"/>
    <w:pPr>
      <w:spacing w:before="0"/>
      <w:ind w:left="1200"/>
    </w:pPr>
    <w:rPr>
      <w:rFonts w:ascii="Times New Roman" w:hAnsi="Times New Roman" w:cs="Times New Roman"/>
      <w:sz w:val="24"/>
      <w:szCs w:val="24"/>
    </w:rPr>
  </w:style>
  <w:style w:type="paragraph" w:styleId="TOC7">
    <w:name w:val="toc 7"/>
    <w:basedOn w:val="Normal"/>
    <w:next w:val="Normal"/>
    <w:autoRedefine/>
    <w:uiPriority w:val="39"/>
    <w:rsid w:val="00103FAD"/>
    <w:pPr>
      <w:spacing w:before="0"/>
      <w:ind w:left="1440"/>
    </w:pPr>
    <w:rPr>
      <w:rFonts w:ascii="Times New Roman" w:hAnsi="Times New Roman" w:cs="Times New Roman"/>
      <w:sz w:val="24"/>
      <w:szCs w:val="24"/>
    </w:rPr>
  </w:style>
  <w:style w:type="paragraph" w:styleId="TOC8">
    <w:name w:val="toc 8"/>
    <w:basedOn w:val="Normal"/>
    <w:next w:val="Normal"/>
    <w:autoRedefine/>
    <w:uiPriority w:val="39"/>
    <w:rsid w:val="00103FAD"/>
    <w:pPr>
      <w:spacing w:before="0"/>
      <w:ind w:left="1680"/>
    </w:pPr>
    <w:rPr>
      <w:rFonts w:ascii="Times New Roman" w:hAnsi="Times New Roman" w:cs="Times New Roman"/>
      <w:sz w:val="24"/>
      <w:szCs w:val="24"/>
    </w:rPr>
  </w:style>
  <w:style w:type="paragraph" w:styleId="TOC9">
    <w:name w:val="toc 9"/>
    <w:basedOn w:val="Normal"/>
    <w:next w:val="Normal"/>
    <w:autoRedefine/>
    <w:uiPriority w:val="39"/>
    <w:rsid w:val="00103FAD"/>
    <w:pPr>
      <w:spacing w:before="0"/>
      <w:ind w:left="1920"/>
    </w:pPr>
    <w:rPr>
      <w:rFonts w:ascii="Times New Roman" w:hAnsi="Times New Roman" w:cs="Times New Roman"/>
      <w:sz w:val="24"/>
      <w:szCs w:val="24"/>
    </w:rPr>
  </w:style>
  <w:style w:type="character" w:customStyle="1" w:styleId="guidecitescharchar0">
    <w:name w:val="guidecitescharchar"/>
    <w:rsid w:val="00720DDE"/>
    <w:rPr>
      <w:rFonts w:ascii="Arial" w:hAnsi="Arial" w:cs="Arial"/>
    </w:rPr>
  </w:style>
  <w:style w:type="character" w:customStyle="1" w:styleId="CommentTextChar1">
    <w:name w:val="Comment Text Char1"/>
    <w:link w:val="CommentText"/>
    <w:locked/>
    <w:rsid w:val="00711ACC"/>
    <w:rPr>
      <w:rFonts w:ascii="Arial" w:hAnsi="Arial" w:cs="Arial"/>
      <w:lang w:val="en-US" w:eastAsia="en-US" w:bidi="ar-SA"/>
    </w:rPr>
  </w:style>
  <w:style w:type="character" w:customStyle="1" w:styleId="upar1Char">
    <w:name w:val="upar1 Char"/>
    <w:link w:val="upar1"/>
    <w:locked/>
    <w:rsid w:val="00711ACC"/>
    <w:rPr>
      <w:rFonts w:ascii="Arial" w:hAnsi="Arial" w:cs="Arial"/>
      <w:lang w:val="en-US" w:eastAsia="en-US" w:bidi="ar-SA"/>
    </w:rPr>
  </w:style>
  <w:style w:type="character" w:customStyle="1" w:styleId="ListNumber4Char1">
    <w:name w:val="List Number 4 Char1"/>
    <w:link w:val="ListNumber4"/>
    <w:semiHidden/>
    <w:locked/>
    <w:rsid w:val="00DC10F4"/>
    <w:rPr>
      <w:rFonts w:ascii="Arial" w:hAnsi="Arial" w:cs="Arial"/>
    </w:rPr>
  </w:style>
  <w:style w:type="character" w:customStyle="1" w:styleId="ListNumberChar">
    <w:name w:val="List Number Char"/>
    <w:link w:val="ListNumber"/>
    <w:semiHidden/>
    <w:rsid w:val="008C125E"/>
    <w:rPr>
      <w:rFonts w:ascii="Arial" w:hAnsi="Arial" w:cs="Arial"/>
    </w:rPr>
  </w:style>
  <w:style w:type="character" w:customStyle="1" w:styleId="Guide-MainChar">
    <w:name w:val="Guide - Main Char"/>
    <w:link w:val="Guide-Main"/>
    <w:rsid w:val="008C125E"/>
    <w:rPr>
      <w:rFonts w:ascii="Arial" w:hAnsi="Arial" w:cs="Arial"/>
      <w:lang w:val="en-US" w:eastAsia="en-US" w:bidi="ar-SA"/>
    </w:rPr>
  </w:style>
  <w:style w:type="character" w:customStyle="1" w:styleId="ListNumber4Char">
    <w:name w:val="List Number 4 Char"/>
    <w:locked/>
    <w:rsid w:val="00FE7026"/>
    <w:rPr>
      <w:rFonts w:ascii="Arial" w:hAnsi="Arial" w:cs="Arial"/>
      <w:lang w:val="en-US" w:eastAsia="en-US" w:bidi="ar-SA"/>
    </w:rPr>
  </w:style>
  <w:style w:type="character" w:customStyle="1" w:styleId="ListNumber3Char1">
    <w:name w:val="List Number 3 Char1"/>
    <w:link w:val="ListNumber3"/>
    <w:semiHidden/>
    <w:rsid w:val="005412DF"/>
    <w:rPr>
      <w:rFonts w:ascii="Arial" w:hAnsi="Arial" w:cs="Arial"/>
    </w:rPr>
  </w:style>
  <w:style w:type="character" w:customStyle="1" w:styleId="CharChar">
    <w:name w:val="Char Char"/>
    <w:rsid w:val="000408B7"/>
    <w:rPr>
      <w:rFonts w:ascii="Arial" w:hAnsi="Arial" w:cs="Arial"/>
      <w:lang w:val="en-US" w:eastAsia="en-US" w:bidi="ar-SA"/>
    </w:rPr>
  </w:style>
  <w:style w:type="character" w:customStyle="1" w:styleId="CharChar2">
    <w:name w:val="Char Char2"/>
    <w:rsid w:val="000408B7"/>
    <w:rPr>
      <w:rFonts w:ascii="Arial" w:hAnsi="Arial" w:cs="Arial"/>
      <w:lang w:val="en-US" w:eastAsia="en-US" w:bidi="ar-SA"/>
    </w:rPr>
  </w:style>
  <w:style w:type="character" w:customStyle="1" w:styleId="CharChar4">
    <w:name w:val="Char Char4"/>
    <w:rsid w:val="000408B7"/>
    <w:rPr>
      <w:rFonts w:ascii="Arial" w:hAnsi="Arial" w:cs="Arial"/>
      <w:lang w:val="en-US" w:eastAsia="en-US" w:bidi="ar-SA"/>
    </w:rPr>
  </w:style>
  <w:style w:type="character" w:customStyle="1" w:styleId="Heading2Char">
    <w:name w:val="Heading 2 Char"/>
    <w:basedOn w:val="DefaultParagraphFont"/>
    <w:link w:val="Heading2"/>
    <w:rsid w:val="00A3204A"/>
    <w:rPr>
      <w:rFonts w:ascii="Arial" w:hAnsi="Arial" w:cs="Arial"/>
      <w:b/>
      <w:bCs/>
      <w:i/>
      <w:iCs/>
      <w:sz w:val="28"/>
      <w:szCs w:val="28"/>
    </w:rPr>
  </w:style>
  <w:style w:type="character" w:customStyle="1" w:styleId="BodyTextIndentChar">
    <w:name w:val="Body Text Indent Char"/>
    <w:basedOn w:val="DefaultParagraphFont"/>
    <w:link w:val="BodyTextIndent"/>
    <w:rsid w:val="00A3204A"/>
    <w:rPr>
      <w:rFonts w:ascii="Arial" w:hAnsi="Arial" w:cs="Arial"/>
      <w:i/>
      <w:iCs/>
      <w:sz w:val="28"/>
      <w:szCs w:val="28"/>
    </w:rPr>
  </w:style>
  <w:style w:type="paragraph" w:customStyle="1" w:styleId="Default">
    <w:name w:val="Default"/>
    <w:rsid w:val="00A3204A"/>
    <w:pPr>
      <w:widowControl w:val="0"/>
      <w:autoSpaceDE w:val="0"/>
      <w:autoSpaceDN w:val="0"/>
      <w:adjustRightInd w:val="0"/>
    </w:pPr>
    <w:rPr>
      <w:rFonts w:ascii="Arial" w:hAnsi="Arial" w:cs="Arial"/>
      <w:color w:val="000000"/>
      <w:sz w:val="24"/>
      <w:szCs w:val="24"/>
    </w:rPr>
  </w:style>
  <w:style w:type="character" w:customStyle="1" w:styleId="BalloonTextChar">
    <w:name w:val="Balloon Text Char"/>
    <w:basedOn w:val="DefaultParagraphFont"/>
    <w:link w:val="BalloonText"/>
    <w:semiHidden/>
    <w:rsid w:val="00A3204A"/>
    <w:rPr>
      <w:rFonts w:ascii="Tahoma" w:hAnsi="Tahoma" w:cs="Tahoma"/>
      <w:sz w:val="16"/>
      <w:szCs w:val="16"/>
    </w:rPr>
  </w:style>
  <w:style w:type="character" w:customStyle="1" w:styleId="FooterChar">
    <w:name w:val="Footer Char"/>
    <w:basedOn w:val="DefaultParagraphFont"/>
    <w:link w:val="Footer"/>
    <w:rsid w:val="00A3204A"/>
    <w:rPr>
      <w:rFonts w:ascii="Arial" w:hAnsi="Arial" w:cs="Arial"/>
    </w:rPr>
  </w:style>
  <w:style w:type="character" w:customStyle="1" w:styleId="HeaderChar">
    <w:name w:val="Header Char"/>
    <w:basedOn w:val="DefaultParagraphFont"/>
    <w:link w:val="Header"/>
    <w:rsid w:val="00A3204A"/>
    <w:rPr>
      <w:rFonts w:ascii="Arial" w:hAnsi="Arial" w:cs="Arial"/>
    </w:rPr>
  </w:style>
  <w:style w:type="character" w:customStyle="1" w:styleId="BodyTextChar">
    <w:name w:val="Body Text Char"/>
    <w:basedOn w:val="DefaultParagraphFont"/>
    <w:link w:val="BodyText"/>
    <w:rsid w:val="00A3204A"/>
    <w:rPr>
      <w:rFonts w:ascii="Arial" w:hAnsi="Arial" w:cs="Arial"/>
      <w:smallCaps/>
      <w:sz w:val="12"/>
      <w:szCs w:val="12"/>
    </w:rPr>
  </w:style>
  <w:style w:type="paragraph" w:customStyle="1" w:styleId="xl23">
    <w:name w:val="xl23"/>
    <w:basedOn w:val="Normal"/>
    <w:rsid w:val="00A3204A"/>
    <w:pPr>
      <w:spacing w:before="100" w:beforeAutospacing="1" w:after="100" w:afterAutospacing="1"/>
    </w:pPr>
    <w:rPr>
      <w:sz w:val="24"/>
      <w:szCs w:val="24"/>
    </w:rPr>
  </w:style>
  <w:style w:type="character" w:customStyle="1" w:styleId="apple-converted-space">
    <w:name w:val="apple-converted-space"/>
    <w:basedOn w:val="DefaultParagraphFont"/>
    <w:rsid w:val="00A32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853153">
      <w:bodyDiv w:val="1"/>
      <w:marLeft w:val="0"/>
      <w:marRight w:val="0"/>
      <w:marTop w:val="0"/>
      <w:marBottom w:val="0"/>
      <w:divBdr>
        <w:top w:val="none" w:sz="0" w:space="0" w:color="auto"/>
        <w:left w:val="none" w:sz="0" w:space="0" w:color="auto"/>
        <w:bottom w:val="none" w:sz="0" w:space="0" w:color="auto"/>
        <w:right w:val="none" w:sz="0" w:space="0" w:color="auto"/>
      </w:divBdr>
    </w:div>
    <w:div w:id="130554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neuro.psychiatryonline.org" TargetMode="External"/><Relationship Id="rId21" Type="http://schemas.openxmlformats.org/officeDocument/2006/relationships/hyperlink" Target="http://www.psychiatryonline.com" TargetMode="External"/><Relationship Id="rId42" Type="http://schemas.openxmlformats.org/officeDocument/2006/relationships/hyperlink" Target="http://www.neurology.org/content/55/10/1431.full.html" TargetMode="External"/><Relationship Id="rId47" Type="http://schemas.openxmlformats.org/officeDocument/2006/relationships/hyperlink" Target="http://www.archoto.com" TargetMode="External"/><Relationship Id="rId63" Type="http://schemas.openxmlformats.org/officeDocument/2006/relationships/hyperlink" Target="http://www.thecochranelibrary.com" TargetMode="External"/><Relationship Id="rId68" Type="http://schemas.openxmlformats.org/officeDocument/2006/relationships/hyperlink" Target="http://www.thecochranelibrary.com" TargetMode="External"/><Relationship Id="rId84" Type="http://schemas.openxmlformats.org/officeDocument/2006/relationships/hyperlink" Target="http://www.thecochranelibrary.com" TargetMode="External"/><Relationship Id="rId89" Type="http://schemas.openxmlformats.org/officeDocument/2006/relationships/hyperlink" Target="http://www.SIGN.AC.UK" TargetMode="External"/><Relationship Id="rId7" Type="http://schemas.openxmlformats.org/officeDocument/2006/relationships/footnotes" Target="footnotes.xml"/><Relationship Id="rId71" Type="http://schemas.openxmlformats.org/officeDocument/2006/relationships/hyperlink" Target="http://www.informahealthcare.com" TargetMode="External"/><Relationship Id="rId92" Type="http://schemas.openxmlformats.org/officeDocument/2006/relationships/hyperlink" Target="http://www.thecochranelibrary.com" TargetMode="Externa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www.thecochranelibrary.com" TargetMode="External"/><Relationship Id="rId11" Type="http://schemas.openxmlformats.org/officeDocument/2006/relationships/header" Target="header2.xml"/><Relationship Id="rId24" Type="http://schemas.openxmlformats.org/officeDocument/2006/relationships/hyperlink" Target="http://www.thecochranelibrary.com" TargetMode="External"/><Relationship Id="rId32" Type="http://schemas.openxmlformats.org/officeDocument/2006/relationships/hyperlink" Target="http://neuro.psychiatryonline.org" TargetMode="External"/><Relationship Id="rId37" Type="http://schemas.openxmlformats.org/officeDocument/2006/relationships/hyperlink" Target="http://www.thecochranelibrary.com" TargetMode="External"/><Relationship Id="rId40" Type="http://schemas.openxmlformats.org/officeDocument/2006/relationships/hyperlink" Target="http://www.dcoe.health.mil.ForHealthPros/TBIInformation.aspx" TargetMode="External"/><Relationship Id="rId45" Type="http://schemas.openxmlformats.org/officeDocument/2006/relationships/hyperlink" Target="http://www.biausa.org" TargetMode="External"/><Relationship Id="rId53" Type="http://schemas.openxmlformats.org/officeDocument/2006/relationships/hyperlink" Target="http://www.ajnr.org" TargetMode="External"/><Relationship Id="rId58" Type="http://schemas.openxmlformats.org/officeDocument/2006/relationships/hyperlink" Target="http://www.nejm.org" TargetMode="External"/><Relationship Id="rId66" Type="http://schemas.openxmlformats.org/officeDocument/2006/relationships/hyperlink" Target="http://www.clinicalevidence.bmj.com" TargetMode="External"/><Relationship Id="rId74" Type="http://schemas.openxmlformats.org/officeDocument/2006/relationships/hyperlink" Target="http://www.jama.com" TargetMode="External"/><Relationship Id="rId79" Type="http://schemas.openxmlformats.org/officeDocument/2006/relationships/hyperlink" Target="http://www.psychiatryonline.com" TargetMode="External"/><Relationship Id="rId87" Type="http://schemas.openxmlformats.org/officeDocument/2006/relationships/hyperlink" Target="http://www.thecochranelibrary.com" TargetMode="External"/><Relationship Id="rId102"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jcbfm.com" TargetMode="External"/><Relationship Id="rId82" Type="http://schemas.openxmlformats.org/officeDocument/2006/relationships/hyperlink" Target="http://www.thelancet.com" TargetMode="External"/><Relationship Id="rId90" Type="http://schemas.openxmlformats.org/officeDocument/2006/relationships/hyperlink" Target="http://www.neurology.org/content/67/5/748.full.html" TargetMode="External"/><Relationship Id="rId95" Type="http://schemas.openxmlformats.org/officeDocument/2006/relationships/hyperlink" Target="http://www.thecochranelibrary.com" TargetMode="External"/><Relationship Id="rId19" Type="http://schemas.openxmlformats.org/officeDocument/2006/relationships/hyperlink" Target="http://www.thecochranelibrary.com" TargetMode="External"/><Relationship Id="rId14" Type="http://schemas.openxmlformats.org/officeDocument/2006/relationships/header" Target="header5.xml"/><Relationship Id="rId22" Type="http://schemas.openxmlformats.org/officeDocument/2006/relationships/hyperlink" Target="http://www.trialsjournal.com/content/12/1/8" TargetMode="External"/><Relationship Id="rId27" Type="http://schemas.openxmlformats.org/officeDocument/2006/relationships/hyperlink" Target="http://www.thecochranelibrary.com" TargetMode="External"/><Relationship Id="rId30" Type="http://schemas.openxmlformats.org/officeDocument/2006/relationships/hyperlink" Target="http://www.nejm.org" TargetMode="External"/><Relationship Id="rId35" Type="http://schemas.openxmlformats.org/officeDocument/2006/relationships/hyperlink" Target="http://ccmcertification.org/case-managers/professional-case-manger" TargetMode="External"/><Relationship Id="rId43" Type="http://schemas.openxmlformats.org/officeDocument/2006/relationships/hyperlink" Target="http://www.mdconsult.com" TargetMode="External"/><Relationship Id="rId48" Type="http://schemas.openxmlformats.org/officeDocument/2006/relationships/hyperlink" Target="http://www.archoto.com" TargetMode="External"/><Relationship Id="rId56" Type="http://schemas.openxmlformats.org/officeDocument/2006/relationships/hyperlink" Target="http://cre.sagepu.com/content/early2011/11/11/0269215511426017" TargetMode="External"/><Relationship Id="rId64" Type="http://schemas.openxmlformats.org/officeDocument/2006/relationships/hyperlink" Target="http://www.thecochranelibrary.com" TargetMode="External"/><Relationship Id="rId69" Type="http://schemas.openxmlformats.org/officeDocument/2006/relationships/hyperlink" Target="http://www.psychaitryonline.com" TargetMode="External"/><Relationship Id="rId77" Type="http://schemas.openxmlformats.org/officeDocument/2006/relationships/hyperlink" Target="http://www.mocatest.org" TargetMode="External"/><Relationship Id="rId100" Type="http://schemas.openxmlformats.org/officeDocument/2006/relationships/hyperlink" Target="http://www.thecochranelibrary.com" TargetMode="External"/><Relationship Id="rId8" Type="http://schemas.openxmlformats.org/officeDocument/2006/relationships/endnotes" Target="endnotes.xml"/><Relationship Id="rId51" Type="http://schemas.openxmlformats.org/officeDocument/2006/relationships/hyperlink" Target="http://www.nejm.org" TargetMode="External"/><Relationship Id="rId72" Type="http://schemas.openxmlformats.org/officeDocument/2006/relationships/hyperlink" Target="http://www.thelancet.com/neurology" TargetMode="External"/><Relationship Id="rId80" Type="http://schemas.openxmlformats.org/officeDocument/2006/relationships/hyperlink" Target="http://www.thecochranelibrary.com" TargetMode="External"/><Relationship Id="rId85" Type="http://schemas.openxmlformats.org/officeDocument/2006/relationships/hyperlink" Target="http://www.thecochranelibrary.com" TargetMode="External"/><Relationship Id="rId93" Type="http://schemas.openxmlformats.org/officeDocument/2006/relationships/hyperlink" Target="http://www.archoto.com" TargetMode="External"/><Relationship Id="rId98" Type="http://schemas.openxmlformats.org/officeDocument/2006/relationships/hyperlink" Target="http://www.headtraumarehab.com"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20http://thecochranelibrary.com" TargetMode="External"/><Relationship Id="rId33" Type="http://schemas.openxmlformats.org/officeDocument/2006/relationships/hyperlink" Target="mailto:hcohen@bem.tmc.edu" TargetMode="External"/><Relationship Id="rId38" Type="http://schemas.openxmlformats.org/officeDocument/2006/relationships/hyperlink" Target="http://www.dcoe.health.mil.ForHealthPros/TBIInformation.aspx" TargetMode="External"/><Relationship Id="rId46" Type="http://schemas.openxmlformats.org/officeDocument/2006/relationships/hyperlink" Target="mailto:galclare@gmail.com" TargetMode="External"/><Relationship Id="rId59" Type="http://schemas.openxmlformats.org/officeDocument/2006/relationships/hyperlink" Target="http://www.neurology.org" TargetMode="External"/><Relationship Id="rId67" Type="http://schemas.openxmlformats.org/officeDocument/2006/relationships/hyperlink" Target="http://www.thecochranelibrary.com" TargetMode="External"/><Relationship Id="rId103" Type="http://schemas.openxmlformats.org/officeDocument/2006/relationships/theme" Target="theme/theme1.xml"/><Relationship Id="rId20" Type="http://schemas.openxmlformats.org/officeDocument/2006/relationships/hyperlink" Target="http://www.ama-assn.org/ama/pub/news/news/older-driver-safety.page" TargetMode="External"/><Relationship Id="rId41" Type="http://schemas.openxmlformats.org/officeDocument/2006/relationships/hyperlink" Target="http://www.laryngoscope.com" TargetMode="External"/><Relationship Id="rId54" Type="http://schemas.openxmlformats.org/officeDocument/2006/relationships/hyperlink" Target="http://www.thecochranelibrary.com" TargetMode="External"/><Relationship Id="rId62" Type="http://schemas.openxmlformats.org/officeDocument/2006/relationships/hyperlink" Target="http://www.psychiatryonline.com" TargetMode="External"/><Relationship Id="rId70" Type="http://schemas.openxmlformats.org/officeDocument/2006/relationships/hyperlink" Target="http://www.jama.ama-assn.org" TargetMode="External"/><Relationship Id="rId75" Type="http://schemas.openxmlformats.org/officeDocument/2006/relationships/hyperlink" Target="http://www.JAMA.com" TargetMode="External"/><Relationship Id="rId83" Type="http://schemas.openxmlformats.org/officeDocument/2006/relationships/hyperlink" Target="http://www.nejm.org" TargetMode="External"/><Relationship Id="rId88" Type="http://schemas.openxmlformats.org/officeDocument/2006/relationships/hyperlink" Target="http://www.SIGN.AC.UK" TargetMode="External"/><Relationship Id="rId91" Type="http://schemas.openxmlformats.org/officeDocument/2006/relationships/hyperlink" Target="http://www.psychiatryonline.com" TargetMode="External"/><Relationship Id="rId96" Type="http://schemas.openxmlformats.org/officeDocument/2006/relationships/hyperlink" Target="http://www.psychiatryonline.co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thecochranelibrary.com" TargetMode="External"/><Relationship Id="rId28" Type="http://schemas.openxmlformats.org/officeDocument/2006/relationships/hyperlink" Target="http://www.biausa.org" TargetMode="External"/><Relationship Id="rId36" Type="http://schemas.openxmlformats.org/officeDocument/2006/relationships/hyperlink" Target="http://www.nejm.org" TargetMode="External"/><Relationship Id="rId49" Type="http://schemas.openxmlformats.org/officeDocument/2006/relationships/hyperlink" Target="http://www.nejm.org" TargetMode="External"/><Relationship Id="rId57" Type="http://schemas.openxmlformats.org/officeDocument/2006/relationships/hyperlink" Target="http://www.psychiatryonline.com" TargetMode="External"/><Relationship Id="rId10" Type="http://schemas.openxmlformats.org/officeDocument/2006/relationships/header" Target="header1.xml"/><Relationship Id="rId31" Type="http://schemas.openxmlformats.org/officeDocument/2006/relationships/hyperlink" Target="http://www.thelancet.com/neurology" TargetMode="External"/><Relationship Id="rId44" Type="http://schemas.openxmlformats.org/officeDocument/2006/relationships/hyperlink" Target="http://www.thecochranelibrary.com" TargetMode="External"/><Relationship Id="rId52" Type="http://schemas.openxmlformats.org/officeDocument/2006/relationships/hyperlink" Target="http://www.jnnp.com" TargetMode="External"/><Relationship Id="rId60" Type="http://schemas.openxmlformats.org/officeDocument/2006/relationships/hyperlink" Target="http://www.headtraumarehab.com" TargetMode="External"/><Relationship Id="rId65" Type="http://schemas.openxmlformats.org/officeDocument/2006/relationships/hyperlink" Target="http://www.nap.edu/catalog.php?record_id=13220" TargetMode="External"/><Relationship Id="rId73" Type="http://schemas.openxmlformats.org/officeDocument/2006/relationships/hyperlink" Target="http://www.nata.org/jat" TargetMode="External"/><Relationship Id="rId78" Type="http://schemas.openxmlformats.org/officeDocument/2006/relationships/hyperlink" Target="http://www.nice.org.uk" TargetMode="External"/><Relationship Id="rId81" Type="http://schemas.openxmlformats.org/officeDocument/2006/relationships/hyperlink" Target="http://www.thecochranelibrary.com" TargetMode="External"/><Relationship Id="rId86" Type="http://schemas.openxmlformats.org/officeDocument/2006/relationships/hyperlink" Target="http://www.JAMA.com" TargetMode="External"/><Relationship Id="rId94" Type="http://schemas.openxmlformats.org/officeDocument/2006/relationships/hyperlink" Target="http://www.implementationscience.com/content/6/1/99" TargetMode="External"/><Relationship Id="rId99" Type="http://schemas.openxmlformats.org/officeDocument/2006/relationships/hyperlink" Target="http://www.thecochranelibrary.com" TargetMode="External"/><Relationship Id="rId101" Type="http://schemas.openxmlformats.org/officeDocument/2006/relationships/hyperlink" Target="http://www.thecochranelibrary.com"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yperlink" Target="2012%20TBI%20Guideline%20Draft-Post%20Advisory%20Panel.doc" TargetMode="External"/><Relationship Id="rId39" Type="http://schemas.openxmlformats.org/officeDocument/2006/relationships/hyperlink" Target="http://www.dcoe.health.mil.ForHealthPros/TBIInformation.aspx" TargetMode="External"/><Relationship Id="rId34" Type="http://schemas.openxmlformats.org/officeDocument/2006/relationships/hyperlink" Target="mailto:hcohen@bem.tmc.edu" TargetMode="External"/><Relationship Id="rId50" Type="http://schemas.openxmlformats.org/officeDocument/2006/relationships/hyperlink" Target="http://www.nejm.org" TargetMode="External"/><Relationship Id="rId55" Type="http://schemas.openxmlformats.org/officeDocument/2006/relationships/hyperlink" Target="http://www.bjsportmed.com" TargetMode="External"/><Relationship Id="rId76" Type="http://schemas.openxmlformats.org/officeDocument/2006/relationships/hyperlink" Target="http://www.nejm.org" TargetMode="External"/><Relationship Id="rId97" Type="http://schemas.openxmlformats.org/officeDocument/2006/relationships/hyperlink" Target="http://www.thecochranelibr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AB6123E-7E67-4EBD-B91B-BCCD1A67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170</Pages>
  <Words>67984</Words>
  <Characters>449107</Characters>
  <Application>Microsoft Office Word</Application>
  <DocSecurity>0</DocSecurity>
  <Lines>3742</Lines>
  <Paragraphs>1032</Paragraphs>
  <ScaleCrop>false</ScaleCrop>
  <HeadingPairs>
    <vt:vector size="2" baseType="variant">
      <vt:variant>
        <vt:lpstr>Title</vt:lpstr>
      </vt:variant>
      <vt:variant>
        <vt:i4>1</vt:i4>
      </vt:variant>
    </vt:vector>
  </HeadingPairs>
  <TitlesOfParts>
    <vt:vector size="1" baseType="lpstr">
      <vt:lpstr>06/07/12 – Post Task Force Draft</vt:lpstr>
    </vt:vector>
  </TitlesOfParts>
  <Company>CDLE</Company>
  <LinksUpToDate>false</LinksUpToDate>
  <CharactersWithSpaces>516059</CharactersWithSpaces>
  <SharedDoc>false</SharedDoc>
  <HLinks>
    <vt:vector size="2094" baseType="variant">
      <vt:variant>
        <vt:i4>589853</vt:i4>
      </vt:variant>
      <vt:variant>
        <vt:i4>1926</vt:i4>
      </vt:variant>
      <vt:variant>
        <vt:i4>0</vt:i4>
      </vt:variant>
      <vt:variant>
        <vt:i4>5</vt:i4>
      </vt:variant>
      <vt:variant>
        <vt:lpwstr/>
      </vt:variant>
      <vt:variant>
        <vt:lpwstr>TBIKNonOp</vt:lpwstr>
      </vt:variant>
      <vt:variant>
        <vt:i4>524317</vt:i4>
      </vt:variant>
      <vt:variant>
        <vt:i4>1923</vt:i4>
      </vt:variant>
      <vt:variant>
        <vt:i4>0</vt:i4>
      </vt:variant>
      <vt:variant>
        <vt:i4>5</vt:i4>
      </vt:variant>
      <vt:variant>
        <vt:lpwstr/>
      </vt:variant>
      <vt:variant>
        <vt:lpwstr>TBIJNonOp</vt:lpwstr>
      </vt:variant>
      <vt:variant>
        <vt:i4>720925</vt:i4>
      </vt:variant>
      <vt:variant>
        <vt:i4>1920</vt:i4>
      </vt:variant>
      <vt:variant>
        <vt:i4>0</vt:i4>
      </vt:variant>
      <vt:variant>
        <vt:i4>5</vt:i4>
      </vt:variant>
      <vt:variant>
        <vt:lpwstr/>
      </vt:variant>
      <vt:variant>
        <vt:lpwstr>TBIINonOp</vt:lpwstr>
      </vt:variant>
      <vt:variant>
        <vt:i4>655389</vt:i4>
      </vt:variant>
      <vt:variant>
        <vt:i4>1917</vt:i4>
      </vt:variant>
      <vt:variant>
        <vt:i4>0</vt:i4>
      </vt:variant>
      <vt:variant>
        <vt:i4>5</vt:i4>
      </vt:variant>
      <vt:variant>
        <vt:lpwstr/>
      </vt:variant>
      <vt:variant>
        <vt:lpwstr>TBIHNonOp</vt:lpwstr>
      </vt:variant>
      <vt:variant>
        <vt:i4>6881387</vt:i4>
      </vt:variant>
      <vt:variant>
        <vt:i4>1914</vt:i4>
      </vt:variant>
      <vt:variant>
        <vt:i4>0</vt:i4>
      </vt:variant>
      <vt:variant>
        <vt:i4>5</vt:i4>
      </vt:variant>
      <vt:variant>
        <vt:lpwstr/>
      </vt:variant>
      <vt:variant>
        <vt:lpwstr>TBIGTherapeuticProceduresNonOp</vt:lpwstr>
      </vt:variant>
      <vt:variant>
        <vt:i4>4259923</vt:i4>
      </vt:variant>
      <vt:variant>
        <vt:i4>1911</vt:i4>
      </vt:variant>
      <vt:variant>
        <vt:i4>0</vt:i4>
      </vt:variant>
      <vt:variant>
        <vt:i4>5</vt:i4>
      </vt:variant>
      <vt:variant>
        <vt:lpwstr/>
      </vt:variant>
      <vt:variant>
        <vt:lpwstr>TBIG11iSLPorLongTermCare</vt:lpwstr>
      </vt:variant>
      <vt:variant>
        <vt:i4>5832777</vt:i4>
      </vt:variant>
      <vt:variant>
        <vt:i4>1908</vt:i4>
      </vt:variant>
      <vt:variant>
        <vt:i4>0</vt:i4>
      </vt:variant>
      <vt:variant>
        <vt:i4>5</vt:i4>
      </vt:variant>
      <vt:variant>
        <vt:lpwstr/>
      </vt:variant>
      <vt:variant>
        <vt:lpwstr>TBIG11dNursingCareFacilities</vt:lpwstr>
      </vt:variant>
      <vt:variant>
        <vt:i4>1966170</vt:i4>
      </vt:variant>
      <vt:variant>
        <vt:i4>1905</vt:i4>
      </vt:variant>
      <vt:variant>
        <vt:i4>0</vt:i4>
      </vt:variant>
      <vt:variant>
        <vt:i4>5</vt:i4>
      </vt:variant>
      <vt:variant>
        <vt:lpwstr/>
      </vt:variant>
      <vt:variant>
        <vt:lpwstr>TBIC6CourseOfRecovery</vt:lpwstr>
      </vt:variant>
      <vt:variant>
        <vt:i4>1310763</vt:i4>
      </vt:variant>
      <vt:variant>
        <vt:i4>1902</vt:i4>
      </vt:variant>
      <vt:variant>
        <vt:i4>0</vt:i4>
      </vt:variant>
      <vt:variant>
        <vt:i4>5</vt:i4>
      </vt:variant>
      <vt:variant>
        <vt:lpwstr>C:\Documents and Settings\qwcu773\My Documents\Downloads\2012 TBI Guideline Draft-Post Advisory Panel.doc</vt:lpwstr>
      </vt:variant>
      <vt:variant>
        <vt:lpwstr/>
      </vt:variant>
      <vt:variant>
        <vt:i4>3801145</vt:i4>
      </vt:variant>
      <vt:variant>
        <vt:i4>1899</vt:i4>
      </vt:variant>
      <vt:variant>
        <vt:i4>0</vt:i4>
      </vt:variant>
      <vt:variant>
        <vt:i4>5</vt:i4>
      </vt:variant>
      <vt:variant>
        <vt:lpwstr/>
      </vt:variant>
      <vt:variant>
        <vt:lpwstr>TBIC10bSecondaryPrevention</vt:lpwstr>
      </vt:variant>
      <vt:variant>
        <vt:i4>7274548</vt:i4>
      </vt:variant>
      <vt:variant>
        <vt:i4>1896</vt:i4>
      </vt:variant>
      <vt:variant>
        <vt:i4>0</vt:i4>
      </vt:variant>
      <vt:variant>
        <vt:i4>5</vt:i4>
      </vt:variant>
      <vt:variant>
        <vt:lpwstr/>
      </vt:variant>
      <vt:variant>
        <vt:lpwstr>TBIG3Cognition</vt:lpwstr>
      </vt:variant>
      <vt:variant>
        <vt:i4>7208996</vt:i4>
      </vt:variant>
      <vt:variant>
        <vt:i4>1893</vt:i4>
      </vt:variant>
      <vt:variant>
        <vt:i4>0</vt:i4>
      </vt:variant>
      <vt:variant>
        <vt:i4>5</vt:i4>
      </vt:variant>
      <vt:variant>
        <vt:lpwstr/>
      </vt:variant>
      <vt:variant>
        <vt:lpwstr>TBIL7bTympanostomy</vt:lpwstr>
      </vt:variant>
      <vt:variant>
        <vt:i4>327752</vt:i4>
      </vt:variant>
      <vt:variant>
        <vt:i4>1890</vt:i4>
      </vt:variant>
      <vt:variant>
        <vt:i4>0</vt:i4>
      </vt:variant>
      <vt:variant>
        <vt:i4>5</vt:i4>
      </vt:variant>
      <vt:variant>
        <vt:lpwstr/>
      </vt:variant>
      <vt:variant>
        <vt:lpwstr>TBIG7Headache</vt:lpwstr>
      </vt:variant>
      <vt:variant>
        <vt:i4>6357049</vt:i4>
      </vt:variant>
      <vt:variant>
        <vt:i4>1887</vt:i4>
      </vt:variant>
      <vt:variant>
        <vt:i4>0</vt:i4>
      </vt:variant>
      <vt:variant>
        <vt:i4>5</vt:i4>
      </vt:variant>
      <vt:variant>
        <vt:lpwstr/>
      </vt:variant>
      <vt:variant>
        <vt:lpwstr>TBIJ2fivBenignPositionalVertigo</vt:lpwstr>
      </vt:variant>
      <vt:variant>
        <vt:i4>7274548</vt:i4>
      </vt:variant>
      <vt:variant>
        <vt:i4>1884</vt:i4>
      </vt:variant>
      <vt:variant>
        <vt:i4>0</vt:i4>
      </vt:variant>
      <vt:variant>
        <vt:i4>5</vt:i4>
      </vt:variant>
      <vt:variant>
        <vt:lpwstr/>
      </vt:variant>
      <vt:variant>
        <vt:lpwstr>TBIG3Cognition</vt:lpwstr>
      </vt:variant>
      <vt:variant>
        <vt:i4>458829</vt:i4>
      </vt:variant>
      <vt:variant>
        <vt:i4>1881</vt:i4>
      </vt:variant>
      <vt:variant>
        <vt:i4>0</vt:i4>
      </vt:variant>
      <vt:variant>
        <vt:i4>5</vt:i4>
      </vt:variant>
      <vt:variant>
        <vt:lpwstr/>
      </vt:variant>
      <vt:variant>
        <vt:lpwstr>TBIJ2fVestibularRehab</vt:lpwstr>
      </vt:variant>
      <vt:variant>
        <vt:i4>327752</vt:i4>
      </vt:variant>
      <vt:variant>
        <vt:i4>1878</vt:i4>
      </vt:variant>
      <vt:variant>
        <vt:i4>0</vt:i4>
      </vt:variant>
      <vt:variant>
        <vt:i4>5</vt:i4>
      </vt:variant>
      <vt:variant>
        <vt:lpwstr/>
      </vt:variant>
      <vt:variant>
        <vt:lpwstr>TBIG7Headache</vt:lpwstr>
      </vt:variant>
      <vt:variant>
        <vt:i4>65603</vt:i4>
      </vt:variant>
      <vt:variant>
        <vt:i4>1875</vt:i4>
      </vt:variant>
      <vt:variant>
        <vt:i4>0</vt:i4>
      </vt:variant>
      <vt:variant>
        <vt:i4>5</vt:i4>
      </vt:variant>
      <vt:variant>
        <vt:lpwstr/>
      </vt:variant>
      <vt:variant>
        <vt:lpwstr>TBIG8TherapeuticExercise</vt:lpwstr>
      </vt:variant>
      <vt:variant>
        <vt:i4>6881387</vt:i4>
      </vt:variant>
      <vt:variant>
        <vt:i4>1872</vt:i4>
      </vt:variant>
      <vt:variant>
        <vt:i4>0</vt:i4>
      </vt:variant>
      <vt:variant>
        <vt:i4>5</vt:i4>
      </vt:variant>
      <vt:variant>
        <vt:lpwstr/>
      </vt:variant>
      <vt:variant>
        <vt:lpwstr>TBIGTherapeuticProceduresNonOp</vt:lpwstr>
      </vt:variant>
      <vt:variant>
        <vt:i4>786513</vt:i4>
      </vt:variant>
      <vt:variant>
        <vt:i4>1869</vt:i4>
      </vt:variant>
      <vt:variant>
        <vt:i4>0</vt:i4>
      </vt:variant>
      <vt:variant>
        <vt:i4>5</vt:i4>
      </vt:variant>
      <vt:variant>
        <vt:lpwstr/>
      </vt:variant>
      <vt:variant>
        <vt:lpwstr>TBIK2ReturnToWork</vt:lpwstr>
      </vt:variant>
      <vt:variant>
        <vt:i4>786513</vt:i4>
      </vt:variant>
      <vt:variant>
        <vt:i4>1866</vt:i4>
      </vt:variant>
      <vt:variant>
        <vt:i4>0</vt:i4>
      </vt:variant>
      <vt:variant>
        <vt:i4>5</vt:i4>
      </vt:variant>
      <vt:variant>
        <vt:lpwstr/>
      </vt:variant>
      <vt:variant>
        <vt:lpwstr>TBIK2ReturnToWork</vt:lpwstr>
      </vt:variant>
      <vt:variant>
        <vt:i4>589853</vt:i4>
      </vt:variant>
      <vt:variant>
        <vt:i4>1863</vt:i4>
      </vt:variant>
      <vt:variant>
        <vt:i4>0</vt:i4>
      </vt:variant>
      <vt:variant>
        <vt:i4>5</vt:i4>
      </vt:variant>
      <vt:variant>
        <vt:lpwstr/>
      </vt:variant>
      <vt:variant>
        <vt:lpwstr>TBIKNonOp</vt:lpwstr>
      </vt:variant>
      <vt:variant>
        <vt:i4>524317</vt:i4>
      </vt:variant>
      <vt:variant>
        <vt:i4>1860</vt:i4>
      </vt:variant>
      <vt:variant>
        <vt:i4>0</vt:i4>
      </vt:variant>
      <vt:variant>
        <vt:i4>5</vt:i4>
      </vt:variant>
      <vt:variant>
        <vt:lpwstr/>
      </vt:variant>
      <vt:variant>
        <vt:lpwstr>TBIJNonOp</vt:lpwstr>
      </vt:variant>
      <vt:variant>
        <vt:i4>720925</vt:i4>
      </vt:variant>
      <vt:variant>
        <vt:i4>1857</vt:i4>
      </vt:variant>
      <vt:variant>
        <vt:i4>0</vt:i4>
      </vt:variant>
      <vt:variant>
        <vt:i4>5</vt:i4>
      </vt:variant>
      <vt:variant>
        <vt:lpwstr/>
      </vt:variant>
      <vt:variant>
        <vt:lpwstr>TBIINonOp</vt:lpwstr>
      </vt:variant>
      <vt:variant>
        <vt:i4>655389</vt:i4>
      </vt:variant>
      <vt:variant>
        <vt:i4>1854</vt:i4>
      </vt:variant>
      <vt:variant>
        <vt:i4>0</vt:i4>
      </vt:variant>
      <vt:variant>
        <vt:i4>5</vt:i4>
      </vt:variant>
      <vt:variant>
        <vt:lpwstr/>
      </vt:variant>
      <vt:variant>
        <vt:lpwstr>TBIHNonOp</vt:lpwstr>
      </vt:variant>
      <vt:variant>
        <vt:i4>6881387</vt:i4>
      </vt:variant>
      <vt:variant>
        <vt:i4>1851</vt:i4>
      </vt:variant>
      <vt:variant>
        <vt:i4>0</vt:i4>
      </vt:variant>
      <vt:variant>
        <vt:i4>5</vt:i4>
      </vt:variant>
      <vt:variant>
        <vt:lpwstr/>
      </vt:variant>
      <vt:variant>
        <vt:lpwstr>TBIGTherapeuticProceduresNonOp</vt:lpwstr>
      </vt:variant>
      <vt:variant>
        <vt:i4>7077920</vt:i4>
      </vt:variant>
      <vt:variant>
        <vt:i4>1848</vt:i4>
      </vt:variant>
      <vt:variant>
        <vt:i4>0</vt:i4>
      </vt:variant>
      <vt:variant>
        <vt:i4>5</vt:i4>
      </vt:variant>
      <vt:variant>
        <vt:lpwstr/>
      </vt:variant>
      <vt:variant>
        <vt:lpwstr>TBIC5Disability</vt:lpwstr>
      </vt:variant>
      <vt:variant>
        <vt:i4>458837</vt:i4>
      </vt:variant>
      <vt:variant>
        <vt:i4>1845</vt:i4>
      </vt:variant>
      <vt:variant>
        <vt:i4>0</vt:i4>
      </vt:variant>
      <vt:variant>
        <vt:i4>5</vt:i4>
      </vt:variant>
      <vt:variant>
        <vt:lpwstr/>
      </vt:variant>
      <vt:variant>
        <vt:lpwstr>TBIG9DisturbancesOfSleep</vt:lpwstr>
      </vt:variant>
      <vt:variant>
        <vt:i4>8192042</vt:i4>
      </vt:variant>
      <vt:variant>
        <vt:i4>1842</vt:i4>
      </vt:variant>
      <vt:variant>
        <vt:i4>0</vt:i4>
      </vt:variant>
      <vt:variant>
        <vt:i4>5</vt:i4>
      </vt:variant>
      <vt:variant>
        <vt:lpwstr/>
      </vt:variant>
      <vt:variant>
        <vt:lpwstr>TBII6MuscleToneJointRestrictionMngt</vt:lpwstr>
      </vt:variant>
      <vt:variant>
        <vt:i4>458837</vt:i4>
      </vt:variant>
      <vt:variant>
        <vt:i4>1839</vt:i4>
      </vt:variant>
      <vt:variant>
        <vt:i4>0</vt:i4>
      </vt:variant>
      <vt:variant>
        <vt:i4>5</vt:i4>
      </vt:variant>
      <vt:variant>
        <vt:lpwstr/>
      </vt:variant>
      <vt:variant>
        <vt:lpwstr>TBIG9DisturbancesOfSleep</vt:lpwstr>
      </vt:variant>
      <vt:variant>
        <vt:i4>327752</vt:i4>
      </vt:variant>
      <vt:variant>
        <vt:i4>1836</vt:i4>
      </vt:variant>
      <vt:variant>
        <vt:i4>0</vt:i4>
      </vt:variant>
      <vt:variant>
        <vt:i4>5</vt:i4>
      </vt:variant>
      <vt:variant>
        <vt:lpwstr/>
      </vt:variant>
      <vt:variant>
        <vt:lpwstr>TBIG7Headache</vt:lpwstr>
      </vt:variant>
      <vt:variant>
        <vt:i4>7667757</vt:i4>
      </vt:variant>
      <vt:variant>
        <vt:i4>1833</vt:i4>
      </vt:variant>
      <vt:variant>
        <vt:i4>0</vt:i4>
      </vt:variant>
      <vt:variant>
        <vt:i4>5</vt:i4>
      </vt:variant>
      <vt:variant>
        <vt:lpwstr/>
      </vt:variant>
      <vt:variant>
        <vt:lpwstr>TBIF4Medication</vt:lpwstr>
      </vt:variant>
      <vt:variant>
        <vt:i4>1310802</vt:i4>
      </vt:variant>
      <vt:variant>
        <vt:i4>1830</vt:i4>
      </vt:variant>
      <vt:variant>
        <vt:i4>0</vt:i4>
      </vt:variant>
      <vt:variant>
        <vt:i4>5</vt:i4>
      </vt:variant>
      <vt:variant>
        <vt:lpwstr/>
      </vt:variant>
      <vt:variant>
        <vt:lpwstr>TBIJ4Communicaton</vt:lpwstr>
      </vt:variant>
      <vt:variant>
        <vt:i4>7078006</vt:i4>
      </vt:variant>
      <vt:variant>
        <vt:i4>1827</vt:i4>
      </vt:variant>
      <vt:variant>
        <vt:i4>0</vt:i4>
      </vt:variant>
      <vt:variant>
        <vt:i4>5</vt:i4>
      </vt:variant>
      <vt:variant>
        <vt:lpwstr/>
      </vt:variant>
      <vt:variant>
        <vt:lpwstr>TBIBGeneralGuidelinePrinciples</vt:lpwstr>
      </vt:variant>
      <vt:variant>
        <vt:i4>7078006</vt:i4>
      </vt:variant>
      <vt:variant>
        <vt:i4>1824</vt:i4>
      </vt:variant>
      <vt:variant>
        <vt:i4>0</vt:i4>
      </vt:variant>
      <vt:variant>
        <vt:i4>5</vt:i4>
      </vt:variant>
      <vt:variant>
        <vt:lpwstr/>
      </vt:variant>
      <vt:variant>
        <vt:lpwstr>TBIBGeneralGuidelinePrinciples</vt:lpwstr>
      </vt:variant>
      <vt:variant>
        <vt:i4>7667815</vt:i4>
      </vt:variant>
      <vt:variant>
        <vt:i4>1821</vt:i4>
      </vt:variant>
      <vt:variant>
        <vt:i4>0</vt:i4>
      </vt:variant>
      <vt:variant>
        <vt:i4>5</vt:i4>
      </vt:variant>
      <vt:variant>
        <vt:lpwstr/>
      </vt:variant>
      <vt:variant>
        <vt:lpwstr>TBILOperativeTherProcedures</vt:lpwstr>
      </vt:variant>
      <vt:variant>
        <vt:i4>1769548</vt:i4>
      </vt:variant>
      <vt:variant>
        <vt:i4>1818</vt:i4>
      </vt:variant>
      <vt:variant>
        <vt:i4>0</vt:i4>
      </vt:variant>
      <vt:variant>
        <vt:i4>5</vt:i4>
      </vt:variant>
      <vt:variant>
        <vt:lpwstr/>
      </vt:variant>
      <vt:variant>
        <vt:lpwstr>TBIJ2ciProgressiveVestibulopathy</vt:lpwstr>
      </vt:variant>
      <vt:variant>
        <vt:i4>6357049</vt:i4>
      </vt:variant>
      <vt:variant>
        <vt:i4>1815</vt:i4>
      </vt:variant>
      <vt:variant>
        <vt:i4>0</vt:i4>
      </vt:variant>
      <vt:variant>
        <vt:i4>5</vt:i4>
      </vt:variant>
      <vt:variant>
        <vt:lpwstr/>
      </vt:variant>
      <vt:variant>
        <vt:lpwstr>TBIJ2fivBenignPositionalVertigo</vt:lpwstr>
      </vt:variant>
      <vt:variant>
        <vt:i4>2031688</vt:i4>
      </vt:variant>
      <vt:variant>
        <vt:i4>1812</vt:i4>
      </vt:variant>
      <vt:variant>
        <vt:i4>0</vt:i4>
      </vt:variant>
      <vt:variant>
        <vt:i4>5</vt:i4>
      </vt:variant>
      <vt:variant>
        <vt:lpwstr/>
      </vt:variant>
      <vt:variant>
        <vt:lpwstr>TBIE6ElectrodiagnosticStudies</vt:lpwstr>
      </vt:variant>
      <vt:variant>
        <vt:i4>589916</vt:i4>
      </vt:variant>
      <vt:variant>
        <vt:i4>1809</vt:i4>
      </vt:variant>
      <vt:variant>
        <vt:i4>0</vt:i4>
      </vt:variant>
      <vt:variant>
        <vt:i4>5</vt:i4>
      </vt:variant>
      <vt:variant>
        <vt:lpwstr/>
      </vt:variant>
      <vt:variant>
        <vt:lpwstr>TBIE3NeuropsychologicalAssessment</vt:lpwstr>
      </vt:variant>
      <vt:variant>
        <vt:i4>1179720</vt:i4>
      </vt:variant>
      <vt:variant>
        <vt:i4>1806</vt:i4>
      </vt:variant>
      <vt:variant>
        <vt:i4>0</vt:i4>
      </vt:variant>
      <vt:variant>
        <vt:i4>5</vt:i4>
      </vt:variant>
      <vt:variant>
        <vt:lpwstr/>
      </vt:variant>
      <vt:variant>
        <vt:lpwstr>TBIE2AdvancedMRITech</vt:lpwstr>
      </vt:variant>
      <vt:variant>
        <vt:i4>1507397</vt:i4>
      </vt:variant>
      <vt:variant>
        <vt:i4>1803</vt:i4>
      </vt:variant>
      <vt:variant>
        <vt:i4>0</vt:i4>
      </vt:variant>
      <vt:variant>
        <vt:i4>5</vt:i4>
      </vt:variant>
      <vt:variant>
        <vt:lpwstr/>
      </vt:variant>
      <vt:variant>
        <vt:lpwstr>TBID5cMRI</vt:lpwstr>
      </vt:variant>
      <vt:variant>
        <vt:i4>327760</vt:i4>
      </vt:variant>
      <vt:variant>
        <vt:i4>1800</vt:i4>
      </vt:variant>
      <vt:variant>
        <vt:i4>0</vt:i4>
      </vt:variant>
      <vt:variant>
        <vt:i4>5</vt:i4>
      </vt:variant>
      <vt:variant>
        <vt:lpwstr/>
      </vt:variant>
      <vt:variant>
        <vt:lpwstr>TBID5bComputedAxialTomography</vt:lpwstr>
      </vt:variant>
      <vt:variant>
        <vt:i4>655433</vt:i4>
      </vt:variant>
      <vt:variant>
        <vt:i4>1797</vt:i4>
      </vt:variant>
      <vt:variant>
        <vt:i4>0</vt:i4>
      </vt:variant>
      <vt:variant>
        <vt:i4>5</vt:i4>
      </vt:variant>
      <vt:variant>
        <vt:lpwstr/>
      </vt:variant>
      <vt:variant>
        <vt:lpwstr>TBID5aSkullXrays</vt:lpwstr>
      </vt:variant>
      <vt:variant>
        <vt:i4>786513</vt:i4>
      </vt:variant>
      <vt:variant>
        <vt:i4>1794</vt:i4>
      </vt:variant>
      <vt:variant>
        <vt:i4>0</vt:i4>
      </vt:variant>
      <vt:variant>
        <vt:i4>5</vt:i4>
      </vt:variant>
      <vt:variant>
        <vt:lpwstr/>
      </vt:variant>
      <vt:variant>
        <vt:lpwstr>TBIK2ReturnToWork</vt:lpwstr>
      </vt:variant>
      <vt:variant>
        <vt:i4>8</vt:i4>
      </vt:variant>
      <vt:variant>
        <vt:i4>1791</vt:i4>
      </vt:variant>
      <vt:variant>
        <vt:i4>0</vt:i4>
      </vt:variant>
      <vt:variant>
        <vt:i4>5</vt:i4>
      </vt:variant>
      <vt:variant>
        <vt:lpwstr/>
      </vt:variant>
      <vt:variant>
        <vt:lpwstr>TBIMMaintenanceManagement</vt:lpwstr>
      </vt:variant>
      <vt:variant>
        <vt:i4>7209010</vt:i4>
      </vt:variant>
      <vt:variant>
        <vt:i4>1788</vt:i4>
      </vt:variant>
      <vt:variant>
        <vt:i4>0</vt:i4>
      </vt:variant>
      <vt:variant>
        <vt:i4>5</vt:i4>
      </vt:variant>
      <vt:variant>
        <vt:lpwstr/>
      </vt:variant>
      <vt:variant>
        <vt:lpwstr>TBII1dNursingCareFacilities</vt:lpwstr>
      </vt:variant>
      <vt:variant>
        <vt:i4>4259923</vt:i4>
      </vt:variant>
      <vt:variant>
        <vt:i4>1785</vt:i4>
      </vt:variant>
      <vt:variant>
        <vt:i4>0</vt:i4>
      </vt:variant>
      <vt:variant>
        <vt:i4>5</vt:i4>
      </vt:variant>
      <vt:variant>
        <vt:lpwstr/>
      </vt:variant>
      <vt:variant>
        <vt:lpwstr>TBIG11iSLPorLongTermCare</vt:lpwstr>
      </vt:variant>
      <vt:variant>
        <vt:i4>1245279</vt:i4>
      </vt:variant>
      <vt:variant>
        <vt:i4>1782</vt:i4>
      </vt:variant>
      <vt:variant>
        <vt:i4>0</vt:i4>
      </vt:variant>
      <vt:variant>
        <vt:i4>5</vt:i4>
      </vt:variant>
      <vt:variant>
        <vt:lpwstr/>
      </vt:variant>
      <vt:variant>
        <vt:lpwstr>TBII1gOutpatientRehabServies</vt:lpwstr>
      </vt:variant>
      <vt:variant>
        <vt:i4>6750260</vt:i4>
      </vt:variant>
      <vt:variant>
        <vt:i4>1779</vt:i4>
      </vt:variant>
      <vt:variant>
        <vt:i4>0</vt:i4>
      </vt:variant>
      <vt:variant>
        <vt:i4>5</vt:i4>
      </vt:variant>
      <vt:variant>
        <vt:lpwstr/>
      </vt:variant>
      <vt:variant>
        <vt:lpwstr>TBII1cHomeAndCommunity</vt:lpwstr>
      </vt:variant>
      <vt:variant>
        <vt:i4>4063266</vt:i4>
      </vt:variant>
      <vt:variant>
        <vt:i4>1776</vt:i4>
      </vt:variant>
      <vt:variant>
        <vt:i4>0</vt:i4>
      </vt:variant>
      <vt:variant>
        <vt:i4>5</vt:i4>
      </vt:variant>
      <vt:variant>
        <vt:lpwstr/>
      </vt:variant>
      <vt:variant>
        <vt:lpwstr>TBIG11hResidentialRehab</vt:lpwstr>
      </vt:variant>
      <vt:variant>
        <vt:i4>1966174</vt:i4>
      </vt:variant>
      <vt:variant>
        <vt:i4>1773</vt:i4>
      </vt:variant>
      <vt:variant>
        <vt:i4>0</vt:i4>
      </vt:variant>
      <vt:variant>
        <vt:i4>5</vt:i4>
      </vt:variant>
      <vt:variant>
        <vt:lpwstr/>
      </vt:variant>
      <vt:variant>
        <vt:lpwstr>TBII1aBehavioralPrograms</vt:lpwstr>
      </vt:variant>
      <vt:variant>
        <vt:i4>7405627</vt:i4>
      </vt:variant>
      <vt:variant>
        <vt:i4>1770</vt:i4>
      </vt:variant>
      <vt:variant>
        <vt:i4>0</vt:i4>
      </vt:variant>
      <vt:variant>
        <vt:i4>5</vt:i4>
      </vt:variant>
      <vt:variant>
        <vt:lpwstr/>
      </vt:variant>
      <vt:variant>
        <vt:lpwstr>TBII1bComprehensiveIntegratedInpatient</vt:lpwstr>
      </vt:variant>
      <vt:variant>
        <vt:i4>786513</vt:i4>
      </vt:variant>
      <vt:variant>
        <vt:i4>1767</vt:i4>
      </vt:variant>
      <vt:variant>
        <vt:i4>0</vt:i4>
      </vt:variant>
      <vt:variant>
        <vt:i4>5</vt:i4>
      </vt:variant>
      <vt:variant>
        <vt:lpwstr/>
      </vt:variant>
      <vt:variant>
        <vt:lpwstr>TBIK2ReturnToWork</vt:lpwstr>
      </vt:variant>
      <vt:variant>
        <vt:i4>1441857</vt:i4>
      </vt:variant>
      <vt:variant>
        <vt:i4>1764</vt:i4>
      </vt:variant>
      <vt:variant>
        <vt:i4>0</vt:i4>
      </vt:variant>
      <vt:variant>
        <vt:i4>5</vt:i4>
      </vt:variant>
      <vt:variant>
        <vt:lpwstr/>
      </vt:variant>
      <vt:variant>
        <vt:lpwstr>TBIG1PatientFamilySupport</vt:lpwstr>
      </vt:variant>
      <vt:variant>
        <vt:i4>8</vt:i4>
      </vt:variant>
      <vt:variant>
        <vt:i4>1761</vt:i4>
      </vt:variant>
      <vt:variant>
        <vt:i4>0</vt:i4>
      </vt:variant>
      <vt:variant>
        <vt:i4>5</vt:i4>
      </vt:variant>
      <vt:variant>
        <vt:lpwstr/>
      </vt:variant>
      <vt:variant>
        <vt:lpwstr>TBIMMaintenanceManagement</vt:lpwstr>
      </vt:variant>
      <vt:variant>
        <vt:i4>1179707</vt:i4>
      </vt:variant>
      <vt:variant>
        <vt:i4>1754</vt:i4>
      </vt:variant>
      <vt:variant>
        <vt:i4>0</vt:i4>
      </vt:variant>
      <vt:variant>
        <vt:i4>5</vt:i4>
      </vt:variant>
      <vt:variant>
        <vt:lpwstr/>
      </vt:variant>
      <vt:variant>
        <vt:lpwstr>_Toc347486736</vt:lpwstr>
      </vt:variant>
      <vt:variant>
        <vt:i4>1179707</vt:i4>
      </vt:variant>
      <vt:variant>
        <vt:i4>1748</vt:i4>
      </vt:variant>
      <vt:variant>
        <vt:i4>0</vt:i4>
      </vt:variant>
      <vt:variant>
        <vt:i4>5</vt:i4>
      </vt:variant>
      <vt:variant>
        <vt:lpwstr/>
      </vt:variant>
      <vt:variant>
        <vt:lpwstr>_Toc347486735</vt:lpwstr>
      </vt:variant>
      <vt:variant>
        <vt:i4>1179707</vt:i4>
      </vt:variant>
      <vt:variant>
        <vt:i4>1742</vt:i4>
      </vt:variant>
      <vt:variant>
        <vt:i4>0</vt:i4>
      </vt:variant>
      <vt:variant>
        <vt:i4>5</vt:i4>
      </vt:variant>
      <vt:variant>
        <vt:lpwstr/>
      </vt:variant>
      <vt:variant>
        <vt:lpwstr>_Toc347486734</vt:lpwstr>
      </vt:variant>
      <vt:variant>
        <vt:i4>1179707</vt:i4>
      </vt:variant>
      <vt:variant>
        <vt:i4>1736</vt:i4>
      </vt:variant>
      <vt:variant>
        <vt:i4>0</vt:i4>
      </vt:variant>
      <vt:variant>
        <vt:i4>5</vt:i4>
      </vt:variant>
      <vt:variant>
        <vt:lpwstr/>
      </vt:variant>
      <vt:variant>
        <vt:lpwstr>_Toc347486733</vt:lpwstr>
      </vt:variant>
      <vt:variant>
        <vt:i4>1179707</vt:i4>
      </vt:variant>
      <vt:variant>
        <vt:i4>1730</vt:i4>
      </vt:variant>
      <vt:variant>
        <vt:i4>0</vt:i4>
      </vt:variant>
      <vt:variant>
        <vt:i4>5</vt:i4>
      </vt:variant>
      <vt:variant>
        <vt:lpwstr/>
      </vt:variant>
      <vt:variant>
        <vt:lpwstr>_Toc347486732</vt:lpwstr>
      </vt:variant>
      <vt:variant>
        <vt:i4>1179707</vt:i4>
      </vt:variant>
      <vt:variant>
        <vt:i4>1724</vt:i4>
      </vt:variant>
      <vt:variant>
        <vt:i4>0</vt:i4>
      </vt:variant>
      <vt:variant>
        <vt:i4>5</vt:i4>
      </vt:variant>
      <vt:variant>
        <vt:lpwstr/>
      </vt:variant>
      <vt:variant>
        <vt:lpwstr>_Toc347486731</vt:lpwstr>
      </vt:variant>
      <vt:variant>
        <vt:i4>1179707</vt:i4>
      </vt:variant>
      <vt:variant>
        <vt:i4>1718</vt:i4>
      </vt:variant>
      <vt:variant>
        <vt:i4>0</vt:i4>
      </vt:variant>
      <vt:variant>
        <vt:i4>5</vt:i4>
      </vt:variant>
      <vt:variant>
        <vt:lpwstr/>
      </vt:variant>
      <vt:variant>
        <vt:lpwstr>_Toc347486730</vt:lpwstr>
      </vt:variant>
      <vt:variant>
        <vt:i4>1245243</vt:i4>
      </vt:variant>
      <vt:variant>
        <vt:i4>1712</vt:i4>
      </vt:variant>
      <vt:variant>
        <vt:i4>0</vt:i4>
      </vt:variant>
      <vt:variant>
        <vt:i4>5</vt:i4>
      </vt:variant>
      <vt:variant>
        <vt:lpwstr/>
      </vt:variant>
      <vt:variant>
        <vt:lpwstr>_Toc347486729</vt:lpwstr>
      </vt:variant>
      <vt:variant>
        <vt:i4>1245243</vt:i4>
      </vt:variant>
      <vt:variant>
        <vt:i4>1706</vt:i4>
      </vt:variant>
      <vt:variant>
        <vt:i4>0</vt:i4>
      </vt:variant>
      <vt:variant>
        <vt:i4>5</vt:i4>
      </vt:variant>
      <vt:variant>
        <vt:lpwstr/>
      </vt:variant>
      <vt:variant>
        <vt:lpwstr>_Toc347486728</vt:lpwstr>
      </vt:variant>
      <vt:variant>
        <vt:i4>1245243</vt:i4>
      </vt:variant>
      <vt:variant>
        <vt:i4>1700</vt:i4>
      </vt:variant>
      <vt:variant>
        <vt:i4>0</vt:i4>
      </vt:variant>
      <vt:variant>
        <vt:i4>5</vt:i4>
      </vt:variant>
      <vt:variant>
        <vt:lpwstr/>
      </vt:variant>
      <vt:variant>
        <vt:lpwstr>_Toc347486727</vt:lpwstr>
      </vt:variant>
      <vt:variant>
        <vt:i4>1245243</vt:i4>
      </vt:variant>
      <vt:variant>
        <vt:i4>1694</vt:i4>
      </vt:variant>
      <vt:variant>
        <vt:i4>0</vt:i4>
      </vt:variant>
      <vt:variant>
        <vt:i4>5</vt:i4>
      </vt:variant>
      <vt:variant>
        <vt:lpwstr/>
      </vt:variant>
      <vt:variant>
        <vt:lpwstr>_Toc347486726</vt:lpwstr>
      </vt:variant>
      <vt:variant>
        <vt:i4>1245243</vt:i4>
      </vt:variant>
      <vt:variant>
        <vt:i4>1688</vt:i4>
      </vt:variant>
      <vt:variant>
        <vt:i4>0</vt:i4>
      </vt:variant>
      <vt:variant>
        <vt:i4>5</vt:i4>
      </vt:variant>
      <vt:variant>
        <vt:lpwstr/>
      </vt:variant>
      <vt:variant>
        <vt:lpwstr>_Toc347486725</vt:lpwstr>
      </vt:variant>
      <vt:variant>
        <vt:i4>1245243</vt:i4>
      </vt:variant>
      <vt:variant>
        <vt:i4>1682</vt:i4>
      </vt:variant>
      <vt:variant>
        <vt:i4>0</vt:i4>
      </vt:variant>
      <vt:variant>
        <vt:i4>5</vt:i4>
      </vt:variant>
      <vt:variant>
        <vt:lpwstr/>
      </vt:variant>
      <vt:variant>
        <vt:lpwstr>_Toc347486724</vt:lpwstr>
      </vt:variant>
      <vt:variant>
        <vt:i4>1245243</vt:i4>
      </vt:variant>
      <vt:variant>
        <vt:i4>1676</vt:i4>
      </vt:variant>
      <vt:variant>
        <vt:i4>0</vt:i4>
      </vt:variant>
      <vt:variant>
        <vt:i4>5</vt:i4>
      </vt:variant>
      <vt:variant>
        <vt:lpwstr/>
      </vt:variant>
      <vt:variant>
        <vt:lpwstr>_Toc347486723</vt:lpwstr>
      </vt:variant>
      <vt:variant>
        <vt:i4>1245243</vt:i4>
      </vt:variant>
      <vt:variant>
        <vt:i4>1670</vt:i4>
      </vt:variant>
      <vt:variant>
        <vt:i4>0</vt:i4>
      </vt:variant>
      <vt:variant>
        <vt:i4>5</vt:i4>
      </vt:variant>
      <vt:variant>
        <vt:lpwstr/>
      </vt:variant>
      <vt:variant>
        <vt:lpwstr>_Toc347486722</vt:lpwstr>
      </vt:variant>
      <vt:variant>
        <vt:i4>1245243</vt:i4>
      </vt:variant>
      <vt:variant>
        <vt:i4>1664</vt:i4>
      </vt:variant>
      <vt:variant>
        <vt:i4>0</vt:i4>
      </vt:variant>
      <vt:variant>
        <vt:i4>5</vt:i4>
      </vt:variant>
      <vt:variant>
        <vt:lpwstr/>
      </vt:variant>
      <vt:variant>
        <vt:lpwstr>_Toc347486721</vt:lpwstr>
      </vt:variant>
      <vt:variant>
        <vt:i4>1245243</vt:i4>
      </vt:variant>
      <vt:variant>
        <vt:i4>1658</vt:i4>
      </vt:variant>
      <vt:variant>
        <vt:i4>0</vt:i4>
      </vt:variant>
      <vt:variant>
        <vt:i4>5</vt:i4>
      </vt:variant>
      <vt:variant>
        <vt:lpwstr/>
      </vt:variant>
      <vt:variant>
        <vt:lpwstr>_Toc347486720</vt:lpwstr>
      </vt:variant>
      <vt:variant>
        <vt:i4>1048635</vt:i4>
      </vt:variant>
      <vt:variant>
        <vt:i4>1652</vt:i4>
      </vt:variant>
      <vt:variant>
        <vt:i4>0</vt:i4>
      </vt:variant>
      <vt:variant>
        <vt:i4>5</vt:i4>
      </vt:variant>
      <vt:variant>
        <vt:lpwstr/>
      </vt:variant>
      <vt:variant>
        <vt:lpwstr>_Toc347486719</vt:lpwstr>
      </vt:variant>
      <vt:variant>
        <vt:i4>1048635</vt:i4>
      </vt:variant>
      <vt:variant>
        <vt:i4>1646</vt:i4>
      </vt:variant>
      <vt:variant>
        <vt:i4>0</vt:i4>
      </vt:variant>
      <vt:variant>
        <vt:i4>5</vt:i4>
      </vt:variant>
      <vt:variant>
        <vt:lpwstr/>
      </vt:variant>
      <vt:variant>
        <vt:lpwstr>_Toc347486718</vt:lpwstr>
      </vt:variant>
      <vt:variant>
        <vt:i4>1048635</vt:i4>
      </vt:variant>
      <vt:variant>
        <vt:i4>1640</vt:i4>
      </vt:variant>
      <vt:variant>
        <vt:i4>0</vt:i4>
      </vt:variant>
      <vt:variant>
        <vt:i4>5</vt:i4>
      </vt:variant>
      <vt:variant>
        <vt:lpwstr/>
      </vt:variant>
      <vt:variant>
        <vt:lpwstr>_Toc347486717</vt:lpwstr>
      </vt:variant>
      <vt:variant>
        <vt:i4>1048635</vt:i4>
      </vt:variant>
      <vt:variant>
        <vt:i4>1634</vt:i4>
      </vt:variant>
      <vt:variant>
        <vt:i4>0</vt:i4>
      </vt:variant>
      <vt:variant>
        <vt:i4>5</vt:i4>
      </vt:variant>
      <vt:variant>
        <vt:lpwstr/>
      </vt:variant>
      <vt:variant>
        <vt:lpwstr>_Toc347486716</vt:lpwstr>
      </vt:variant>
      <vt:variant>
        <vt:i4>1048635</vt:i4>
      </vt:variant>
      <vt:variant>
        <vt:i4>1628</vt:i4>
      </vt:variant>
      <vt:variant>
        <vt:i4>0</vt:i4>
      </vt:variant>
      <vt:variant>
        <vt:i4>5</vt:i4>
      </vt:variant>
      <vt:variant>
        <vt:lpwstr/>
      </vt:variant>
      <vt:variant>
        <vt:lpwstr>_Toc347486715</vt:lpwstr>
      </vt:variant>
      <vt:variant>
        <vt:i4>1048635</vt:i4>
      </vt:variant>
      <vt:variant>
        <vt:i4>1622</vt:i4>
      </vt:variant>
      <vt:variant>
        <vt:i4>0</vt:i4>
      </vt:variant>
      <vt:variant>
        <vt:i4>5</vt:i4>
      </vt:variant>
      <vt:variant>
        <vt:lpwstr/>
      </vt:variant>
      <vt:variant>
        <vt:lpwstr>_Toc347486714</vt:lpwstr>
      </vt:variant>
      <vt:variant>
        <vt:i4>1048635</vt:i4>
      </vt:variant>
      <vt:variant>
        <vt:i4>1616</vt:i4>
      </vt:variant>
      <vt:variant>
        <vt:i4>0</vt:i4>
      </vt:variant>
      <vt:variant>
        <vt:i4>5</vt:i4>
      </vt:variant>
      <vt:variant>
        <vt:lpwstr/>
      </vt:variant>
      <vt:variant>
        <vt:lpwstr>_Toc347486713</vt:lpwstr>
      </vt:variant>
      <vt:variant>
        <vt:i4>1048635</vt:i4>
      </vt:variant>
      <vt:variant>
        <vt:i4>1610</vt:i4>
      </vt:variant>
      <vt:variant>
        <vt:i4>0</vt:i4>
      </vt:variant>
      <vt:variant>
        <vt:i4>5</vt:i4>
      </vt:variant>
      <vt:variant>
        <vt:lpwstr/>
      </vt:variant>
      <vt:variant>
        <vt:lpwstr>_Toc347486712</vt:lpwstr>
      </vt:variant>
      <vt:variant>
        <vt:i4>1048635</vt:i4>
      </vt:variant>
      <vt:variant>
        <vt:i4>1604</vt:i4>
      </vt:variant>
      <vt:variant>
        <vt:i4>0</vt:i4>
      </vt:variant>
      <vt:variant>
        <vt:i4>5</vt:i4>
      </vt:variant>
      <vt:variant>
        <vt:lpwstr/>
      </vt:variant>
      <vt:variant>
        <vt:lpwstr>_Toc347486711</vt:lpwstr>
      </vt:variant>
      <vt:variant>
        <vt:i4>1048635</vt:i4>
      </vt:variant>
      <vt:variant>
        <vt:i4>1598</vt:i4>
      </vt:variant>
      <vt:variant>
        <vt:i4>0</vt:i4>
      </vt:variant>
      <vt:variant>
        <vt:i4>5</vt:i4>
      </vt:variant>
      <vt:variant>
        <vt:lpwstr/>
      </vt:variant>
      <vt:variant>
        <vt:lpwstr>_Toc347486710</vt:lpwstr>
      </vt:variant>
      <vt:variant>
        <vt:i4>1114171</vt:i4>
      </vt:variant>
      <vt:variant>
        <vt:i4>1592</vt:i4>
      </vt:variant>
      <vt:variant>
        <vt:i4>0</vt:i4>
      </vt:variant>
      <vt:variant>
        <vt:i4>5</vt:i4>
      </vt:variant>
      <vt:variant>
        <vt:lpwstr/>
      </vt:variant>
      <vt:variant>
        <vt:lpwstr>_Toc347486709</vt:lpwstr>
      </vt:variant>
      <vt:variant>
        <vt:i4>1114171</vt:i4>
      </vt:variant>
      <vt:variant>
        <vt:i4>1586</vt:i4>
      </vt:variant>
      <vt:variant>
        <vt:i4>0</vt:i4>
      </vt:variant>
      <vt:variant>
        <vt:i4>5</vt:i4>
      </vt:variant>
      <vt:variant>
        <vt:lpwstr/>
      </vt:variant>
      <vt:variant>
        <vt:lpwstr>_Toc347486708</vt:lpwstr>
      </vt:variant>
      <vt:variant>
        <vt:i4>1114171</vt:i4>
      </vt:variant>
      <vt:variant>
        <vt:i4>1580</vt:i4>
      </vt:variant>
      <vt:variant>
        <vt:i4>0</vt:i4>
      </vt:variant>
      <vt:variant>
        <vt:i4>5</vt:i4>
      </vt:variant>
      <vt:variant>
        <vt:lpwstr/>
      </vt:variant>
      <vt:variant>
        <vt:lpwstr>_Toc347486707</vt:lpwstr>
      </vt:variant>
      <vt:variant>
        <vt:i4>1114171</vt:i4>
      </vt:variant>
      <vt:variant>
        <vt:i4>1574</vt:i4>
      </vt:variant>
      <vt:variant>
        <vt:i4>0</vt:i4>
      </vt:variant>
      <vt:variant>
        <vt:i4>5</vt:i4>
      </vt:variant>
      <vt:variant>
        <vt:lpwstr/>
      </vt:variant>
      <vt:variant>
        <vt:lpwstr>_Toc347486706</vt:lpwstr>
      </vt:variant>
      <vt:variant>
        <vt:i4>1114171</vt:i4>
      </vt:variant>
      <vt:variant>
        <vt:i4>1568</vt:i4>
      </vt:variant>
      <vt:variant>
        <vt:i4>0</vt:i4>
      </vt:variant>
      <vt:variant>
        <vt:i4>5</vt:i4>
      </vt:variant>
      <vt:variant>
        <vt:lpwstr/>
      </vt:variant>
      <vt:variant>
        <vt:lpwstr>_Toc347486705</vt:lpwstr>
      </vt:variant>
      <vt:variant>
        <vt:i4>1114171</vt:i4>
      </vt:variant>
      <vt:variant>
        <vt:i4>1562</vt:i4>
      </vt:variant>
      <vt:variant>
        <vt:i4>0</vt:i4>
      </vt:variant>
      <vt:variant>
        <vt:i4>5</vt:i4>
      </vt:variant>
      <vt:variant>
        <vt:lpwstr/>
      </vt:variant>
      <vt:variant>
        <vt:lpwstr>_Toc347486704</vt:lpwstr>
      </vt:variant>
      <vt:variant>
        <vt:i4>1114171</vt:i4>
      </vt:variant>
      <vt:variant>
        <vt:i4>1556</vt:i4>
      </vt:variant>
      <vt:variant>
        <vt:i4>0</vt:i4>
      </vt:variant>
      <vt:variant>
        <vt:i4>5</vt:i4>
      </vt:variant>
      <vt:variant>
        <vt:lpwstr/>
      </vt:variant>
      <vt:variant>
        <vt:lpwstr>_Toc347486703</vt:lpwstr>
      </vt:variant>
      <vt:variant>
        <vt:i4>1114171</vt:i4>
      </vt:variant>
      <vt:variant>
        <vt:i4>1550</vt:i4>
      </vt:variant>
      <vt:variant>
        <vt:i4>0</vt:i4>
      </vt:variant>
      <vt:variant>
        <vt:i4>5</vt:i4>
      </vt:variant>
      <vt:variant>
        <vt:lpwstr/>
      </vt:variant>
      <vt:variant>
        <vt:lpwstr>_Toc347486702</vt:lpwstr>
      </vt:variant>
      <vt:variant>
        <vt:i4>1114171</vt:i4>
      </vt:variant>
      <vt:variant>
        <vt:i4>1544</vt:i4>
      </vt:variant>
      <vt:variant>
        <vt:i4>0</vt:i4>
      </vt:variant>
      <vt:variant>
        <vt:i4>5</vt:i4>
      </vt:variant>
      <vt:variant>
        <vt:lpwstr/>
      </vt:variant>
      <vt:variant>
        <vt:lpwstr>_Toc347486701</vt:lpwstr>
      </vt:variant>
      <vt:variant>
        <vt:i4>1114171</vt:i4>
      </vt:variant>
      <vt:variant>
        <vt:i4>1538</vt:i4>
      </vt:variant>
      <vt:variant>
        <vt:i4>0</vt:i4>
      </vt:variant>
      <vt:variant>
        <vt:i4>5</vt:i4>
      </vt:variant>
      <vt:variant>
        <vt:lpwstr/>
      </vt:variant>
      <vt:variant>
        <vt:lpwstr>_Toc347486700</vt:lpwstr>
      </vt:variant>
      <vt:variant>
        <vt:i4>1572922</vt:i4>
      </vt:variant>
      <vt:variant>
        <vt:i4>1532</vt:i4>
      </vt:variant>
      <vt:variant>
        <vt:i4>0</vt:i4>
      </vt:variant>
      <vt:variant>
        <vt:i4>5</vt:i4>
      </vt:variant>
      <vt:variant>
        <vt:lpwstr/>
      </vt:variant>
      <vt:variant>
        <vt:lpwstr>_Toc347486699</vt:lpwstr>
      </vt:variant>
      <vt:variant>
        <vt:i4>1572922</vt:i4>
      </vt:variant>
      <vt:variant>
        <vt:i4>1526</vt:i4>
      </vt:variant>
      <vt:variant>
        <vt:i4>0</vt:i4>
      </vt:variant>
      <vt:variant>
        <vt:i4>5</vt:i4>
      </vt:variant>
      <vt:variant>
        <vt:lpwstr/>
      </vt:variant>
      <vt:variant>
        <vt:lpwstr>_Toc347486698</vt:lpwstr>
      </vt:variant>
      <vt:variant>
        <vt:i4>1572922</vt:i4>
      </vt:variant>
      <vt:variant>
        <vt:i4>1520</vt:i4>
      </vt:variant>
      <vt:variant>
        <vt:i4>0</vt:i4>
      </vt:variant>
      <vt:variant>
        <vt:i4>5</vt:i4>
      </vt:variant>
      <vt:variant>
        <vt:lpwstr/>
      </vt:variant>
      <vt:variant>
        <vt:lpwstr>_Toc347486697</vt:lpwstr>
      </vt:variant>
      <vt:variant>
        <vt:i4>1572922</vt:i4>
      </vt:variant>
      <vt:variant>
        <vt:i4>1514</vt:i4>
      </vt:variant>
      <vt:variant>
        <vt:i4>0</vt:i4>
      </vt:variant>
      <vt:variant>
        <vt:i4>5</vt:i4>
      </vt:variant>
      <vt:variant>
        <vt:lpwstr/>
      </vt:variant>
      <vt:variant>
        <vt:lpwstr>_Toc347486696</vt:lpwstr>
      </vt:variant>
      <vt:variant>
        <vt:i4>1572922</vt:i4>
      </vt:variant>
      <vt:variant>
        <vt:i4>1508</vt:i4>
      </vt:variant>
      <vt:variant>
        <vt:i4>0</vt:i4>
      </vt:variant>
      <vt:variant>
        <vt:i4>5</vt:i4>
      </vt:variant>
      <vt:variant>
        <vt:lpwstr/>
      </vt:variant>
      <vt:variant>
        <vt:lpwstr>_Toc347486695</vt:lpwstr>
      </vt:variant>
      <vt:variant>
        <vt:i4>1572922</vt:i4>
      </vt:variant>
      <vt:variant>
        <vt:i4>1502</vt:i4>
      </vt:variant>
      <vt:variant>
        <vt:i4>0</vt:i4>
      </vt:variant>
      <vt:variant>
        <vt:i4>5</vt:i4>
      </vt:variant>
      <vt:variant>
        <vt:lpwstr/>
      </vt:variant>
      <vt:variant>
        <vt:lpwstr>_Toc347486694</vt:lpwstr>
      </vt:variant>
      <vt:variant>
        <vt:i4>1572922</vt:i4>
      </vt:variant>
      <vt:variant>
        <vt:i4>1496</vt:i4>
      </vt:variant>
      <vt:variant>
        <vt:i4>0</vt:i4>
      </vt:variant>
      <vt:variant>
        <vt:i4>5</vt:i4>
      </vt:variant>
      <vt:variant>
        <vt:lpwstr/>
      </vt:variant>
      <vt:variant>
        <vt:lpwstr>_Toc347486693</vt:lpwstr>
      </vt:variant>
      <vt:variant>
        <vt:i4>1572922</vt:i4>
      </vt:variant>
      <vt:variant>
        <vt:i4>1490</vt:i4>
      </vt:variant>
      <vt:variant>
        <vt:i4>0</vt:i4>
      </vt:variant>
      <vt:variant>
        <vt:i4>5</vt:i4>
      </vt:variant>
      <vt:variant>
        <vt:lpwstr/>
      </vt:variant>
      <vt:variant>
        <vt:lpwstr>_Toc347486692</vt:lpwstr>
      </vt:variant>
      <vt:variant>
        <vt:i4>1572922</vt:i4>
      </vt:variant>
      <vt:variant>
        <vt:i4>1484</vt:i4>
      </vt:variant>
      <vt:variant>
        <vt:i4>0</vt:i4>
      </vt:variant>
      <vt:variant>
        <vt:i4>5</vt:i4>
      </vt:variant>
      <vt:variant>
        <vt:lpwstr/>
      </vt:variant>
      <vt:variant>
        <vt:lpwstr>_Toc347486691</vt:lpwstr>
      </vt:variant>
      <vt:variant>
        <vt:i4>1572922</vt:i4>
      </vt:variant>
      <vt:variant>
        <vt:i4>1478</vt:i4>
      </vt:variant>
      <vt:variant>
        <vt:i4>0</vt:i4>
      </vt:variant>
      <vt:variant>
        <vt:i4>5</vt:i4>
      </vt:variant>
      <vt:variant>
        <vt:lpwstr/>
      </vt:variant>
      <vt:variant>
        <vt:lpwstr>_Toc347486690</vt:lpwstr>
      </vt:variant>
      <vt:variant>
        <vt:i4>1638458</vt:i4>
      </vt:variant>
      <vt:variant>
        <vt:i4>1472</vt:i4>
      </vt:variant>
      <vt:variant>
        <vt:i4>0</vt:i4>
      </vt:variant>
      <vt:variant>
        <vt:i4>5</vt:i4>
      </vt:variant>
      <vt:variant>
        <vt:lpwstr/>
      </vt:variant>
      <vt:variant>
        <vt:lpwstr>_Toc347486689</vt:lpwstr>
      </vt:variant>
      <vt:variant>
        <vt:i4>1638458</vt:i4>
      </vt:variant>
      <vt:variant>
        <vt:i4>1466</vt:i4>
      </vt:variant>
      <vt:variant>
        <vt:i4>0</vt:i4>
      </vt:variant>
      <vt:variant>
        <vt:i4>5</vt:i4>
      </vt:variant>
      <vt:variant>
        <vt:lpwstr/>
      </vt:variant>
      <vt:variant>
        <vt:lpwstr>_Toc347486688</vt:lpwstr>
      </vt:variant>
      <vt:variant>
        <vt:i4>1638458</vt:i4>
      </vt:variant>
      <vt:variant>
        <vt:i4>1460</vt:i4>
      </vt:variant>
      <vt:variant>
        <vt:i4>0</vt:i4>
      </vt:variant>
      <vt:variant>
        <vt:i4>5</vt:i4>
      </vt:variant>
      <vt:variant>
        <vt:lpwstr/>
      </vt:variant>
      <vt:variant>
        <vt:lpwstr>_Toc347486687</vt:lpwstr>
      </vt:variant>
      <vt:variant>
        <vt:i4>1638458</vt:i4>
      </vt:variant>
      <vt:variant>
        <vt:i4>1454</vt:i4>
      </vt:variant>
      <vt:variant>
        <vt:i4>0</vt:i4>
      </vt:variant>
      <vt:variant>
        <vt:i4>5</vt:i4>
      </vt:variant>
      <vt:variant>
        <vt:lpwstr/>
      </vt:variant>
      <vt:variant>
        <vt:lpwstr>_Toc347486686</vt:lpwstr>
      </vt:variant>
      <vt:variant>
        <vt:i4>1638458</vt:i4>
      </vt:variant>
      <vt:variant>
        <vt:i4>1448</vt:i4>
      </vt:variant>
      <vt:variant>
        <vt:i4>0</vt:i4>
      </vt:variant>
      <vt:variant>
        <vt:i4>5</vt:i4>
      </vt:variant>
      <vt:variant>
        <vt:lpwstr/>
      </vt:variant>
      <vt:variant>
        <vt:lpwstr>_Toc347486685</vt:lpwstr>
      </vt:variant>
      <vt:variant>
        <vt:i4>1638458</vt:i4>
      </vt:variant>
      <vt:variant>
        <vt:i4>1442</vt:i4>
      </vt:variant>
      <vt:variant>
        <vt:i4>0</vt:i4>
      </vt:variant>
      <vt:variant>
        <vt:i4>5</vt:i4>
      </vt:variant>
      <vt:variant>
        <vt:lpwstr/>
      </vt:variant>
      <vt:variant>
        <vt:lpwstr>_Toc347486684</vt:lpwstr>
      </vt:variant>
      <vt:variant>
        <vt:i4>1638458</vt:i4>
      </vt:variant>
      <vt:variant>
        <vt:i4>1436</vt:i4>
      </vt:variant>
      <vt:variant>
        <vt:i4>0</vt:i4>
      </vt:variant>
      <vt:variant>
        <vt:i4>5</vt:i4>
      </vt:variant>
      <vt:variant>
        <vt:lpwstr/>
      </vt:variant>
      <vt:variant>
        <vt:lpwstr>_Toc347486683</vt:lpwstr>
      </vt:variant>
      <vt:variant>
        <vt:i4>1638458</vt:i4>
      </vt:variant>
      <vt:variant>
        <vt:i4>1430</vt:i4>
      </vt:variant>
      <vt:variant>
        <vt:i4>0</vt:i4>
      </vt:variant>
      <vt:variant>
        <vt:i4>5</vt:i4>
      </vt:variant>
      <vt:variant>
        <vt:lpwstr/>
      </vt:variant>
      <vt:variant>
        <vt:lpwstr>_Toc347486682</vt:lpwstr>
      </vt:variant>
      <vt:variant>
        <vt:i4>1638458</vt:i4>
      </vt:variant>
      <vt:variant>
        <vt:i4>1424</vt:i4>
      </vt:variant>
      <vt:variant>
        <vt:i4>0</vt:i4>
      </vt:variant>
      <vt:variant>
        <vt:i4>5</vt:i4>
      </vt:variant>
      <vt:variant>
        <vt:lpwstr/>
      </vt:variant>
      <vt:variant>
        <vt:lpwstr>_Toc347486681</vt:lpwstr>
      </vt:variant>
      <vt:variant>
        <vt:i4>1638458</vt:i4>
      </vt:variant>
      <vt:variant>
        <vt:i4>1418</vt:i4>
      </vt:variant>
      <vt:variant>
        <vt:i4>0</vt:i4>
      </vt:variant>
      <vt:variant>
        <vt:i4>5</vt:i4>
      </vt:variant>
      <vt:variant>
        <vt:lpwstr/>
      </vt:variant>
      <vt:variant>
        <vt:lpwstr>_Toc347486680</vt:lpwstr>
      </vt:variant>
      <vt:variant>
        <vt:i4>1441850</vt:i4>
      </vt:variant>
      <vt:variant>
        <vt:i4>1412</vt:i4>
      </vt:variant>
      <vt:variant>
        <vt:i4>0</vt:i4>
      </vt:variant>
      <vt:variant>
        <vt:i4>5</vt:i4>
      </vt:variant>
      <vt:variant>
        <vt:lpwstr/>
      </vt:variant>
      <vt:variant>
        <vt:lpwstr>_Toc347486679</vt:lpwstr>
      </vt:variant>
      <vt:variant>
        <vt:i4>1441850</vt:i4>
      </vt:variant>
      <vt:variant>
        <vt:i4>1406</vt:i4>
      </vt:variant>
      <vt:variant>
        <vt:i4>0</vt:i4>
      </vt:variant>
      <vt:variant>
        <vt:i4>5</vt:i4>
      </vt:variant>
      <vt:variant>
        <vt:lpwstr/>
      </vt:variant>
      <vt:variant>
        <vt:lpwstr>_Toc347486678</vt:lpwstr>
      </vt:variant>
      <vt:variant>
        <vt:i4>1441850</vt:i4>
      </vt:variant>
      <vt:variant>
        <vt:i4>1400</vt:i4>
      </vt:variant>
      <vt:variant>
        <vt:i4>0</vt:i4>
      </vt:variant>
      <vt:variant>
        <vt:i4>5</vt:i4>
      </vt:variant>
      <vt:variant>
        <vt:lpwstr/>
      </vt:variant>
      <vt:variant>
        <vt:lpwstr>_Toc347486677</vt:lpwstr>
      </vt:variant>
      <vt:variant>
        <vt:i4>1441850</vt:i4>
      </vt:variant>
      <vt:variant>
        <vt:i4>1394</vt:i4>
      </vt:variant>
      <vt:variant>
        <vt:i4>0</vt:i4>
      </vt:variant>
      <vt:variant>
        <vt:i4>5</vt:i4>
      </vt:variant>
      <vt:variant>
        <vt:lpwstr/>
      </vt:variant>
      <vt:variant>
        <vt:lpwstr>_Toc347486676</vt:lpwstr>
      </vt:variant>
      <vt:variant>
        <vt:i4>1441850</vt:i4>
      </vt:variant>
      <vt:variant>
        <vt:i4>1388</vt:i4>
      </vt:variant>
      <vt:variant>
        <vt:i4>0</vt:i4>
      </vt:variant>
      <vt:variant>
        <vt:i4>5</vt:i4>
      </vt:variant>
      <vt:variant>
        <vt:lpwstr/>
      </vt:variant>
      <vt:variant>
        <vt:lpwstr>_Toc347486675</vt:lpwstr>
      </vt:variant>
      <vt:variant>
        <vt:i4>1441850</vt:i4>
      </vt:variant>
      <vt:variant>
        <vt:i4>1382</vt:i4>
      </vt:variant>
      <vt:variant>
        <vt:i4>0</vt:i4>
      </vt:variant>
      <vt:variant>
        <vt:i4>5</vt:i4>
      </vt:variant>
      <vt:variant>
        <vt:lpwstr/>
      </vt:variant>
      <vt:variant>
        <vt:lpwstr>_Toc347486674</vt:lpwstr>
      </vt:variant>
      <vt:variant>
        <vt:i4>1441850</vt:i4>
      </vt:variant>
      <vt:variant>
        <vt:i4>1376</vt:i4>
      </vt:variant>
      <vt:variant>
        <vt:i4>0</vt:i4>
      </vt:variant>
      <vt:variant>
        <vt:i4>5</vt:i4>
      </vt:variant>
      <vt:variant>
        <vt:lpwstr/>
      </vt:variant>
      <vt:variant>
        <vt:lpwstr>_Toc347486673</vt:lpwstr>
      </vt:variant>
      <vt:variant>
        <vt:i4>1441850</vt:i4>
      </vt:variant>
      <vt:variant>
        <vt:i4>1370</vt:i4>
      </vt:variant>
      <vt:variant>
        <vt:i4>0</vt:i4>
      </vt:variant>
      <vt:variant>
        <vt:i4>5</vt:i4>
      </vt:variant>
      <vt:variant>
        <vt:lpwstr/>
      </vt:variant>
      <vt:variant>
        <vt:lpwstr>_Toc347486672</vt:lpwstr>
      </vt:variant>
      <vt:variant>
        <vt:i4>1441850</vt:i4>
      </vt:variant>
      <vt:variant>
        <vt:i4>1364</vt:i4>
      </vt:variant>
      <vt:variant>
        <vt:i4>0</vt:i4>
      </vt:variant>
      <vt:variant>
        <vt:i4>5</vt:i4>
      </vt:variant>
      <vt:variant>
        <vt:lpwstr/>
      </vt:variant>
      <vt:variant>
        <vt:lpwstr>_Toc347486671</vt:lpwstr>
      </vt:variant>
      <vt:variant>
        <vt:i4>1441850</vt:i4>
      </vt:variant>
      <vt:variant>
        <vt:i4>1358</vt:i4>
      </vt:variant>
      <vt:variant>
        <vt:i4>0</vt:i4>
      </vt:variant>
      <vt:variant>
        <vt:i4>5</vt:i4>
      </vt:variant>
      <vt:variant>
        <vt:lpwstr/>
      </vt:variant>
      <vt:variant>
        <vt:lpwstr>_Toc347486670</vt:lpwstr>
      </vt:variant>
      <vt:variant>
        <vt:i4>1507386</vt:i4>
      </vt:variant>
      <vt:variant>
        <vt:i4>1352</vt:i4>
      </vt:variant>
      <vt:variant>
        <vt:i4>0</vt:i4>
      </vt:variant>
      <vt:variant>
        <vt:i4>5</vt:i4>
      </vt:variant>
      <vt:variant>
        <vt:lpwstr/>
      </vt:variant>
      <vt:variant>
        <vt:lpwstr>_Toc347486669</vt:lpwstr>
      </vt:variant>
      <vt:variant>
        <vt:i4>1507386</vt:i4>
      </vt:variant>
      <vt:variant>
        <vt:i4>1346</vt:i4>
      </vt:variant>
      <vt:variant>
        <vt:i4>0</vt:i4>
      </vt:variant>
      <vt:variant>
        <vt:i4>5</vt:i4>
      </vt:variant>
      <vt:variant>
        <vt:lpwstr/>
      </vt:variant>
      <vt:variant>
        <vt:lpwstr>_Toc347486668</vt:lpwstr>
      </vt:variant>
      <vt:variant>
        <vt:i4>1507386</vt:i4>
      </vt:variant>
      <vt:variant>
        <vt:i4>1340</vt:i4>
      </vt:variant>
      <vt:variant>
        <vt:i4>0</vt:i4>
      </vt:variant>
      <vt:variant>
        <vt:i4>5</vt:i4>
      </vt:variant>
      <vt:variant>
        <vt:lpwstr/>
      </vt:variant>
      <vt:variant>
        <vt:lpwstr>_Toc347486667</vt:lpwstr>
      </vt:variant>
      <vt:variant>
        <vt:i4>1507386</vt:i4>
      </vt:variant>
      <vt:variant>
        <vt:i4>1334</vt:i4>
      </vt:variant>
      <vt:variant>
        <vt:i4>0</vt:i4>
      </vt:variant>
      <vt:variant>
        <vt:i4>5</vt:i4>
      </vt:variant>
      <vt:variant>
        <vt:lpwstr/>
      </vt:variant>
      <vt:variant>
        <vt:lpwstr>_Toc347486666</vt:lpwstr>
      </vt:variant>
      <vt:variant>
        <vt:i4>1507386</vt:i4>
      </vt:variant>
      <vt:variant>
        <vt:i4>1328</vt:i4>
      </vt:variant>
      <vt:variant>
        <vt:i4>0</vt:i4>
      </vt:variant>
      <vt:variant>
        <vt:i4>5</vt:i4>
      </vt:variant>
      <vt:variant>
        <vt:lpwstr/>
      </vt:variant>
      <vt:variant>
        <vt:lpwstr>_Toc347486665</vt:lpwstr>
      </vt:variant>
      <vt:variant>
        <vt:i4>1507386</vt:i4>
      </vt:variant>
      <vt:variant>
        <vt:i4>1322</vt:i4>
      </vt:variant>
      <vt:variant>
        <vt:i4>0</vt:i4>
      </vt:variant>
      <vt:variant>
        <vt:i4>5</vt:i4>
      </vt:variant>
      <vt:variant>
        <vt:lpwstr/>
      </vt:variant>
      <vt:variant>
        <vt:lpwstr>_Toc347486664</vt:lpwstr>
      </vt:variant>
      <vt:variant>
        <vt:i4>1507386</vt:i4>
      </vt:variant>
      <vt:variant>
        <vt:i4>1316</vt:i4>
      </vt:variant>
      <vt:variant>
        <vt:i4>0</vt:i4>
      </vt:variant>
      <vt:variant>
        <vt:i4>5</vt:i4>
      </vt:variant>
      <vt:variant>
        <vt:lpwstr/>
      </vt:variant>
      <vt:variant>
        <vt:lpwstr>_Toc347486663</vt:lpwstr>
      </vt:variant>
      <vt:variant>
        <vt:i4>1507386</vt:i4>
      </vt:variant>
      <vt:variant>
        <vt:i4>1310</vt:i4>
      </vt:variant>
      <vt:variant>
        <vt:i4>0</vt:i4>
      </vt:variant>
      <vt:variant>
        <vt:i4>5</vt:i4>
      </vt:variant>
      <vt:variant>
        <vt:lpwstr/>
      </vt:variant>
      <vt:variant>
        <vt:lpwstr>_Toc347486662</vt:lpwstr>
      </vt:variant>
      <vt:variant>
        <vt:i4>1507386</vt:i4>
      </vt:variant>
      <vt:variant>
        <vt:i4>1304</vt:i4>
      </vt:variant>
      <vt:variant>
        <vt:i4>0</vt:i4>
      </vt:variant>
      <vt:variant>
        <vt:i4>5</vt:i4>
      </vt:variant>
      <vt:variant>
        <vt:lpwstr/>
      </vt:variant>
      <vt:variant>
        <vt:lpwstr>_Toc347486661</vt:lpwstr>
      </vt:variant>
      <vt:variant>
        <vt:i4>1507386</vt:i4>
      </vt:variant>
      <vt:variant>
        <vt:i4>1298</vt:i4>
      </vt:variant>
      <vt:variant>
        <vt:i4>0</vt:i4>
      </vt:variant>
      <vt:variant>
        <vt:i4>5</vt:i4>
      </vt:variant>
      <vt:variant>
        <vt:lpwstr/>
      </vt:variant>
      <vt:variant>
        <vt:lpwstr>_Toc347486660</vt:lpwstr>
      </vt:variant>
      <vt:variant>
        <vt:i4>1310778</vt:i4>
      </vt:variant>
      <vt:variant>
        <vt:i4>1292</vt:i4>
      </vt:variant>
      <vt:variant>
        <vt:i4>0</vt:i4>
      </vt:variant>
      <vt:variant>
        <vt:i4>5</vt:i4>
      </vt:variant>
      <vt:variant>
        <vt:lpwstr/>
      </vt:variant>
      <vt:variant>
        <vt:lpwstr>_Toc347486659</vt:lpwstr>
      </vt:variant>
      <vt:variant>
        <vt:i4>1310778</vt:i4>
      </vt:variant>
      <vt:variant>
        <vt:i4>1286</vt:i4>
      </vt:variant>
      <vt:variant>
        <vt:i4>0</vt:i4>
      </vt:variant>
      <vt:variant>
        <vt:i4>5</vt:i4>
      </vt:variant>
      <vt:variant>
        <vt:lpwstr/>
      </vt:variant>
      <vt:variant>
        <vt:lpwstr>_Toc347486658</vt:lpwstr>
      </vt:variant>
      <vt:variant>
        <vt:i4>1310778</vt:i4>
      </vt:variant>
      <vt:variant>
        <vt:i4>1280</vt:i4>
      </vt:variant>
      <vt:variant>
        <vt:i4>0</vt:i4>
      </vt:variant>
      <vt:variant>
        <vt:i4>5</vt:i4>
      </vt:variant>
      <vt:variant>
        <vt:lpwstr/>
      </vt:variant>
      <vt:variant>
        <vt:lpwstr>_Toc347486657</vt:lpwstr>
      </vt:variant>
      <vt:variant>
        <vt:i4>1310778</vt:i4>
      </vt:variant>
      <vt:variant>
        <vt:i4>1274</vt:i4>
      </vt:variant>
      <vt:variant>
        <vt:i4>0</vt:i4>
      </vt:variant>
      <vt:variant>
        <vt:i4>5</vt:i4>
      </vt:variant>
      <vt:variant>
        <vt:lpwstr/>
      </vt:variant>
      <vt:variant>
        <vt:lpwstr>_Toc347486656</vt:lpwstr>
      </vt:variant>
      <vt:variant>
        <vt:i4>1310778</vt:i4>
      </vt:variant>
      <vt:variant>
        <vt:i4>1268</vt:i4>
      </vt:variant>
      <vt:variant>
        <vt:i4>0</vt:i4>
      </vt:variant>
      <vt:variant>
        <vt:i4>5</vt:i4>
      </vt:variant>
      <vt:variant>
        <vt:lpwstr/>
      </vt:variant>
      <vt:variant>
        <vt:lpwstr>_Toc347486655</vt:lpwstr>
      </vt:variant>
      <vt:variant>
        <vt:i4>1310778</vt:i4>
      </vt:variant>
      <vt:variant>
        <vt:i4>1262</vt:i4>
      </vt:variant>
      <vt:variant>
        <vt:i4>0</vt:i4>
      </vt:variant>
      <vt:variant>
        <vt:i4>5</vt:i4>
      </vt:variant>
      <vt:variant>
        <vt:lpwstr/>
      </vt:variant>
      <vt:variant>
        <vt:lpwstr>_Toc347486654</vt:lpwstr>
      </vt:variant>
      <vt:variant>
        <vt:i4>1310778</vt:i4>
      </vt:variant>
      <vt:variant>
        <vt:i4>1256</vt:i4>
      </vt:variant>
      <vt:variant>
        <vt:i4>0</vt:i4>
      </vt:variant>
      <vt:variant>
        <vt:i4>5</vt:i4>
      </vt:variant>
      <vt:variant>
        <vt:lpwstr/>
      </vt:variant>
      <vt:variant>
        <vt:lpwstr>_Toc347486653</vt:lpwstr>
      </vt:variant>
      <vt:variant>
        <vt:i4>1310778</vt:i4>
      </vt:variant>
      <vt:variant>
        <vt:i4>1250</vt:i4>
      </vt:variant>
      <vt:variant>
        <vt:i4>0</vt:i4>
      </vt:variant>
      <vt:variant>
        <vt:i4>5</vt:i4>
      </vt:variant>
      <vt:variant>
        <vt:lpwstr/>
      </vt:variant>
      <vt:variant>
        <vt:lpwstr>_Toc347486652</vt:lpwstr>
      </vt:variant>
      <vt:variant>
        <vt:i4>1310778</vt:i4>
      </vt:variant>
      <vt:variant>
        <vt:i4>1244</vt:i4>
      </vt:variant>
      <vt:variant>
        <vt:i4>0</vt:i4>
      </vt:variant>
      <vt:variant>
        <vt:i4>5</vt:i4>
      </vt:variant>
      <vt:variant>
        <vt:lpwstr/>
      </vt:variant>
      <vt:variant>
        <vt:lpwstr>_Toc347486651</vt:lpwstr>
      </vt:variant>
      <vt:variant>
        <vt:i4>1310778</vt:i4>
      </vt:variant>
      <vt:variant>
        <vt:i4>1238</vt:i4>
      </vt:variant>
      <vt:variant>
        <vt:i4>0</vt:i4>
      </vt:variant>
      <vt:variant>
        <vt:i4>5</vt:i4>
      </vt:variant>
      <vt:variant>
        <vt:lpwstr/>
      </vt:variant>
      <vt:variant>
        <vt:lpwstr>_Toc347486650</vt:lpwstr>
      </vt:variant>
      <vt:variant>
        <vt:i4>1376314</vt:i4>
      </vt:variant>
      <vt:variant>
        <vt:i4>1232</vt:i4>
      </vt:variant>
      <vt:variant>
        <vt:i4>0</vt:i4>
      </vt:variant>
      <vt:variant>
        <vt:i4>5</vt:i4>
      </vt:variant>
      <vt:variant>
        <vt:lpwstr/>
      </vt:variant>
      <vt:variant>
        <vt:lpwstr>_Toc347486649</vt:lpwstr>
      </vt:variant>
      <vt:variant>
        <vt:i4>1376314</vt:i4>
      </vt:variant>
      <vt:variant>
        <vt:i4>1226</vt:i4>
      </vt:variant>
      <vt:variant>
        <vt:i4>0</vt:i4>
      </vt:variant>
      <vt:variant>
        <vt:i4>5</vt:i4>
      </vt:variant>
      <vt:variant>
        <vt:lpwstr/>
      </vt:variant>
      <vt:variant>
        <vt:lpwstr>_Toc347486648</vt:lpwstr>
      </vt:variant>
      <vt:variant>
        <vt:i4>1376314</vt:i4>
      </vt:variant>
      <vt:variant>
        <vt:i4>1220</vt:i4>
      </vt:variant>
      <vt:variant>
        <vt:i4>0</vt:i4>
      </vt:variant>
      <vt:variant>
        <vt:i4>5</vt:i4>
      </vt:variant>
      <vt:variant>
        <vt:lpwstr/>
      </vt:variant>
      <vt:variant>
        <vt:lpwstr>_Toc347486647</vt:lpwstr>
      </vt:variant>
      <vt:variant>
        <vt:i4>1376314</vt:i4>
      </vt:variant>
      <vt:variant>
        <vt:i4>1214</vt:i4>
      </vt:variant>
      <vt:variant>
        <vt:i4>0</vt:i4>
      </vt:variant>
      <vt:variant>
        <vt:i4>5</vt:i4>
      </vt:variant>
      <vt:variant>
        <vt:lpwstr/>
      </vt:variant>
      <vt:variant>
        <vt:lpwstr>_Toc347486646</vt:lpwstr>
      </vt:variant>
      <vt:variant>
        <vt:i4>1376314</vt:i4>
      </vt:variant>
      <vt:variant>
        <vt:i4>1208</vt:i4>
      </vt:variant>
      <vt:variant>
        <vt:i4>0</vt:i4>
      </vt:variant>
      <vt:variant>
        <vt:i4>5</vt:i4>
      </vt:variant>
      <vt:variant>
        <vt:lpwstr/>
      </vt:variant>
      <vt:variant>
        <vt:lpwstr>_Toc347486645</vt:lpwstr>
      </vt:variant>
      <vt:variant>
        <vt:i4>1376314</vt:i4>
      </vt:variant>
      <vt:variant>
        <vt:i4>1202</vt:i4>
      </vt:variant>
      <vt:variant>
        <vt:i4>0</vt:i4>
      </vt:variant>
      <vt:variant>
        <vt:i4>5</vt:i4>
      </vt:variant>
      <vt:variant>
        <vt:lpwstr/>
      </vt:variant>
      <vt:variant>
        <vt:lpwstr>_Toc347486644</vt:lpwstr>
      </vt:variant>
      <vt:variant>
        <vt:i4>1376314</vt:i4>
      </vt:variant>
      <vt:variant>
        <vt:i4>1196</vt:i4>
      </vt:variant>
      <vt:variant>
        <vt:i4>0</vt:i4>
      </vt:variant>
      <vt:variant>
        <vt:i4>5</vt:i4>
      </vt:variant>
      <vt:variant>
        <vt:lpwstr/>
      </vt:variant>
      <vt:variant>
        <vt:lpwstr>_Toc347486643</vt:lpwstr>
      </vt:variant>
      <vt:variant>
        <vt:i4>1376314</vt:i4>
      </vt:variant>
      <vt:variant>
        <vt:i4>1190</vt:i4>
      </vt:variant>
      <vt:variant>
        <vt:i4>0</vt:i4>
      </vt:variant>
      <vt:variant>
        <vt:i4>5</vt:i4>
      </vt:variant>
      <vt:variant>
        <vt:lpwstr/>
      </vt:variant>
      <vt:variant>
        <vt:lpwstr>_Toc347486642</vt:lpwstr>
      </vt:variant>
      <vt:variant>
        <vt:i4>1376314</vt:i4>
      </vt:variant>
      <vt:variant>
        <vt:i4>1184</vt:i4>
      </vt:variant>
      <vt:variant>
        <vt:i4>0</vt:i4>
      </vt:variant>
      <vt:variant>
        <vt:i4>5</vt:i4>
      </vt:variant>
      <vt:variant>
        <vt:lpwstr/>
      </vt:variant>
      <vt:variant>
        <vt:lpwstr>_Toc347486641</vt:lpwstr>
      </vt:variant>
      <vt:variant>
        <vt:i4>1376314</vt:i4>
      </vt:variant>
      <vt:variant>
        <vt:i4>1178</vt:i4>
      </vt:variant>
      <vt:variant>
        <vt:i4>0</vt:i4>
      </vt:variant>
      <vt:variant>
        <vt:i4>5</vt:i4>
      </vt:variant>
      <vt:variant>
        <vt:lpwstr/>
      </vt:variant>
      <vt:variant>
        <vt:lpwstr>_Toc347486640</vt:lpwstr>
      </vt:variant>
      <vt:variant>
        <vt:i4>1179706</vt:i4>
      </vt:variant>
      <vt:variant>
        <vt:i4>1172</vt:i4>
      </vt:variant>
      <vt:variant>
        <vt:i4>0</vt:i4>
      </vt:variant>
      <vt:variant>
        <vt:i4>5</vt:i4>
      </vt:variant>
      <vt:variant>
        <vt:lpwstr/>
      </vt:variant>
      <vt:variant>
        <vt:lpwstr>_Toc347486639</vt:lpwstr>
      </vt:variant>
      <vt:variant>
        <vt:i4>1179706</vt:i4>
      </vt:variant>
      <vt:variant>
        <vt:i4>1166</vt:i4>
      </vt:variant>
      <vt:variant>
        <vt:i4>0</vt:i4>
      </vt:variant>
      <vt:variant>
        <vt:i4>5</vt:i4>
      </vt:variant>
      <vt:variant>
        <vt:lpwstr/>
      </vt:variant>
      <vt:variant>
        <vt:lpwstr>_Toc347486638</vt:lpwstr>
      </vt:variant>
      <vt:variant>
        <vt:i4>1179706</vt:i4>
      </vt:variant>
      <vt:variant>
        <vt:i4>1160</vt:i4>
      </vt:variant>
      <vt:variant>
        <vt:i4>0</vt:i4>
      </vt:variant>
      <vt:variant>
        <vt:i4>5</vt:i4>
      </vt:variant>
      <vt:variant>
        <vt:lpwstr/>
      </vt:variant>
      <vt:variant>
        <vt:lpwstr>_Toc347486637</vt:lpwstr>
      </vt:variant>
      <vt:variant>
        <vt:i4>1179706</vt:i4>
      </vt:variant>
      <vt:variant>
        <vt:i4>1154</vt:i4>
      </vt:variant>
      <vt:variant>
        <vt:i4>0</vt:i4>
      </vt:variant>
      <vt:variant>
        <vt:i4>5</vt:i4>
      </vt:variant>
      <vt:variant>
        <vt:lpwstr/>
      </vt:variant>
      <vt:variant>
        <vt:lpwstr>_Toc347486636</vt:lpwstr>
      </vt:variant>
      <vt:variant>
        <vt:i4>1179706</vt:i4>
      </vt:variant>
      <vt:variant>
        <vt:i4>1148</vt:i4>
      </vt:variant>
      <vt:variant>
        <vt:i4>0</vt:i4>
      </vt:variant>
      <vt:variant>
        <vt:i4>5</vt:i4>
      </vt:variant>
      <vt:variant>
        <vt:lpwstr/>
      </vt:variant>
      <vt:variant>
        <vt:lpwstr>_Toc347486635</vt:lpwstr>
      </vt:variant>
      <vt:variant>
        <vt:i4>1179706</vt:i4>
      </vt:variant>
      <vt:variant>
        <vt:i4>1142</vt:i4>
      </vt:variant>
      <vt:variant>
        <vt:i4>0</vt:i4>
      </vt:variant>
      <vt:variant>
        <vt:i4>5</vt:i4>
      </vt:variant>
      <vt:variant>
        <vt:lpwstr/>
      </vt:variant>
      <vt:variant>
        <vt:lpwstr>_Toc347486634</vt:lpwstr>
      </vt:variant>
      <vt:variant>
        <vt:i4>1179706</vt:i4>
      </vt:variant>
      <vt:variant>
        <vt:i4>1136</vt:i4>
      </vt:variant>
      <vt:variant>
        <vt:i4>0</vt:i4>
      </vt:variant>
      <vt:variant>
        <vt:i4>5</vt:i4>
      </vt:variant>
      <vt:variant>
        <vt:lpwstr/>
      </vt:variant>
      <vt:variant>
        <vt:lpwstr>_Toc347486633</vt:lpwstr>
      </vt:variant>
      <vt:variant>
        <vt:i4>1179706</vt:i4>
      </vt:variant>
      <vt:variant>
        <vt:i4>1130</vt:i4>
      </vt:variant>
      <vt:variant>
        <vt:i4>0</vt:i4>
      </vt:variant>
      <vt:variant>
        <vt:i4>5</vt:i4>
      </vt:variant>
      <vt:variant>
        <vt:lpwstr/>
      </vt:variant>
      <vt:variant>
        <vt:lpwstr>_Toc347486632</vt:lpwstr>
      </vt:variant>
      <vt:variant>
        <vt:i4>1179706</vt:i4>
      </vt:variant>
      <vt:variant>
        <vt:i4>1124</vt:i4>
      </vt:variant>
      <vt:variant>
        <vt:i4>0</vt:i4>
      </vt:variant>
      <vt:variant>
        <vt:i4>5</vt:i4>
      </vt:variant>
      <vt:variant>
        <vt:lpwstr/>
      </vt:variant>
      <vt:variant>
        <vt:lpwstr>_Toc347486631</vt:lpwstr>
      </vt:variant>
      <vt:variant>
        <vt:i4>1179706</vt:i4>
      </vt:variant>
      <vt:variant>
        <vt:i4>1118</vt:i4>
      </vt:variant>
      <vt:variant>
        <vt:i4>0</vt:i4>
      </vt:variant>
      <vt:variant>
        <vt:i4>5</vt:i4>
      </vt:variant>
      <vt:variant>
        <vt:lpwstr/>
      </vt:variant>
      <vt:variant>
        <vt:lpwstr>_Toc347486630</vt:lpwstr>
      </vt:variant>
      <vt:variant>
        <vt:i4>1245242</vt:i4>
      </vt:variant>
      <vt:variant>
        <vt:i4>1112</vt:i4>
      </vt:variant>
      <vt:variant>
        <vt:i4>0</vt:i4>
      </vt:variant>
      <vt:variant>
        <vt:i4>5</vt:i4>
      </vt:variant>
      <vt:variant>
        <vt:lpwstr/>
      </vt:variant>
      <vt:variant>
        <vt:lpwstr>_Toc347486629</vt:lpwstr>
      </vt:variant>
      <vt:variant>
        <vt:i4>1245242</vt:i4>
      </vt:variant>
      <vt:variant>
        <vt:i4>1106</vt:i4>
      </vt:variant>
      <vt:variant>
        <vt:i4>0</vt:i4>
      </vt:variant>
      <vt:variant>
        <vt:i4>5</vt:i4>
      </vt:variant>
      <vt:variant>
        <vt:lpwstr/>
      </vt:variant>
      <vt:variant>
        <vt:lpwstr>_Toc347486628</vt:lpwstr>
      </vt:variant>
      <vt:variant>
        <vt:i4>1245242</vt:i4>
      </vt:variant>
      <vt:variant>
        <vt:i4>1100</vt:i4>
      </vt:variant>
      <vt:variant>
        <vt:i4>0</vt:i4>
      </vt:variant>
      <vt:variant>
        <vt:i4>5</vt:i4>
      </vt:variant>
      <vt:variant>
        <vt:lpwstr/>
      </vt:variant>
      <vt:variant>
        <vt:lpwstr>_Toc347486627</vt:lpwstr>
      </vt:variant>
      <vt:variant>
        <vt:i4>1245242</vt:i4>
      </vt:variant>
      <vt:variant>
        <vt:i4>1094</vt:i4>
      </vt:variant>
      <vt:variant>
        <vt:i4>0</vt:i4>
      </vt:variant>
      <vt:variant>
        <vt:i4>5</vt:i4>
      </vt:variant>
      <vt:variant>
        <vt:lpwstr/>
      </vt:variant>
      <vt:variant>
        <vt:lpwstr>_Toc347486626</vt:lpwstr>
      </vt:variant>
      <vt:variant>
        <vt:i4>1245242</vt:i4>
      </vt:variant>
      <vt:variant>
        <vt:i4>1088</vt:i4>
      </vt:variant>
      <vt:variant>
        <vt:i4>0</vt:i4>
      </vt:variant>
      <vt:variant>
        <vt:i4>5</vt:i4>
      </vt:variant>
      <vt:variant>
        <vt:lpwstr/>
      </vt:variant>
      <vt:variant>
        <vt:lpwstr>_Toc347486625</vt:lpwstr>
      </vt:variant>
      <vt:variant>
        <vt:i4>1245242</vt:i4>
      </vt:variant>
      <vt:variant>
        <vt:i4>1082</vt:i4>
      </vt:variant>
      <vt:variant>
        <vt:i4>0</vt:i4>
      </vt:variant>
      <vt:variant>
        <vt:i4>5</vt:i4>
      </vt:variant>
      <vt:variant>
        <vt:lpwstr/>
      </vt:variant>
      <vt:variant>
        <vt:lpwstr>_Toc347486624</vt:lpwstr>
      </vt:variant>
      <vt:variant>
        <vt:i4>1245242</vt:i4>
      </vt:variant>
      <vt:variant>
        <vt:i4>1076</vt:i4>
      </vt:variant>
      <vt:variant>
        <vt:i4>0</vt:i4>
      </vt:variant>
      <vt:variant>
        <vt:i4>5</vt:i4>
      </vt:variant>
      <vt:variant>
        <vt:lpwstr/>
      </vt:variant>
      <vt:variant>
        <vt:lpwstr>_Toc347486623</vt:lpwstr>
      </vt:variant>
      <vt:variant>
        <vt:i4>1245242</vt:i4>
      </vt:variant>
      <vt:variant>
        <vt:i4>1070</vt:i4>
      </vt:variant>
      <vt:variant>
        <vt:i4>0</vt:i4>
      </vt:variant>
      <vt:variant>
        <vt:i4>5</vt:i4>
      </vt:variant>
      <vt:variant>
        <vt:lpwstr/>
      </vt:variant>
      <vt:variant>
        <vt:lpwstr>_Toc347486622</vt:lpwstr>
      </vt:variant>
      <vt:variant>
        <vt:i4>1245242</vt:i4>
      </vt:variant>
      <vt:variant>
        <vt:i4>1064</vt:i4>
      </vt:variant>
      <vt:variant>
        <vt:i4>0</vt:i4>
      </vt:variant>
      <vt:variant>
        <vt:i4>5</vt:i4>
      </vt:variant>
      <vt:variant>
        <vt:lpwstr/>
      </vt:variant>
      <vt:variant>
        <vt:lpwstr>_Toc347486621</vt:lpwstr>
      </vt:variant>
      <vt:variant>
        <vt:i4>1245242</vt:i4>
      </vt:variant>
      <vt:variant>
        <vt:i4>1058</vt:i4>
      </vt:variant>
      <vt:variant>
        <vt:i4>0</vt:i4>
      </vt:variant>
      <vt:variant>
        <vt:i4>5</vt:i4>
      </vt:variant>
      <vt:variant>
        <vt:lpwstr/>
      </vt:variant>
      <vt:variant>
        <vt:lpwstr>_Toc347486620</vt:lpwstr>
      </vt:variant>
      <vt:variant>
        <vt:i4>1048634</vt:i4>
      </vt:variant>
      <vt:variant>
        <vt:i4>1052</vt:i4>
      </vt:variant>
      <vt:variant>
        <vt:i4>0</vt:i4>
      </vt:variant>
      <vt:variant>
        <vt:i4>5</vt:i4>
      </vt:variant>
      <vt:variant>
        <vt:lpwstr/>
      </vt:variant>
      <vt:variant>
        <vt:lpwstr>_Toc347486619</vt:lpwstr>
      </vt:variant>
      <vt:variant>
        <vt:i4>1048634</vt:i4>
      </vt:variant>
      <vt:variant>
        <vt:i4>1046</vt:i4>
      </vt:variant>
      <vt:variant>
        <vt:i4>0</vt:i4>
      </vt:variant>
      <vt:variant>
        <vt:i4>5</vt:i4>
      </vt:variant>
      <vt:variant>
        <vt:lpwstr/>
      </vt:variant>
      <vt:variant>
        <vt:lpwstr>_Toc347486618</vt:lpwstr>
      </vt:variant>
      <vt:variant>
        <vt:i4>1048634</vt:i4>
      </vt:variant>
      <vt:variant>
        <vt:i4>1040</vt:i4>
      </vt:variant>
      <vt:variant>
        <vt:i4>0</vt:i4>
      </vt:variant>
      <vt:variant>
        <vt:i4>5</vt:i4>
      </vt:variant>
      <vt:variant>
        <vt:lpwstr/>
      </vt:variant>
      <vt:variant>
        <vt:lpwstr>_Toc347486617</vt:lpwstr>
      </vt:variant>
      <vt:variant>
        <vt:i4>1048634</vt:i4>
      </vt:variant>
      <vt:variant>
        <vt:i4>1034</vt:i4>
      </vt:variant>
      <vt:variant>
        <vt:i4>0</vt:i4>
      </vt:variant>
      <vt:variant>
        <vt:i4>5</vt:i4>
      </vt:variant>
      <vt:variant>
        <vt:lpwstr/>
      </vt:variant>
      <vt:variant>
        <vt:lpwstr>_Toc347486616</vt:lpwstr>
      </vt:variant>
      <vt:variant>
        <vt:i4>1048634</vt:i4>
      </vt:variant>
      <vt:variant>
        <vt:i4>1028</vt:i4>
      </vt:variant>
      <vt:variant>
        <vt:i4>0</vt:i4>
      </vt:variant>
      <vt:variant>
        <vt:i4>5</vt:i4>
      </vt:variant>
      <vt:variant>
        <vt:lpwstr/>
      </vt:variant>
      <vt:variant>
        <vt:lpwstr>_Toc347486615</vt:lpwstr>
      </vt:variant>
      <vt:variant>
        <vt:i4>1048634</vt:i4>
      </vt:variant>
      <vt:variant>
        <vt:i4>1022</vt:i4>
      </vt:variant>
      <vt:variant>
        <vt:i4>0</vt:i4>
      </vt:variant>
      <vt:variant>
        <vt:i4>5</vt:i4>
      </vt:variant>
      <vt:variant>
        <vt:lpwstr/>
      </vt:variant>
      <vt:variant>
        <vt:lpwstr>_Toc347486614</vt:lpwstr>
      </vt:variant>
      <vt:variant>
        <vt:i4>1048634</vt:i4>
      </vt:variant>
      <vt:variant>
        <vt:i4>1016</vt:i4>
      </vt:variant>
      <vt:variant>
        <vt:i4>0</vt:i4>
      </vt:variant>
      <vt:variant>
        <vt:i4>5</vt:i4>
      </vt:variant>
      <vt:variant>
        <vt:lpwstr/>
      </vt:variant>
      <vt:variant>
        <vt:lpwstr>_Toc347486613</vt:lpwstr>
      </vt:variant>
      <vt:variant>
        <vt:i4>1048634</vt:i4>
      </vt:variant>
      <vt:variant>
        <vt:i4>1010</vt:i4>
      </vt:variant>
      <vt:variant>
        <vt:i4>0</vt:i4>
      </vt:variant>
      <vt:variant>
        <vt:i4>5</vt:i4>
      </vt:variant>
      <vt:variant>
        <vt:lpwstr/>
      </vt:variant>
      <vt:variant>
        <vt:lpwstr>_Toc347486612</vt:lpwstr>
      </vt:variant>
      <vt:variant>
        <vt:i4>1048634</vt:i4>
      </vt:variant>
      <vt:variant>
        <vt:i4>1004</vt:i4>
      </vt:variant>
      <vt:variant>
        <vt:i4>0</vt:i4>
      </vt:variant>
      <vt:variant>
        <vt:i4>5</vt:i4>
      </vt:variant>
      <vt:variant>
        <vt:lpwstr/>
      </vt:variant>
      <vt:variant>
        <vt:lpwstr>_Toc347486611</vt:lpwstr>
      </vt:variant>
      <vt:variant>
        <vt:i4>1048634</vt:i4>
      </vt:variant>
      <vt:variant>
        <vt:i4>998</vt:i4>
      </vt:variant>
      <vt:variant>
        <vt:i4>0</vt:i4>
      </vt:variant>
      <vt:variant>
        <vt:i4>5</vt:i4>
      </vt:variant>
      <vt:variant>
        <vt:lpwstr/>
      </vt:variant>
      <vt:variant>
        <vt:lpwstr>_Toc347486610</vt:lpwstr>
      </vt:variant>
      <vt:variant>
        <vt:i4>1114170</vt:i4>
      </vt:variant>
      <vt:variant>
        <vt:i4>992</vt:i4>
      </vt:variant>
      <vt:variant>
        <vt:i4>0</vt:i4>
      </vt:variant>
      <vt:variant>
        <vt:i4>5</vt:i4>
      </vt:variant>
      <vt:variant>
        <vt:lpwstr/>
      </vt:variant>
      <vt:variant>
        <vt:lpwstr>_Toc347486609</vt:lpwstr>
      </vt:variant>
      <vt:variant>
        <vt:i4>1114170</vt:i4>
      </vt:variant>
      <vt:variant>
        <vt:i4>986</vt:i4>
      </vt:variant>
      <vt:variant>
        <vt:i4>0</vt:i4>
      </vt:variant>
      <vt:variant>
        <vt:i4>5</vt:i4>
      </vt:variant>
      <vt:variant>
        <vt:lpwstr/>
      </vt:variant>
      <vt:variant>
        <vt:lpwstr>_Toc347486608</vt:lpwstr>
      </vt:variant>
      <vt:variant>
        <vt:i4>1114170</vt:i4>
      </vt:variant>
      <vt:variant>
        <vt:i4>980</vt:i4>
      </vt:variant>
      <vt:variant>
        <vt:i4>0</vt:i4>
      </vt:variant>
      <vt:variant>
        <vt:i4>5</vt:i4>
      </vt:variant>
      <vt:variant>
        <vt:lpwstr/>
      </vt:variant>
      <vt:variant>
        <vt:lpwstr>_Toc347486607</vt:lpwstr>
      </vt:variant>
      <vt:variant>
        <vt:i4>1114170</vt:i4>
      </vt:variant>
      <vt:variant>
        <vt:i4>974</vt:i4>
      </vt:variant>
      <vt:variant>
        <vt:i4>0</vt:i4>
      </vt:variant>
      <vt:variant>
        <vt:i4>5</vt:i4>
      </vt:variant>
      <vt:variant>
        <vt:lpwstr/>
      </vt:variant>
      <vt:variant>
        <vt:lpwstr>_Toc347486606</vt:lpwstr>
      </vt:variant>
      <vt:variant>
        <vt:i4>1114170</vt:i4>
      </vt:variant>
      <vt:variant>
        <vt:i4>968</vt:i4>
      </vt:variant>
      <vt:variant>
        <vt:i4>0</vt:i4>
      </vt:variant>
      <vt:variant>
        <vt:i4>5</vt:i4>
      </vt:variant>
      <vt:variant>
        <vt:lpwstr/>
      </vt:variant>
      <vt:variant>
        <vt:lpwstr>_Toc347486605</vt:lpwstr>
      </vt:variant>
      <vt:variant>
        <vt:i4>1114170</vt:i4>
      </vt:variant>
      <vt:variant>
        <vt:i4>962</vt:i4>
      </vt:variant>
      <vt:variant>
        <vt:i4>0</vt:i4>
      </vt:variant>
      <vt:variant>
        <vt:i4>5</vt:i4>
      </vt:variant>
      <vt:variant>
        <vt:lpwstr/>
      </vt:variant>
      <vt:variant>
        <vt:lpwstr>_Toc347486604</vt:lpwstr>
      </vt:variant>
      <vt:variant>
        <vt:i4>1114170</vt:i4>
      </vt:variant>
      <vt:variant>
        <vt:i4>956</vt:i4>
      </vt:variant>
      <vt:variant>
        <vt:i4>0</vt:i4>
      </vt:variant>
      <vt:variant>
        <vt:i4>5</vt:i4>
      </vt:variant>
      <vt:variant>
        <vt:lpwstr/>
      </vt:variant>
      <vt:variant>
        <vt:lpwstr>_Toc347486603</vt:lpwstr>
      </vt:variant>
      <vt:variant>
        <vt:i4>1114170</vt:i4>
      </vt:variant>
      <vt:variant>
        <vt:i4>950</vt:i4>
      </vt:variant>
      <vt:variant>
        <vt:i4>0</vt:i4>
      </vt:variant>
      <vt:variant>
        <vt:i4>5</vt:i4>
      </vt:variant>
      <vt:variant>
        <vt:lpwstr/>
      </vt:variant>
      <vt:variant>
        <vt:lpwstr>_Toc347486602</vt:lpwstr>
      </vt:variant>
      <vt:variant>
        <vt:i4>1114170</vt:i4>
      </vt:variant>
      <vt:variant>
        <vt:i4>944</vt:i4>
      </vt:variant>
      <vt:variant>
        <vt:i4>0</vt:i4>
      </vt:variant>
      <vt:variant>
        <vt:i4>5</vt:i4>
      </vt:variant>
      <vt:variant>
        <vt:lpwstr/>
      </vt:variant>
      <vt:variant>
        <vt:lpwstr>_Toc347486601</vt:lpwstr>
      </vt:variant>
      <vt:variant>
        <vt:i4>1114170</vt:i4>
      </vt:variant>
      <vt:variant>
        <vt:i4>938</vt:i4>
      </vt:variant>
      <vt:variant>
        <vt:i4>0</vt:i4>
      </vt:variant>
      <vt:variant>
        <vt:i4>5</vt:i4>
      </vt:variant>
      <vt:variant>
        <vt:lpwstr/>
      </vt:variant>
      <vt:variant>
        <vt:lpwstr>_Toc347486600</vt:lpwstr>
      </vt:variant>
      <vt:variant>
        <vt:i4>1572921</vt:i4>
      </vt:variant>
      <vt:variant>
        <vt:i4>932</vt:i4>
      </vt:variant>
      <vt:variant>
        <vt:i4>0</vt:i4>
      </vt:variant>
      <vt:variant>
        <vt:i4>5</vt:i4>
      </vt:variant>
      <vt:variant>
        <vt:lpwstr/>
      </vt:variant>
      <vt:variant>
        <vt:lpwstr>_Toc347486599</vt:lpwstr>
      </vt:variant>
      <vt:variant>
        <vt:i4>1572921</vt:i4>
      </vt:variant>
      <vt:variant>
        <vt:i4>926</vt:i4>
      </vt:variant>
      <vt:variant>
        <vt:i4>0</vt:i4>
      </vt:variant>
      <vt:variant>
        <vt:i4>5</vt:i4>
      </vt:variant>
      <vt:variant>
        <vt:lpwstr/>
      </vt:variant>
      <vt:variant>
        <vt:lpwstr>_Toc347486598</vt:lpwstr>
      </vt:variant>
      <vt:variant>
        <vt:i4>1572921</vt:i4>
      </vt:variant>
      <vt:variant>
        <vt:i4>920</vt:i4>
      </vt:variant>
      <vt:variant>
        <vt:i4>0</vt:i4>
      </vt:variant>
      <vt:variant>
        <vt:i4>5</vt:i4>
      </vt:variant>
      <vt:variant>
        <vt:lpwstr/>
      </vt:variant>
      <vt:variant>
        <vt:lpwstr>_Toc347486597</vt:lpwstr>
      </vt:variant>
      <vt:variant>
        <vt:i4>1572921</vt:i4>
      </vt:variant>
      <vt:variant>
        <vt:i4>914</vt:i4>
      </vt:variant>
      <vt:variant>
        <vt:i4>0</vt:i4>
      </vt:variant>
      <vt:variant>
        <vt:i4>5</vt:i4>
      </vt:variant>
      <vt:variant>
        <vt:lpwstr/>
      </vt:variant>
      <vt:variant>
        <vt:lpwstr>_Toc347486596</vt:lpwstr>
      </vt:variant>
      <vt:variant>
        <vt:i4>1572921</vt:i4>
      </vt:variant>
      <vt:variant>
        <vt:i4>908</vt:i4>
      </vt:variant>
      <vt:variant>
        <vt:i4>0</vt:i4>
      </vt:variant>
      <vt:variant>
        <vt:i4>5</vt:i4>
      </vt:variant>
      <vt:variant>
        <vt:lpwstr/>
      </vt:variant>
      <vt:variant>
        <vt:lpwstr>_Toc347486595</vt:lpwstr>
      </vt:variant>
      <vt:variant>
        <vt:i4>1572921</vt:i4>
      </vt:variant>
      <vt:variant>
        <vt:i4>902</vt:i4>
      </vt:variant>
      <vt:variant>
        <vt:i4>0</vt:i4>
      </vt:variant>
      <vt:variant>
        <vt:i4>5</vt:i4>
      </vt:variant>
      <vt:variant>
        <vt:lpwstr/>
      </vt:variant>
      <vt:variant>
        <vt:lpwstr>_Toc347486594</vt:lpwstr>
      </vt:variant>
      <vt:variant>
        <vt:i4>1572921</vt:i4>
      </vt:variant>
      <vt:variant>
        <vt:i4>896</vt:i4>
      </vt:variant>
      <vt:variant>
        <vt:i4>0</vt:i4>
      </vt:variant>
      <vt:variant>
        <vt:i4>5</vt:i4>
      </vt:variant>
      <vt:variant>
        <vt:lpwstr/>
      </vt:variant>
      <vt:variant>
        <vt:lpwstr>_Toc347486593</vt:lpwstr>
      </vt:variant>
      <vt:variant>
        <vt:i4>1572921</vt:i4>
      </vt:variant>
      <vt:variant>
        <vt:i4>890</vt:i4>
      </vt:variant>
      <vt:variant>
        <vt:i4>0</vt:i4>
      </vt:variant>
      <vt:variant>
        <vt:i4>5</vt:i4>
      </vt:variant>
      <vt:variant>
        <vt:lpwstr/>
      </vt:variant>
      <vt:variant>
        <vt:lpwstr>_Toc347486592</vt:lpwstr>
      </vt:variant>
      <vt:variant>
        <vt:i4>1572921</vt:i4>
      </vt:variant>
      <vt:variant>
        <vt:i4>884</vt:i4>
      </vt:variant>
      <vt:variant>
        <vt:i4>0</vt:i4>
      </vt:variant>
      <vt:variant>
        <vt:i4>5</vt:i4>
      </vt:variant>
      <vt:variant>
        <vt:lpwstr/>
      </vt:variant>
      <vt:variant>
        <vt:lpwstr>_Toc347486591</vt:lpwstr>
      </vt:variant>
      <vt:variant>
        <vt:i4>1572921</vt:i4>
      </vt:variant>
      <vt:variant>
        <vt:i4>878</vt:i4>
      </vt:variant>
      <vt:variant>
        <vt:i4>0</vt:i4>
      </vt:variant>
      <vt:variant>
        <vt:i4>5</vt:i4>
      </vt:variant>
      <vt:variant>
        <vt:lpwstr/>
      </vt:variant>
      <vt:variant>
        <vt:lpwstr>_Toc347486590</vt:lpwstr>
      </vt:variant>
      <vt:variant>
        <vt:i4>1638457</vt:i4>
      </vt:variant>
      <vt:variant>
        <vt:i4>872</vt:i4>
      </vt:variant>
      <vt:variant>
        <vt:i4>0</vt:i4>
      </vt:variant>
      <vt:variant>
        <vt:i4>5</vt:i4>
      </vt:variant>
      <vt:variant>
        <vt:lpwstr/>
      </vt:variant>
      <vt:variant>
        <vt:lpwstr>_Toc347486589</vt:lpwstr>
      </vt:variant>
      <vt:variant>
        <vt:i4>1638457</vt:i4>
      </vt:variant>
      <vt:variant>
        <vt:i4>866</vt:i4>
      </vt:variant>
      <vt:variant>
        <vt:i4>0</vt:i4>
      </vt:variant>
      <vt:variant>
        <vt:i4>5</vt:i4>
      </vt:variant>
      <vt:variant>
        <vt:lpwstr/>
      </vt:variant>
      <vt:variant>
        <vt:lpwstr>_Toc347486588</vt:lpwstr>
      </vt:variant>
      <vt:variant>
        <vt:i4>1638457</vt:i4>
      </vt:variant>
      <vt:variant>
        <vt:i4>860</vt:i4>
      </vt:variant>
      <vt:variant>
        <vt:i4>0</vt:i4>
      </vt:variant>
      <vt:variant>
        <vt:i4>5</vt:i4>
      </vt:variant>
      <vt:variant>
        <vt:lpwstr/>
      </vt:variant>
      <vt:variant>
        <vt:lpwstr>_Toc347486587</vt:lpwstr>
      </vt:variant>
      <vt:variant>
        <vt:i4>1638457</vt:i4>
      </vt:variant>
      <vt:variant>
        <vt:i4>854</vt:i4>
      </vt:variant>
      <vt:variant>
        <vt:i4>0</vt:i4>
      </vt:variant>
      <vt:variant>
        <vt:i4>5</vt:i4>
      </vt:variant>
      <vt:variant>
        <vt:lpwstr/>
      </vt:variant>
      <vt:variant>
        <vt:lpwstr>_Toc347486586</vt:lpwstr>
      </vt:variant>
      <vt:variant>
        <vt:i4>1638457</vt:i4>
      </vt:variant>
      <vt:variant>
        <vt:i4>848</vt:i4>
      </vt:variant>
      <vt:variant>
        <vt:i4>0</vt:i4>
      </vt:variant>
      <vt:variant>
        <vt:i4>5</vt:i4>
      </vt:variant>
      <vt:variant>
        <vt:lpwstr/>
      </vt:variant>
      <vt:variant>
        <vt:lpwstr>_Toc347486585</vt:lpwstr>
      </vt:variant>
      <vt:variant>
        <vt:i4>1638457</vt:i4>
      </vt:variant>
      <vt:variant>
        <vt:i4>842</vt:i4>
      </vt:variant>
      <vt:variant>
        <vt:i4>0</vt:i4>
      </vt:variant>
      <vt:variant>
        <vt:i4>5</vt:i4>
      </vt:variant>
      <vt:variant>
        <vt:lpwstr/>
      </vt:variant>
      <vt:variant>
        <vt:lpwstr>_Toc347486584</vt:lpwstr>
      </vt:variant>
      <vt:variant>
        <vt:i4>1638457</vt:i4>
      </vt:variant>
      <vt:variant>
        <vt:i4>836</vt:i4>
      </vt:variant>
      <vt:variant>
        <vt:i4>0</vt:i4>
      </vt:variant>
      <vt:variant>
        <vt:i4>5</vt:i4>
      </vt:variant>
      <vt:variant>
        <vt:lpwstr/>
      </vt:variant>
      <vt:variant>
        <vt:lpwstr>_Toc347486583</vt:lpwstr>
      </vt:variant>
      <vt:variant>
        <vt:i4>1638457</vt:i4>
      </vt:variant>
      <vt:variant>
        <vt:i4>830</vt:i4>
      </vt:variant>
      <vt:variant>
        <vt:i4>0</vt:i4>
      </vt:variant>
      <vt:variant>
        <vt:i4>5</vt:i4>
      </vt:variant>
      <vt:variant>
        <vt:lpwstr/>
      </vt:variant>
      <vt:variant>
        <vt:lpwstr>_Toc347486582</vt:lpwstr>
      </vt:variant>
      <vt:variant>
        <vt:i4>1638457</vt:i4>
      </vt:variant>
      <vt:variant>
        <vt:i4>824</vt:i4>
      </vt:variant>
      <vt:variant>
        <vt:i4>0</vt:i4>
      </vt:variant>
      <vt:variant>
        <vt:i4>5</vt:i4>
      </vt:variant>
      <vt:variant>
        <vt:lpwstr/>
      </vt:variant>
      <vt:variant>
        <vt:lpwstr>_Toc347486581</vt:lpwstr>
      </vt:variant>
      <vt:variant>
        <vt:i4>1638457</vt:i4>
      </vt:variant>
      <vt:variant>
        <vt:i4>818</vt:i4>
      </vt:variant>
      <vt:variant>
        <vt:i4>0</vt:i4>
      </vt:variant>
      <vt:variant>
        <vt:i4>5</vt:i4>
      </vt:variant>
      <vt:variant>
        <vt:lpwstr/>
      </vt:variant>
      <vt:variant>
        <vt:lpwstr>_Toc347486580</vt:lpwstr>
      </vt:variant>
      <vt:variant>
        <vt:i4>1441849</vt:i4>
      </vt:variant>
      <vt:variant>
        <vt:i4>812</vt:i4>
      </vt:variant>
      <vt:variant>
        <vt:i4>0</vt:i4>
      </vt:variant>
      <vt:variant>
        <vt:i4>5</vt:i4>
      </vt:variant>
      <vt:variant>
        <vt:lpwstr/>
      </vt:variant>
      <vt:variant>
        <vt:lpwstr>_Toc347486579</vt:lpwstr>
      </vt:variant>
      <vt:variant>
        <vt:i4>1441849</vt:i4>
      </vt:variant>
      <vt:variant>
        <vt:i4>806</vt:i4>
      </vt:variant>
      <vt:variant>
        <vt:i4>0</vt:i4>
      </vt:variant>
      <vt:variant>
        <vt:i4>5</vt:i4>
      </vt:variant>
      <vt:variant>
        <vt:lpwstr/>
      </vt:variant>
      <vt:variant>
        <vt:lpwstr>_Toc347486578</vt:lpwstr>
      </vt:variant>
      <vt:variant>
        <vt:i4>1441849</vt:i4>
      </vt:variant>
      <vt:variant>
        <vt:i4>800</vt:i4>
      </vt:variant>
      <vt:variant>
        <vt:i4>0</vt:i4>
      </vt:variant>
      <vt:variant>
        <vt:i4>5</vt:i4>
      </vt:variant>
      <vt:variant>
        <vt:lpwstr/>
      </vt:variant>
      <vt:variant>
        <vt:lpwstr>_Toc347486577</vt:lpwstr>
      </vt:variant>
      <vt:variant>
        <vt:i4>1441849</vt:i4>
      </vt:variant>
      <vt:variant>
        <vt:i4>794</vt:i4>
      </vt:variant>
      <vt:variant>
        <vt:i4>0</vt:i4>
      </vt:variant>
      <vt:variant>
        <vt:i4>5</vt:i4>
      </vt:variant>
      <vt:variant>
        <vt:lpwstr/>
      </vt:variant>
      <vt:variant>
        <vt:lpwstr>_Toc347486576</vt:lpwstr>
      </vt:variant>
      <vt:variant>
        <vt:i4>1441849</vt:i4>
      </vt:variant>
      <vt:variant>
        <vt:i4>788</vt:i4>
      </vt:variant>
      <vt:variant>
        <vt:i4>0</vt:i4>
      </vt:variant>
      <vt:variant>
        <vt:i4>5</vt:i4>
      </vt:variant>
      <vt:variant>
        <vt:lpwstr/>
      </vt:variant>
      <vt:variant>
        <vt:lpwstr>_Toc347486575</vt:lpwstr>
      </vt:variant>
      <vt:variant>
        <vt:i4>1441849</vt:i4>
      </vt:variant>
      <vt:variant>
        <vt:i4>782</vt:i4>
      </vt:variant>
      <vt:variant>
        <vt:i4>0</vt:i4>
      </vt:variant>
      <vt:variant>
        <vt:i4>5</vt:i4>
      </vt:variant>
      <vt:variant>
        <vt:lpwstr/>
      </vt:variant>
      <vt:variant>
        <vt:lpwstr>_Toc347486574</vt:lpwstr>
      </vt:variant>
      <vt:variant>
        <vt:i4>1441849</vt:i4>
      </vt:variant>
      <vt:variant>
        <vt:i4>776</vt:i4>
      </vt:variant>
      <vt:variant>
        <vt:i4>0</vt:i4>
      </vt:variant>
      <vt:variant>
        <vt:i4>5</vt:i4>
      </vt:variant>
      <vt:variant>
        <vt:lpwstr/>
      </vt:variant>
      <vt:variant>
        <vt:lpwstr>_Toc347486573</vt:lpwstr>
      </vt:variant>
      <vt:variant>
        <vt:i4>1441849</vt:i4>
      </vt:variant>
      <vt:variant>
        <vt:i4>770</vt:i4>
      </vt:variant>
      <vt:variant>
        <vt:i4>0</vt:i4>
      </vt:variant>
      <vt:variant>
        <vt:i4>5</vt:i4>
      </vt:variant>
      <vt:variant>
        <vt:lpwstr/>
      </vt:variant>
      <vt:variant>
        <vt:lpwstr>_Toc347486572</vt:lpwstr>
      </vt:variant>
      <vt:variant>
        <vt:i4>1441849</vt:i4>
      </vt:variant>
      <vt:variant>
        <vt:i4>764</vt:i4>
      </vt:variant>
      <vt:variant>
        <vt:i4>0</vt:i4>
      </vt:variant>
      <vt:variant>
        <vt:i4>5</vt:i4>
      </vt:variant>
      <vt:variant>
        <vt:lpwstr/>
      </vt:variant>
      <vt:variant>
        <vt:lpwstr>_Toc347486571</vt:lpwstr>
      </vt:variant>
      <vt:variant>
        <vt:i4>1441849</vt:i4>
      </vt:variant>
      <vt:variant>
        <vt:i4>758</vt:i4>
      </vt:variant>
      <vt:variant>
        <vt:i4>0</vt:i4>
      </vt:variant>
      <vt:variant>
        <vt:i4>5</vt:i4>
      </vt:variant>
      <vt:variant>
        <vt:lpwstr/>
      </vt:variant>
      <vt:variant>
        <vt:lpwstr>_Toc347486570</vt:lpwstr>
      </vt:variant>
      <vt:variant>
        <vt:i4>1507385</vt:i4>
      </vt:variant>
      <vt:variant>
        <vt:i4>752</vt:i4>
      </vt:variant>
      <vt:variant>
        <vt:i4>0</vt:i4>
      </vt:variant>
      <vt:variant>
        <vt:i4>5</vt:i4>
      </vt:variant>
      <vt:variant>
        <vt:lpwstr/>
      </vt:variant>
      <vt:variant>
        <vt:lpwstr>_Toc347486569</vt:lpwstr>
      </vt:variant>
      <vt:variant>
        <vt:i4>1507385</vt:i4>
      </vt:variant>
      <vt:variant>
        <vt:i4>746</vt:i4>
      </vt:variant>
      <vt:variant>
        <vt:i4>0</vt:i4>
      </vt:variant>
      <vt:variant>
        <vt:i4>5</vt:i4>
      </vt:variant>
      <vt:variant>
        <vt:lpwstr/>
      </vt:variant>
      <vt:variant>
        <vt:lpwstr>_Toc347486568</vt:lpwstr>
      </vt:variant>
      <vt:variant>
        <vt:i4>1507385</vt:i4>
      </vt:variant>
      <vt:variant>
        <vt:i4>740</vt:i4>
      </vt:variant>
      <vt:variant>
        <vt:i4>0</vt:i4>
      </vt:variant>
      <vt:variant>
        <vt:i4>5</vt:i4>
      </vt:variant>
      <vt:variant>
        <vt:lpwstr/>
      </vt:variant>
      <vt:variant>
        <vt:lpwstr>_Toc347486567</vt:lpwstr>
      </vt:variant>
      <vt:variant>
        <vt:i4>1507385</vt:i4>
      </vt:variant>
      <vt:variant>
        <vt:i4>734</vt:i4>
      </vt:variant>
      <vt:variant>
        <vt:i4>0</vt:i4>
      </vt:variant>
      <vt:variant>
        <vt:i4>5</vt:i4>
      </vt:variant>
      <vt:variant>
        <vt:lpwstr/>
      </vt:variant>
      <vt:variant>
        <vt:lpwstr>_Toc347486566</vt:lpwstr>
      </vt:variant>
      <vt:variant>
        <vt:i4>1507385</vt:i4>
      </vt:variant>
      <vt:variant>
        <vt:i4>728</vt:i4>
      </vt:variant>
      <vt:variant>
        <vt:i4>0</vt:i4>
      </vt:variant>
      <vt:variant>
        <vt:i4>5</vt:i4>
      </vt:variant>
      <vt:variant>
        <vt:lpwstr/>
      </vt:variant>
      <vt:variant>
        <vt:lpwstr>_Toc347486565</vt:lpwstr>
      </vt:variant>
      <vt:variant>
        <vt:i4>1507385</vt:i4>
      </vt:variant>
      <vt:variant>
        <vt:i4>722</vt:i4>
      </vt:variant>
      <vt:variant>
        <vt:i4>0</vt:i4>
      </vt:variant>
      <vt:variant>
        <vt:i4>5</vt:i4>
      </vt:variant>
      <vt:variant>
        <vt:lpwstr/>
      </vt:variant>
      <vt:variant>
        <vt:lpwstr>_Toc347486564</vt:lpwstr>
      </vt:variant>
      <vt:variant>
        <vt:i4>1507385</vt:i4>
      </vt:variant>
      <vt:variant>
        <vt:i4>716</vt:i4>
      </vt:variant>
      <vt:variant>
        <vt:i4>0</vt:i4>
      </vt:variant>
      <vt:variant>
        <vt:i4>5</vt:i4>
      </vt:variant>
      <vt:variant>
        <vt:lpwstr/>
      </vt:variant>
      <vt:variant>
        <vt:lpwstr>_Toc347486563</vt:lpwstr>
      </vt:variant>
      <vt:variant>
        <vt:i4>1507385</vt:i4>
      </vt:variant>
      <vt:variant>
        <vt:i4>710</vt:i4>
      </vt:variant>
      <vt:variant>
        <vt:i4>0</vt:i4>
      </vt:variant>
      <vt:variant>
        <vt:i4>5</vt:i4>
      </vt:variant>
      <vt:variant>
        <vt:lpwstr/>
      </vt:variant>
      <vt:variant>
        <vt:lpwstr>_Toc347486562</vt:lpwstr>
      </vt:variant>
      <vt:variant>
        <vt:i4>1507385</vt:i4>
      </vt:variant>
      <vt:variant>
        <vt:i4>704</vt:i4>
      </vt:variant>
      <vt:variant>
        <vt:i4>0</vt:i4>
      </vt:variant>
      <vt:variant>
        <vt:i4>5</vt:i4>
      </vt:variant>
      <vt:variant>
        <vt:lpwstr/>
      </vt:variant>
      <vt:variant>
        <vt:lpwstr>_Toc347486561</vt:lpwstr>
      </vt:variant>
      <vt:variant>
        <vt:i4>1507385</vt:i4>
      </vt:variant>
      <vt:variant>
        <vt:i4>698</vt:i4>
      </vt:variant>
      <vt:variant>
        <vt:i4>0</vt:i4>
      </vt:variant>
      <vt:variant>
        <vt:i4>5</vt:i4>
      </vt:variant>
      <vt:variant>
        <vt:lpwstr/>
      </vt:variant>
      <vt:variant>
        <vt:lpwstr>_Toc347486560</vt:lpwstr>
      </vt:variant>
      <vt:variant>
        <vt:i4>1310777</vt:i4>
      </vt:variant>
      <vt:variant>
        <vt:i4>692</vt:i4>
      </vt:variant>
      <vt:variant>
        <vt:i4>0</vt:i4>
      </vt:variant>
      <vt:variant>
        <vt:i4>5</vt:i4>
      </vt:variant>
      <vt:variant>
        <vt:lpwstr/>
      </vt:variant>
      <vt:variant>
        <vt:lpwstr>_Toc347486559</vt:lpwstr>
      </vt:variant>
      <vt:variant>
        <vt:i4>1310777</vt:i4>
      </vt:variant>
      <vt:variant>
        <vt:i4>686</vt:i4>
      </vt:variant>
      <vt:variant>
        <vt:i4>0</vt:i4>
      </vt:variant>
      <vt:variant>
        <vt:i4>5</vt:i4>
      </vt:variant>
      <vt:variant>
        <vt:lpwstr/>
      </vt:variant>
      <vt:variant>
        <vt:lpwstr>_Toc347486558</vt:lpwstr>
      </vt:variant>
      <vt:variant>
        <vt:i4>1310777</vt:i4>
      </vt:variant>
      <vt:variant>
        <vt:i4>680</vt:i4>
      </vt:variant>
      <vt:variant>
        <vt:i4>0</vt:i4>
      </vt:variant>
      <vt:variant>
        <vt:i4>5</vt:i4>
      </vt:variant>
      <vt:variant>
        <vt:lpwstr/>
      </vt:variant>
      <vt:variant>
        <vt:lpwstr>_Toc347486557</vt:lpwstr>
      </vt:variant>
      <vt:variant>
        <vt:i4>1310777</vt:i4>
      </vt:variant>
      <vt:variant>
        <vt:i4>674</vt:i4>
      </vt:variant>
      <vt:variant>
        <vt:i4>0</vt:i4>
      </vt:variant>
      <vt:variant>
        <vt:i4>5</vt:i4>
      </vt:variant>
      <vt:variant>
        <vt:lpwstr/>
      </vt:variant>
      <vt:variant>
        <vt:lpwstr>_Toc347486556</vt:lpwstr>
      </vt:variant>
      <vt:variant>
        <vt:i4>1310777</vt:i4>
      </vt:variant>
      <vt:variant>
        <vt:i4>668</vt:i4>
      </vt:variant>
      <vt:variant>
        <vt:i4>0</vt:i4>
      </vt:variant>
      <vt:variant>
        <vt:i4>5</vt:i4>
      </vt:variant>
      <vt:variant>
        <vt:lpwstr/>
      </vt:variant>
      <vt:variant>
        <vt:lpwstr>_Toc347486555</vt:lpwstr>
      </vt:variant>
      <vt:variant>
        <vt:i4>1310777</vt:i4>
      </vt:variant>
      <vt:variant>
        <vt:i4>662</vt:i4>
      </vt:variant>
      <vt:variant>
        <vt:i4>0</vt:i4>
      </vt:variant>
      <vt:variant>
        <vt:i4>5</vt:i4>
      </vt:variant>
      <vt:variant>
        <vt:lpwstr/>
      </vt:variant>
      <vt:variant>
        <vt:lpwstr>_Toc347486554</vt:lpwstr>
      </vt:variant>
      <vt:variant>
        <vt:i4>1310777</vt:i4>
      </vt:variant>
      <vt:variant>
        <vt:i4>656</vt:i4>
      </vt:variant>
      <vt:variant>
        <vt:i4>0</vt:i4>
      </vt:variant>
      <vt:variant>
        <vt:i4>5</vt:i4>
      </vt:variant>
      <vt:variant>
        <vt:lpwstr/>
      </vt:variant>
      <vt:variant>
        <vt:lpwstr>_Toc347486553</vt:lpwstr>
      </vt:variant>
      <vt:variant>
        <vt:i4>1310777</vt:i4>
      </vt:variant>
      <vt:variant>
        <vt:i4>650</vt:i4>
      </vt:variant>
      <vt:variant>
        <vt:i4>0</vt:i4>
      </vt:variant>
      <vt:variant>
        <vt:i4>5</vt:i4>
      </vt:variant>
      <vt:variant>
        <vt:lpwstr/>
      </vt:variant>
      <vt:variant>
        <vt:lpwstr>_Toc347486552</vt:lpwstr>
      </vt:variant>
      <vt:variant>
        <vt:i4>1310777</vt:i4>
      </vt:variant>
      <vt:variant>
        <vt:i4>644</vt:i4>
      </vt:variant>
      <vt:variant>
        <vt:i4>0</vt:i4>
      </vt:variant>
      <vt:variant>
        <vt:i4>5</vt:i4>
      </vt:variant>
      <vt:variant>
        <vt:lpwstr/>
      </vt:variant>
      <vt:variant>
        <vt:lpwstr>_Toc347486551</vt:lpwstr>
      </vt:variant>
      <vt:variant>
        <vt:i4>1310777</vt:i4>
      </vt:variant>
      <vt:variant>
        <vt:i4>638</vt:i4>
      </vt:variant>
      <vt:variant>
        <vt:i4>0</vt:i4>
      </vt:variant>
      <vt:variant>
        <vt:i4>5</vt:i4>
      </vt:variant>
      <vt:variant>
        <vt:lpwstr/>
      </vt:variant>
      <vt:variant>
        <vt:lpwstr>_Toc347486550</vt:lpwstr>
      </vt:variant>
      <vt:variant>
        <vt:i4>1376313</vt:i4>
      </vt:variant>
      <vt:variant>
        <vt:i4>632</vt:i4>
      </vt:variant>
      <vt:variant>
        <vt:i4>0</vt:i4>
      </vt:variant>
      <vt:variant>
        <vt:i4>5</vt:i4>
      </vt:variant>
      <vt:variant>
        <vt:lpwstr/>
      </vt:variant>
      <vt:variant>
        <vt:lpwstr>_Toc347486549</vt:lpwstr>
      </vt:variant>
      <vt:variant>
        <vt:i4>1376313</vt:i4>
      </vt:variant>
      <vt:variant>
        <vt:i4>626</vt:i4>
      </vt:variant>
      <vt:variant>
        <vt:i4>0</vt:i4>
      </vt:variant>
      <vt:variant>
        <vt:i4>5</vt:i4>
      </vt:variant>
      <vt:variant>
        <vt:lpwstr/>
      </vt:variant>
      <vt:variant>
        <vt:lpwstr>_Toc347486548</vt:lpwstr>
      </vt:variant>
      <vt:variant>
        <vt:i4>1376313</vt:i4>
      </vt:variant>
      <vt:variant>
        <vt:i4>620</vt:i4>
      </vt:variant>
      <vt:variant>
        <vt:i4>0</vt:i4>
      </vt:variant>
      <vt:variant>
        <vt:i4>5</vt:i4>
      </vt:variant>
      <vt:variant>
        <vt:lpwstr/>
      </vt:variant>
      <vt:variant>
        <vt:lpwstr>_Toc347486547</vt:lpwstr>
      </vt:variant>
      <vt:variant>
        <vt:i4>1376313</vt:i4>
      </vt:variant>
      <vt:variant>
        <vt:i4>614</vt:i4>
      </vt:variant>
      <vt:variant>
        <vt:i4>0</vt:i4>
      </vt:variant>
      <vt:variant>
        <vt:i4>5</vt:i4>
      </vt:variant>
      <vt:variant>
        <vt:lpwstr/>
      </vt:variant>
      <vt:variant>
        <vt:lpwstr>_Toc347486546</vt:lpwstr>
      </vt:variant>
      <vt:variant>
        <vt:i4>1376313</vt:i4>
      </vt:variant>
      <vt:variant>
        <vt:i4>608</vt:i4>
      </vt:variant>
      <vt:variant>
        <vt:i4>0</vt:i4>
      </vt:variant>
      <vt:variant>
        <vt:i4>5</vt:i4>
      </vt:variant>
      <vt:variant>
        <vt:lpwstr/>
      </vt:variant>
      <vt:variant>
        <vt:lpwstr>_Toc347486545</vt:lpwstr>
      </vt:variant>
      <vt:variant>
        <vt:i4>1376313</vt:i4>
      </vt:variant>
      <vt:variant>
        <vt:i4>602</vt:i4>
      </vt:variant>
      <vt:variant>
        <vt:i4>0</vt:i4>
      </vt:variant>
      <vt:variant>
        <vt:i4>5</vt:i4>
      </vt:variant>
      <vt:variant>
        <vt:lpwstr/>
      </vt:variant>
      <vt:variant>
        <vt:lpwstr>_Toc347486544</vt:lpwstr>
      </vt:variant>
      <vt:variant>
        <vt:i4>1376313</vt:i4>
      </vt:variant>
      <vt:variant>
        <vt:i4>596</vt:i4>
      </vt:variant>
      <vt:variant>
        <vt:i4>0</vt:i4>
      </vt:variant>
      <vt:variant>
        <vt:i4>5</vt:i4>
      </vt:variant>
      <vt:variant>
        <vt:lpwstr/>
      </vt:variant>
      <vt:variant>
        <vt:lpwstr>_Toc347486543</vt:lpwstr>
      </vt:variant>
      <vt:variant>
        <vt:i4>1376313</vt:i4>
      </vt:variant>
      <vt:variant>
        <vt:i4>590</vt:i4>
      </vt:variant>
      <vt:variant>
        <vt:i4>0</vt:i4>
      </vt:variant>
      <vt:variant>
        <vt:i4>5</vt:i4>
      </vt:variant>
      <vt:variant>
        <vt:lpwstr/>
      </vt:variant>
      <vt:variant>
        <vt:lpwstr>_Toc347486542</vt:lpwstr>
      </vt:variant>
      <vt:variant>
        <vt:i4>1376313</vt:i4>
      </vt:variant>
      <vt:variant>
        <vt:i4>584</vt:i4>
      </vt:variant>
      <vt:variant>
        <vt:i4>0</vt:i4>
      </vt:variant>
      <vt:variant>
        <vt:i4>5</vt:i4>
      </vt:variant>
      <vt:variant>
        <vt:lpwstr/>
      </vt:variant>
      <vt:variant>
        <vt:lpwstr>_Toc347486541</vt:lpwstr>
      </vt:variant>
      <vt:variant>
        <vt:i4>1376313</vt:i4>
      </vt:variant>
      <vt:variant>
        <vt:i4>578</vt:i4>
      </vt:variant>
      <vt:variant>
        <vt:i4>0</vt:i4>
      </vt:variant>
      <vt:variant>
        <vt:i4>5</vt:i4>
      </vt:variant>
      <vt:variant>
        <vt:lpwstr/>
      </vt:variant>
      <vt:variant>
        <vt:lpwstr>_Toc347486540</vt:lpwstr>
      </vt:variant>
      <vt:variant>
        <vt:i4>1179705</vt:i4>
      </vt:variant>
      <vt:variant>
        <vt:i4>572</vt:i4>
      </vt:variant>
      <vt:variant>
        <vt:i4>0</vt:i4>
      </vt:variant>
      <vt:variant>
        <vt:i4>5</vt:i4>
      </vt:variant>
      <vt:variant>
        <vt:lpwstr/>
      </vt:variant>
      <vt:variant>
        <vt:lpwstr>_Toc347486539</vt:lpwstr>
      </vt:variant>
      <vt:variant>
        <vt:i4>1179705</vt:i4>
      </vt:variant>
      <vt:variant>
        <vt:i4>566</vt:i4>
      </vt:variant>
      <vt:variant>
        <vt:i4>0</vt:i4>
      </vt:variant>
      <vt:variant>
        <vt:i4>5</vt:i4>
      </vt:variant>
      <vt:variant>
        <vt:lpwstr/>
      </vt:variant>
      <vt:variant>
        <vt:lpwstr>_Toc347486538</vt:lpwstr>
      </vt:variant>
      <vt:variant>
        <vt:i4>1179705</vt:i4>
      </vt:variant>
      <vt:variant>
        <vt:i4>560</vt:i4>
      </vt:variant>
      <vt:variant>
        <vt:i4>0</vt:i4>
      </vt:variant>
      <vt:variant>
        <vt:i4>5</vt:i4>
      </vt:variant>
      <vt:variant>
        <vt:lpwstr/>
      </vt:variant>
      <vt:variant>
        <vt:lpwstr>_Toc347486537</vt:lpwstr>
      </vt:variant>
      <vt:variant>
        <vt:i4>1179705</vt:i4>
      </vt:variant>
      <vt:variant>
        <vt:i4>554</vt:i4>
      </vt:variant>
      <vt:variant>
        <vt:i4>0</vt:i4>
      </vt:variant>
      <vt:variant>
        <vt:i4>5</vt:i4>
      </vt:variant>
      <vt:variant>
        <vt:lpwstr/>
      </vt:variant>
      <vt:variant>
        <vt:lpwstr>_Toc347486536</vt:lpwstr>
      </vt:variant>
      <vt:variant>
        <vt:i4>1179705</vt:i4>
      </vt:variant>
      <vt:variant>
        <vt:i4>548</vt:i4>
      </vt:variant>
      <vt:variant>
        <vt:i4>0</vt:i4>
      </vt:variant>
      <vt:variant>
        <vt:i4>5</vt:i4>
      </vt:variant>
      <vt:variant>
        <vt:lpwstr/>
      </vt:variant>
      <vt:variant>
        <vt:lpwstr>_Toc347486535</vt:lpwstr>
      </vt:variant>
      <vt:variant>
        <vt:i4>1179705</vt:i4>
      </vt:variant>
      <vt:variant>
        <vt:i4>542</vt:i4>
      </vt:variant>
      <vt:variant>
        <vt:i4>0</vt:i4>
      </vt:variant>
      <vt:variant>
        <vt:i4>5</vt:i4>
      </vt:variant>
      <vt:variant>
        <vt:lpwstr/>
      </vt:variant>
      <vt:variant>
        <vt:lpwstr>_Toc347486534</vt:lpwstr>
      </vt:variant>
      <vt:variant>
        <vt:i4>1179705</vt:i4>
      </vt:variant>
      <vt:variant>
        <vt:i4>536</vt:i4>
      </vt:variant>
      <vt:variant>
        <vt:i4>0</vt:i4>
      </vt:variant>
      <vt:variant>
        <vt:i4>5</vt:i4>
      </vt:variant>
      <vt:variant>
        <vt:lpwstr/>
      </vt:variant>
      <vt:variant>
        <vt:lpwstr>_Toc347486533</vt:lpwstr>
      </vt:variant>
      <vt:variant>
        <vt:i4>1179705</vt:i4>
      </vt:variant>
      <vt:variant>
        <vt:i4>530</vt:i4>
      </vt:variant>
      <vt:variant>
        <vt:i4>0</vt:i4>
      </vt:variant>
      <vt:variant>
        <vt:i4>5</vt:i4>
      </vt:variant>
      <vt:variant>
        <vt:lpwstr/>
      </vt:variant>
      <vt:variant>
        <vt:lpwstr>_Toc347486532</vt:lpwstr>
      </vt:variant>
      <vt:variant>
        <vt:i4>1179705</vt:i4>
      </vt:variant>
      <vt:variant>
        <vt:i4>524</vt:i4>
      </vt:variant>
      <vt:variant>
        <vt:i4>0</vt:i4>
      </vt:variant>
      <vt:variant>
        <vt:i4>5</vt:i4>
      </vt:variant>
      <vt:variant>
        <vt:lpwstr/>
      </vt:variant>
      <vt:variant>
        <vt:lpwstr>_Toc347486531</vt:lpwstr>
      </vt:variant>
      <vt:variant>
        <vt:i4>1179705</vt:i4>
      </vt:variant>
      <vt:variant>
        <vt:i4>518</vt:i4>
      </vt:variant>
      <vt:variant>
        <vt:i4>0</vt:i4>
      </vt:variant>
      <vt:variant>
        <vt:i4>5</vt:i4>
      </vt:variant>
      <vt:variant>
        <vt:lpwstr/>
      </vt:variant>
      <vt:variant>
        <vt:lpwstr>_Toc347486530</vt:lpwstr>
      </vt:variant>
      <vt:variant>
        <vt:i4>1245241</vt:i4>
      </vt:variant>
      <vt:variant>
        <vt:i4>512</vt:i4>
      </vt:variant>
      <vt:variant>
        <vt:i4>0</vt:i4>
      </vt:variant>
      <vt:variant>
        <vt:i4>5</vt:i4>
      </vt:variant>
      <vt:variant>
        <vt:lpwstr/>
      </vt:variant>
      <vt:variant>
        <vt:lpwstr>_Toc347486529</vt:lpwstr>
      </vt:variant>
      <vt:variant>
        <vt:i4>1245241</vt:i4>
      </vt:variant>
      <vt:variant>
        <vt:i4>506</vt:i4>
      </vt:variant>
      <vt:variant>
        <vt:i4>0</vt:i4>
      </vt:variant>
      <vt:variant>
        <vt:i4>5</vt:i4>
      </vt:variant>
      <vt:variant>
        <vt:lpwstr/>
      </vt:variant>
      <vt:variant>
        <vt:lpwstr>_Toc347486528</vt:lpwstr>
      </vt:variant>
      <vt:variant>
        <vt:i4>1245241</vt:i4>
      </vt:variant>
      <vt:variant>
        <vt:i4>500</vt:i4>
      </vt:variant>
      <vt:variant>
        <vt:i4>0</vt:i4>
      </vt:variant>
      <vt:variant>
        <vt:i4>5</vt:i4>
      </vt:variant>
      <vt:variant>
        <vt:lpwstr/>
      </vt:variant>
      <vt:variant>
        <vt:lpwstr>_Toc347486527</vt:lpwstr>
      </vt:variant>
      <vt:variant>
        <vt:i4>1245241</vt:i4>
      </vt:variant>
      <vt:variant>
        <vt:i4>494</vt:i4>
      </vt:variant>
      <vt:variant>
        <vt:i4>0</vt:i4>
      </vt:variant>
      <vt:variant>
        <vt:i4>5</vt:i4>
      </vt:variant>
      <vt:variant>
        <vt:lpwstr/>
      </vt:variant>
      <vt:variant>
        <vt:lpwstr>_Toc347486526</vt:lpwstr>
      </vt:variant>
      <vt:variant>
        <vt:i4>1245241</vt:i4>
      </vt:variant>
      <vt:variant>
        <vt:i4>488</vt:i4>
      </vt:variant>
      <vt:variant>
        <vt:i4>0</vt:i4>
      </vt:variant>
      <vt:variant>
        <vt:i4>5</vt:i4>
      </vt:variant>
      <vt:variant>
        <vt:lpwstr/>
      </vt:variant>
      <vt:variant>
        <vt:lpwstr>_Toc347486525</vt:lpwstr>
      </vt:variant>
      <vt:variant>
        <vt:i4>1245241</vt:i4>
      </vt:variant>
      <vt:variant>
        <vt:i4>482</vt:i4>
      </vt:variant>
      <vt:variant>
        <vt:i4>0</vt:i4>
      </vt:variant>
      <vt:variant>
        <vt:i4>5</vt:i4>
      </vt:variant>
      <vt:variant>
        <vt:lpwstr/>
      </vt:variant>
      <vt:variant>
        <vt:lpwstr>_Toc347486524</vt:lpwstr>
      </vt:variant>
      <vt:variant>
        <vt:i4>1245241</vt:i4>
      </vt:variant>
      <vt:variant>
        <vt:i4>476</vt:i4>
      </vt:variant>
      <vt:variant>
        <vt:i4>0</vt:i4>
      </vt:variant>
      <vt:variant>
        <vt:i4>5</vt:i4>
      </vt:variant>
      <vt:variant>
        <vt:lpwstr/>
      </vt:variant>
      <vt:variant>
        <vt:lpwstr>_Toc347486523</vt:lpwstr>
      </vt:variant>
      <vt:variant>
        <vt:i4>1245241</vt:i4>
      </vt:variant>
      <vt:variant>
        <vt:i4>470</vt:i4>
      </vt:variant>
      <vt:variant>
        <vt:i4>0</vt:i4>
      </vt:variant>
      <vt:variant>
        <vt:i4>5</vt:i4>
      </vt:variant>
      <vt:variant>
        <vt:lpwstr/>
      </vt:variant>
      <vt:variant>
        <vt:lpwstr>_Toc347486522</vt:lpwstr>
      </vt:variant>
      <vt:variant>
        <vt:i4>1245241</vt:i4>
      </vt:variant>
      <vt:variant>
        <vt:i4>464</vt:i4>
      </vt:variant>
      <vt:variant>
        <vt:i4>0</vt:i4>
      </vt:variant>
      <vt:variant>
        <vt:i4>5</vt:i4>
      </vt:variant>
      <vt:variant>
        <vt:lpwstr/>
      </vt:variant>
      <vt:variant>
        <vt:lpwstr>_Toc347486521</vt:lpwstr>
      </vt:variant>
      <vt:variant>
        <vt:i4>1245241</vt:i4>
      </vt:variant>
      <vt:variant>
        <vt:i4>458</vt:i4>
      </vt:variant>
      <vt:variant>
        <vt:i4>0</vt:i4>
      </vt:variant>
      <vt:variant>
        <vt:i4>5</vt:i4>
      </vt:variant>
      <vt:variant>
        <vt:lpwstr/>
      </vt:variant>
      <vt:variant>
        <vt:lpwstr>_Toc347486520</vt:lpwstr>
      </vt:variant>
      <vt:variant>
        <vt:i4>1048633</vt:i4>
      </vt:variant>
      <vt:variant>
        <vt:i4>452</vt:i4>
      </vt:variant>
      <vt:variant>
        <vt:i4>0</vt:i4>
      </vt:variant>
      <vt:variant>
        <vt:i4>5</vt:i4>
      </vt:variant>
      <vt:variant>
        <vt:lpwstr/>
      </vt:variant>
      <vt:variant>
        <vt:lpwstr>_Toc347486519</vt:lpwstr>
      </vt:variant>
      <vt:variant>
        <vt:i4>1048633</vt:i4>
      </vt:variant>
      <vt:variant>
        <vt:i4>446</vt:i4>
      </vt:variant>
      <vt:variant>
        <vt:i4>0</vt:i4>
      </vt:variant>
      <vt:variant>
        <vt:i4>5</vt:i4>
      </vt:variant>
      <vt:variant>
        <vt:lpwstr/>
      </vt:variant>
      <vt:variant>
        <vt:lpwstr>_Toc347486518</vt:lpwstr>
      </vt:variant>
      <vt:variant>
        <vt:i4>1048633</vt:i4>
      </vt:variant>
      <vt:variant>
        <vt:i4>440</vt:i4>
      </vt:variant>
      <vt:variant>
        <vt:i4>0</vt:i4>
      </vt:variant>
      <vt:variant>
        <vt:i4>5</vt:i4>
      </vt:variant>
      <vt:variant>
        <vt:lpwstr/>
      </vt:variant>
      <vt:variant>
        <vt:lpwstr>_Toc347486517</vt:lpwstr>
      </vt:variant>
      <vt:variant>
        <vt:i4>1048633</vt:i4>
      </vt:variant>
      <vt:variant>
        <vt:i4>434</vt:i4>
      </vt:variant>
      <vt:variant>
        <vt:i4>0</vt:i4>
      </vt:variant>
      <vt:variant>
        <vt:i4>5</vt:i4>
      </vt:variant>
      <vt:variant>
        <vt:lpwstr/>
      </vt:variant>
      <vt:variant>
        <vt:lpwstr>_Toc347486516</vt:lpwstr>
      </vt:variant>
      <vt:variant>
        <vt:i4>1048633</vt:i4>
      </vt:variant>
      <vt:variant>
        <vt:i4>428</vt:i4>
      </vt:variant>
      <vt:variant>
        <vt:i4>0</vt:i4>
      </vt:variant>
      <vt:variant>
        <vt:i4>5</vt:i4>
      </vt:variant>
      <vt:variant>
        <vt:lpwstr/>
      </vt:variant>
      <vt:variant>
        <vt:lpwstr>_Toc347486515</vt:lpwstr>
      </vt:variant>
      <vt:variant>
        <vt:i4>1048633</vt:i4>
      </vt:variant>
      <vt:variant>
        <vt:i4>422</vt:i4>
      </vt:variant>
      <vt:variant>
        <vt:i4>0</vt:i4>
      </vt:variant>
      <vt:variant>
        <vt:i4>5</vt:i4>
      </vt:variant>
      <vt:variant>
        <vt:lpwstr/>
      </vt:variant>
      <vt:variant>
        <vt:lpwstr>_Toc347486514</vt:lpwstr>
      </vt:variant>
      <vt:variant>
        <vt:i4>1048633</vt:i4>
      </vt:variant>
      <vt:variant>
        <vt:i4>416</vt:i4>
      </vt:variant>
      <vt:variant>
        <vt:i4>0</vt:i4>
      </vt:variant>
      <vt:variant>
        <vt:i4>5</vt:i4>
      </vt:variant>
      <vt:variant>
        <vt:lpwstr/>
      </vt:variant>
      <vt:variant>
        <vt:lpwstr>_Toc347486513</vt:lpwstr>
      </vt:variant>
      <vt:variant>
        <vt:i4>1048633</vt:i4>
      </vt:variant>
      <vt:variant>
        <vt:i4>410</vt:i4>
      </vt:variant>
      <vt:variant>
        <vt:i4>0</vt:i4>
      </vt:variant>
      <vt:variant>
        <vt:i4>5</vt:i4>
      </vt:variant>
      <vt:variant>
        <vt:lpwstr/>
      </vt:variant>
      <vt:variant>
        <vt:lpwstr>_Toc347486512</vt:lpwstr>
      </vt:variant>
      <vt:variant>
        <vt:i4>1048633</vt:i4>
      </vt:variant>
      <vt:variant>
        <vt:i4>404</vt:i4>
      </vt:variant>
      <vt:variant>
        <vt:i4>0</vt:i4>
      </vt:variant>
      <vt:variant>
        <vt:i4>5</vt:i4>
      </vt:variant>
      <vt:variant>
        <vt:lpwstr/>
      </vt:variant>
      <vt:variant>
        <vt:lpwstr>_Toc347486511</vt:lpwstr>
      </vt:variant>
      <vt:variant>
        <vt:i4>1048633</vt:i4>
      </vt:variant>
      <vt:variant>
        <vt:i4>398</vt:i4>
      </vt:variant>
      <vt:variant>
        <vt:i4>0</vt:i4>
      </vt:variant>
      <vt:variant>
        <vt:i4>5</vt:i4>
      </vt:variant>
      <vt:variant>
        <vt:lpwstr/>
      </vt:variant>
      <vt:variant>
        <vt:lpwstr>_Toc347486510</vt:lpwstr>
      </vt:variant>
      <vt:variant>
        <vt:i4>1114169</vt:i4>
      </vt:variant>
      <vt:variant>
        <vt:i4>392</vt:i4>
      </vt:variant>
      <vt:variant>
        <vt:i4>0</vt:i4>
      </vt:variant>
      <vt:variant>
        <vt:i4>5</vt:i4>
      </vt:variant>
      <vt:variant>
        <vt:lpwstr/>
      </vt:variant>
      <vt:variant>
        <vt:lpwstr>_Toc347486509</vt:lpwstr>
      </vt:variant>
      <vt:variant>
        <vt:i4>1114169</vt:i4>
      </vt:variant>
      <vt:variant>
        <vt:i4>386</vt:i4>
      </vt:variant>
      <vt:variant>
        <vt:i4>0</vt:i4>
      </vt:variant>
      <vt:variant>
        <vt:i4>5</vt:i4>
      </vt:variant>
      <vt:variant>
        <vt:lpwstr/>
      </vt:variant>
      <vt:variant>
        <vt:lpwstr>_Toc347486508</vt:lpwstr>
      </vt:variant>
      <vt:variant>
        <vt:i4>1114169</vt:i4>
      </vt:variant>
      <vt:variant>
        <vt:i4>380</vt:i4>
      </vt:variant>
      <vt:variant>
        <vt:i4>0</vt:i4>
      </vt:variant>
      <vt:variant>
        <vt:i4>5</vt:i4>
      </vt:variant>
      <vt:variant>
        <vt:lpwstr/>
      </vt:variant>
      <vt:variant>
        <vt:lpwstr>_Toc347486507</vt:lpwstr>
      </vt:variant>
      <vt:variant>
        <vt:i4>1114169</vt:i4>
      </vt:variant>
      <vt:variant>
        <vt:i4>374</vt:i4>
      </vt:variant>
      <vt:variant>
        <vt:i4>0</vt:i4>
      </vt:variant>
      <vt:variant>
        <vt:i4>5</vt:i4>
      </vt:variant>
      <vt:variant>
        <vt:lpwstr/>
      </vt:variant>
      <vt:variant>
        <vt:lpwstr>_Toc347486506</vt:lpwstr>
      </vt:variant>
      <vt:variant>
        <vt:i4>1114169</vt:i4>
      </vt:variant>
      <vt:variant>
        <vt:i4>368</vt:i4>
      </vt:variant>
      <vt:variant>
        <vt:i4>0</vt:i4>
      </vt:variant>
      <vt:variant>
        <vt:i4>5</vt:i4>
      </vt:variant>
      <vt:variant>
        <vt:lpwstr/>
      </vt:variant>
      <vt:variant>
        <vt:lpwstr>_Toc347486505</vt:lpwstr>
      </vt:variant>
      <vt:variant>
        <vt:i4>1114169</vt:i4>
      </vt:variant>
      <vt:variant>
        <vt:i4>362</vt:i4>
      </vt:variant>
      <vt:variant>
        <vt:i4>0</vt:i4>
      </vt:variant>
      <vt:variant>
        <vt:i4>5</vt:i4>
      </vt:variant>
      <vt:variant>
        <vt:lpwstr/>
      </vt:variant>
      <vt:variant>
        <vt:lpwstr>_Toc347486504</vt:lpwstr>
      </vt:variant>
      <vt:variant>
        <vt:i4>1114169</vt:i4>
      </vt:variant>
      <vt:variant>
        <vt:i4>356</vt:i4>
      </vt:variant>
      <vt:variant>
        <vt:i4>0</vt:i4>
      </vt:variant>
      <vt:variant>
        <vt:i4>5</vt:i4>
      </vt:variant>
      <vt:variant>
        <vt:lpwstr/>
      </vt:variant>
      <vt:variant>
        <vt:lpwstr>_Toc347486503</vt:lpwstr>
      </vt:variant>
      <vt:variant>
        <vt:i4>1114169</vt:i4>
      </vt:variant>
      <vt:variant>
        <vt:i4>350</vt:i4>
      </vt:variant>
      <vt:variant>
        <vt:i4>0</vt:i4>
      </vt:variant>
      <vt:variant>
        <vt:i4>5</vt:i4>
      </vt:variant>
      <vt:variant>
        <vt:lpwstr/>
      </vt:variant>
      <vt:variant>
        <vt:lpwstr>_Toc347486502</vt:lpwstr>
      </vt:variant>
      <vt:variant>
        <vt:i4>1114169</vt:i4>
      </vt:variant>
      <vt:variant>
        <vt:i4>344</vt:i4>
      </vt:variant>
      <vt:variant>
        <vt:i4>0</vt:i4>
      </vt:variant>
      <vt:variant>
        <vt:i4>5</vt:i4>
      </vt:variant>
      <vt:variant>
        <vt:lpwstr/>
      </vt:variant>
      <vt:variant>
        <vt:lpwstr>_Toc347486501</vt:lpwstr>
      </vt:variant>
      <vt:variant>
        <vt:i4>1114169</vt:i4>
      </vt:variant>
      <vt:variant>
        <vt:i4>338</vt:i4>
      </vt:variant>
      <vt:variant>
        <vt:i4>0</vt:i4>
      </vt:variant>
      <vt:variant>
        <vt:i4>5</vt:i4>
      </vt:variant>
      <vt:variant>
        <vt:lpwstr/>
      </vt:variant>
      <vt:variant>
        <vt:lpwstr>_Toc347486500</vt:lpwstr>
      </vt:variant>
      <vt:variant>
        <vt:i4>1572920</vt:i4>
      </vt:variant>
      <vt:variant>
        <vt:i4>332</vt:i4>
      </vt:variant>
      <vt:variant>
        <vt:i4>0</vt:i4>
      </vt:variant>
      <vt:variant>
        <vt:i4>5</vt:i4>
      </vt:variant>
      <vt:variant>
        <vt:lpwstr/>
      </vt:variant>
      <vt:variant>
        <vt:lpwstr>_Toc347486499</vt:lpwstr>
      </vt:variant>
      <vt:variant>
        <vt:i4>1572920</vt:i4>
      </vt:variant>
      <vt:variant>
        <vt:i4>326</vt:i4>
      </vt:variant>
      <vt:variant>
        <vt:i4>0</vt:i4>
      </vt:variant>
      <vt:variant>
        <vt:i4>5</vt:i4>
      </vt:variant>
      <vt:variant>
        <vt:lpwstr/>
      </vt:variant>
      <vt:variant>
        <vt:lpwstr>_Toc347486498</vt:lpwstr>
      </vt:variant>
      <vt:variant>
        <vt:i4>1572920</vt:i4>
      </vt:variant>
      <vt:variant>
        <vt:i4>320</vt:i4>
      </vt:variant>
      <vt:variant>
        <vt:i4>0</vt:i4>
      </vt:variant>
      <vt:variant>
        <vt:i4>5</vt:i4>
      </vt:variant>
      <vt:variant>
        <vt:lpwstr/>
      </vt:variant>
      <vt:variant>
        <vt:lpwstr>_Toc347486497</vt:lpwstr>
      </vt:variant>
      <vt:variant>
        <vt:i4>1572920</vt:i4>
      </vt:variant>
      <vt:variant>
        <vt:i4>314</vt:i4>
      </vt:variant>
      <vt:variant>
        <vt:i4>0</vt:i4>
      </vt:variant>
      <vt:variant>
        <vt:i4>5</vt:i4>
      </vt:variant>
      <vt:variant>
        <vt:lpwstr/>
      </vt:variant>
      <vt:variant>
        <vt:lpwstr>_Toc347486496</vt:lpwstr>
      </vt:variant>
      <vt:variant>
        <vt:i4>1572920</vt:i4>
      </vt:variant>
      <vt:variant>
        <vt:i4>308</vt:i4>
      </vt:variant>
      <vt:variant>
        <vt:i4>0</vt:i4>
      </vt:variant>
      <vt:variant>
        <vt:i4>5</vt:i4>
      </vt:variant>
      <vt:variant>
        <vt:lpwstr/>
      </vt:variant>
      <vt:variant>
        <vt:lpwstr>_Toc347486495</vt:lpwstr>
      </vt:variant>
      <vt:variant>
        <vt:i4>1572920</vt:i4>
      </vt:variant>
      <vt:variant>
        <vt:i4>302</vt:i4>
      </vt:variant>
      <vt:variant>
        <vt:i4>0</vt:i4>
      </vt:variant>
      <vt:variant>
        <vt:i4>5</vt:i4>
      </vt:variant>
      <vt:variant>
        <vt:lpwstr/>
      </vt:variant>
      <vt:variant>
        <vt:lpwstr>_Toc347486494</vt:lpwstr>
      </vt:variant>
      <vt:variant>
        <vt:i4>1572920</vt:i4>
      </vt:variant>
      <vt:variant>
        <vt:i4>296</vt:i4>
      </vt:variant>
      <vt:variant>
        <vt:i4>0</vt:i4>
      </vt:variant>
      <vt:variant>
        <vt:i4>5</vt:i4>
      </vt:variant>
      <vt:variant>
        <vt:lpwstr/>
      </vt:variant>
      <vt:variant>
        <vt:lpwstr>_Toc347486493</vt:lpwstr>
      </vt:variant>
      <vt:variant>
        <vt:i4>1572920</vt:i4>
      </vt:variant>
      <vt:variant>
        <vt:i4>290</vt:i4>
      </vt:variant>
      <vt:variant>
        <vt:i4>0</vt:i4>
      </vt:variant>
      <vt:variant>
        <vt:i4>5</vt:i4>
      </vt:variant>
      <vt:variant>
        <vt:lpwstr/>
      </vt:variant>
      <vt:variant>
        <vt:lpwstr>_Toc347486492</vt:lpwstr>
      </vt:variant>
      <vt:variant>
        <vt:i4>1572920</vt:i4>
      </vt:variant>
      <vt:variant>
        <vt:i4>284</vt:i4>
      </vt:variant>
      <vt:variant>
        <vt:i4>0</vt:i4>
      </vt:variant>
      <vt:variant>
        <vt:i4>5</vt:i4>
      </vt:variant>
      <vt:variant>
        <vt:lpwstr/>
      </vt:variant>
      <vt:variant>
        <vt:lpwstr>_Toc347486491</vt:lpwstr>
      </vt:variant>
      <vt:variant>
        <vt:i4>1572920</vt:i4>
      </vt:variant>
      <vt:variant>
        <vt:i4>278</vt:i4>
      </vt:variant>
      <vt:variant>
        <vt:i4>0</vt:i4>
      </vt:variant>
      <vt:variant>
        <vt:i4>5</vt:i4>
      </vt:variant>
      <vt:variant>
        <vt:lpwstr/>
      </vt:variant>
      <vt:variant>
        <vt:lpwstr>_Toc347486490</vt:lpwstr>
      </vt:variant>
      <vt:variant>
        <vt:i4>1638456</vt:i4>
      </vt:variant>
      <vt:variant>
        <vt:i4>272</vt:i4>
      </vt:variant>
      <vt:variant>
        <vt:i4>0</vt:i4>
      </vt:variant>
      <vt:variant>
        <vt:i4>5</vt:i4>
      </vt:variant>
      <vt:variant>
        <vt:lpwstr/>
      </vt:variant>
      <vt:variant>
        <vt:lpwstr>_Toc347486489</vt:lpwstr>
      </vt:variant>
      <vt:variant>
        <vt:i4>1638456</vt:i4>
      </vt:variant>
      <vt:variant>
        <vt:i4>266</vt:i4>
      </vt:variant>
      <vt:variant>
        <vt:i4>0</vt:i4>
      </vt:variant>
      <vt:variant>
        <vt:i4>5</vt:i4>
      </vt:variant>
      <vt:variant>
        <vt:lpwstr/>
      </vt:variant>
      <vt:variant>
        <vt:lpwstr>_Toc347486488</vt:lpwstr>
      </vt:variant>
      <vt:variant>
        <vt:i4>1638456</vt:i4>
      </vt:variant>
      <vt:variant>
        <vt:i4>260</vt:i4>
      </vt:variant>
      <vt:variant>
        <vt:i4>0</vt:i4>
      </vt:variant>
      <vt:variant>
        <vt:i4>5</vt:i4>
      </vt:variant>
      <vt:variant>
        <vt:lpwstr/>
      </vt:variant>
      <vt:variant>
        <vt:lpwstr>_Toc347486487</vt:lpwstr>
      </vt:variant>
      <vt:variant>
        <vt:i4>1638456</vt:i4>
      </vt:variant>
      <vt:variant>
        <vt:i4>254</vt:i4>
      </vt:variant>
      <vt:variant>
        <vt:i4>0</vt:i4>
      </vt:variant>
      <vt:variant>
        <vt:i4>5</vt:i4>
      </vt:variant>
      <vt:variant>
        <vt:lpwstr/>
      </vt:variant>
      <vt:variant>
        <vt:lpwstr>_Toc347486486</vt:lpwstr>
      </vt:variant>
      <vt:variant>
        <vt:i4>1638456</vt:i4>
      </vt:variant>
      <vt:variant>
        <vt:i4>248</vt:i4>
      </vt:variant>
      <vt:variant>
        <vt:i4>0</vt:i4>
      </vt:variant>
      <vt:variant>
        <vt:i4>5</vt:i4>
      </vt:variant>
      <vt:variant>
        <vt:lpwstr/>
      </vt:variant>
      <vt:variant>
        <vt:lpwstr>_Toc347486485</vt:lpwstr>
      </vt:variant>
      <vt:variant>
        <vt:i4>1638456</vt:i4>
      </vt:variant>
      <vt:variant>
        <vt:i4>242</vt:i4>
      </vt:variant>
      <vt:variant>
        <vt:i4>0</vt:i4>
      </vt:variant>
      <vt:variant>
        <vt:i4>5</vt:i4>
      </vt:variant>
      <vt:variant>
        <vt:lpwstr/>
      </vt:variant>
      <vt:variant>
        <vt:lpwstr>_Toc347486484</vt:lpwstr>
      </vt:variant>
      <vt:variant>
        <vt:i4>1638456</vt:i4>
      </vt:variant>
      <vt:variant>
        <vt:i4>236</vt:i4>
      </vt:variant>
      <vt:variant>
        <vt:i4>0</vt:i4>
      </vt:variant>
      <vt:variant>
        <vt:i4>5</vt:i4>
      </vt:variant>
      <vt:variant>
        <vt:lpwstr/>
      </vt:variant>
      <vt:variant>
        <vt:lpwstr>_Toc347486483</vt:lpwstr>
      </vt:variant>
      <vt:variant>
        <vt:i4>1638456</vt:i4>
      </vt:variant>
      <vt:variant>
        <vt:i4>230</vt:i4>
      </vt:variant>
      <vt:variant>
        <vt:i4>0</vt:i4>
      </vt:variant>
      <vt:variant>
        <vt:i4>5</vt:i4>
      </vt:variant>
      <vt:variant>
        <vt:lpwstr/>
      </vt:variant>
      <vt:variant>
        <vt:lpwstr>_Toc347486482</vt:lpwstr>
      </vt:variant>
      <vt:variant>
        <vt:i4>1638456</vt:i4>
      </vt:variant>
      <vt:variant>
        <vt:i4>224</vt:i4>
      </vt:variant>
      <vt:variant>
        <vt:i4>0</vt:i4>
      </vt:variant>
      <vt:variant>
        <vt:i4>5</vt:i4>
      </vt:variant>
      <vt:variant>
        <vt:lpwstr/>
      </vt:variant>
      <vt:variant>
        <vt:lpwstr>_Toc347486481</vt:lpwstr>
      </vt:variant>
      <vt:variant>
        <vt:i4>1638456</vt:i4>
      </vt:variant>
      <vt:variant>
        <vt:i4>218</vt:i4>
      </vt:variant>
      <vt:variant>
        <vt:i4>0</vt:i4>
      </vt:variant>
      <vt:variant>
        <vt:i4>5</vt:i4>
      </vt:variant>
      <vt:variant>
        <vt:lpwstr/>
      </vt:variant>
      <vt:variant>
        <vt:lpwstr>_Toc347486480</vt:lpwstr>
      </vt:variant>
      <vt:variant>
        <vt:i4>1441848</vt:i4>
      </vt:variant>
      <vt:variant>
        <vt:i4>212</vt:i4>
      </vt:variant>
      <vt:variant>
        <vt:i4>0</vt:i4>
      </vt:variant>
      <vt:variant>
        <vt:i4>5</vt:i4>
      </vt:variant>
      <vt:variant>
        <vt:lpwstr/>
      </vt:variant>
      <vt:variant>
        <vt:lpwstr>_Toc347486479</vt:lpwstr>
      </vt:variant>
      <vt:variant>
        <vt:i4>1441848</vt:i4>
      </vt:variant>
      <vt:variant>
        <vt:i4>206</vt:i4>
      </vt:variant>
      <vt:variant>
        <vt:i4>0</vt:i4>
      </vt:variant>
      <vt:variant>
        <vt:i4>5</vt:i4>
      </vt:variant>
      <vt:variant>
        <vt:lpwstr/>
      </vt:variant>
      <vt:variant>
        <vt:lpwstr>_Toc347486478</vt:lpwstr>
      </vt:variant>
      <vt:variant>
        <vt:i4>1441848</vt:i4>
      </vt:variant>
      <vt:variant>
        <vt:i4>200</vt:i4>
      </vt:variant>
      <vt:variant>
        <vt:i4>0</vt:i4>
      </vt:variant>
      <vt:variant>
        <vt:i4>5</vt:i4>
      </vt:variant>
      <vt:variant>
        <vt:lpwstr/>
      </vt:variant>
      <vt:variant>
        <vt:lpwstr>_Toc347486477</vt:lpwstr>
      </vt:variant>
      <vt:variant>
        <vt:i4>1441848</vt:i4>
      </vt:variant>
      <vt:variant>
        <vt:i4>194</vt:i4>
      </vt:variant>
      <vt:variant>
        <vt:i4>0</vt:i4>
      </vt:variant>
      <vt:variant>
        <vt:i4>5</vt:i4>
      </vt:variant>
      <vt:variant>
        <vt:lpwstr/>
      </vt:variant>
      <vt:variant>
        <vt:lpwstr>_Toc347486476</vt:lpwstr>
      </vt:variant>
      <vt:variant>
        <vt:i4>1441848</vt:i4>
      </vt:variant>
      <vt:variant>
        <vt:i4>188</vt:i4>
      </vt:variant>
      <vt:variant>
        <vt:i4>0</vt:i4>
      </vt:variant>
      <vt:variant>
        <vt:i4>5</vt:i4>
      </vt:variant>
      <vt:variant>
        <vt:lpwstr/>
      </vt:variant>
      <vt:variant>
        <vt:lpwstr>_Toc347486475</vt:lpwstr>
      </vt:variant>
      <vt:variant>
        <vt:i4>1441848</vt:i4>
      </vt:variant>
      <vt:variant>
        <vt:i4>182</vt:i4>
      </vt:variant>
      <vt:variant>
        <vt:i4>0</vt:i4>
      </vt:variant>
      <vt:variant>
        <vt:i4>5</vt:i4>
      </vt:variant>
      <vt:variant>
        <vt:lpwstr/>
      </vt:variant>
      <vt:variant>
        <vt:lpwstr>_Toc347486474</vt:lpwstr>
      </vt:variant>
      <vt:variant>
        <vt:i4>1441848</vt:i4>
      </vt:variant>
      <vt:variant>
        <vt:i4>176</vt:i4>
      </vt:variant>
      <vt:variant>
        <vt:i4>0</vt:i4>
      </vt:variant>
      <vt:variant>
        <vt:i4>5</vt:i4>
      </vt:variant>
      <vt:variant>
        <vt:lpwstr/>
      </vt:variant>
      <vt:variant>
        <vt:lpwstr>_Toc347486473</vt:lpwstr>
      </vt:variant>
      <vt:variant>
        <vt:i4>1441848</vt:i4>
      </vt:variant>
      <vt:variant>
        <vt:i4>170</vt:i4>
      </vt:variant>
      <vt:variant>
        <vt:i4>0</vt:i4>
      </vt:variant>
      <vt:variant>
        <vt:i4>5</vt:i4>
      </vt:variant>
      <vt:variant>
        <vt:lpwstr/>
      </vt:variant>
      <vt:variant>
        <vt:lpwstr>_Toc347486472</vt:lpwstr>
      </vt:variant>
      <vt:variant>
        <vt:i4>1441848</vt:i4>
      </vt:variant>
      <vt:variant>
        <vt:i4>164</vt:i4>
      </vt:variant>
      <vt:variant>
        <vt:i4>0</vt:i4>
      </vt:variant>
      <vt:variant>
        <vt:i4>5</vt:i4>
      </vt:variant>
      <vt:variant>
        <vt:lpwstr/>
      </vt:variant>
      <vt:variant>
        <vt:lpwstr>_Toc347486471</vt:lpwstr>
      </vt:variant>
      <vt:variant>
        <vt:i4>1441848</vt:i4>
      </vt:variant>
      <vt:variant>
        <vt:i4>158</vt:i4>
      </vt:variant>
      <vt:variant>
        <vt:i4>0</vt:i4>
      </vt:variant>
      <vt:variant>
        <vt:i4>5</vt:i4>
      </vt:variant>
      <vt:variant>
        <vt:lpwstr/>
      </vt:variant>
      <vt:variant>
        <vt:lpwstr>_Toc347486470</vt:lpwstr>
      </vt:variant>
      <vt:variant>
        <vt:i4>1507384</vt:i4>
      </vt:variant>
      <vt:variant>
        <vt:i4>152</vt:i4>
      </vt:variant>
      <vt:variant>
        <vt:i4>0</vt:i4>
      </vt:variant>
      <vt:variant>
        <vt:i4>5</vt:i4>
      </vt:variant>
      <vt:variant>
        <vt:lpwstr/>
      </vt:variant>
      <vt:variant>
        <vt:lpwstr>_Toc347486469</vt:lpwstr>
      </vt:variant>
      <vt:variant>
        <vt:i4>1507384</vt:i4>
      </vt:variant>
      <vt:variant>
        <vt:i4>146</vt:i4>
      </vt:variant>
      <vt:variant>
        <vt:i4>0</vt:i4>
      </vt:variant>
      <vt:variant>
        <vt:i4>5</vt:i4>
      </vt:variant>
      <vt:variant>
        <vt:lpwstr/>
      </vt:variant>
      <vt:variant>
        <vt:lpwstr>_Toc347486468</vt:lpwstr>
      </vt:variant>
      <vt:variant>
        <vt:i4>1507384</vt:i4>
      </vt:variant>
      <vt:variant>
        <vt:i4>140</vt:i4>
      </vt:variant>
      <vt:variant>
        <vt:i4>0</vt:i4>
      </vt:variant>
      <vt:variant>
        <vt:i4>5</vt:i4>
      </vt:variant>
      <vt:variant>
        <vt:lpwstr/>
      </vt:variant>
      <vt:variant>
        <vt:lpwstr>_Toc347486467</vt:lpwstr>
      </vt:variant>
      <vt:variant>
        <vt:i4>1507384</vt:i4>
      </vt:variant>
      <vt:variant>
        <vt:i4>134</vt:i4>
      </vt:variant>
      <vt:variant>
        <vt:i4>0</vt:i4>
      </vt:variant>
      <vt:variant>
        <vt:i4>5</vt:i4>
      </vt:variant>
      <vt:variant>
        <vt:lpwstr/>
      </vt:variant>
      <vt:variant>
        <vt:lpwstr>_Toc347486466</vt:lpwstr>
      </vt:variant>
      <vt:variant>
        <vt:i4>1507384</vt:i4>
      </vt:variant>
      <vt:variant>
        <vt:i4>128</vt:i4>
      </vt:variant>
      <vt:variant>
        <vt:i4>0</vt:i4>
      </vt:variant>
      <vt:variant>
        <vt:i4>5</vt:i4>
      </vt:variant>
      <vt:variant>
        <vt:lpwstr/>
      </vt:variant>
      <vt:variant>
        <vt:lpwstr>_Toc347486465</vt:lpwstr>
      </vt:variant>
      <vt:variant>
        <vt:i4>1507384</vt:i4>
      </vt:variant>
      <vt:variant>
        <vt:i4>122</vt:i4>
      </vt:variant>
      <vt:variant>
        <vt:i4>0</vt:i4>
      </vt:variant>
      <vt:variant>
        <vt:i4>5</vt:i4>
      </vt:variant>
      <vt:variant>
        <vt:lpwstr/>
      </vt:variant>
      <vt:variant>
        <vt:lpwstr>_Toc347486464</vt:lpwstr>
      </vt:variant>
      <vt:variant>
        <vt:i4>1507384</vt:i4>
      </vt:variant>
      <vt:variant>
        <vt:i4>116</vt:i4>
      </vt:variant>
      <vt:variant>
        <vt:i4>0</vt:i4>
      </vt:variant>
      <vt:variant>
        <vt:i4>5</vt:i4>
      </vt:variant>
      <vt:variant>
        <vt:lpwstr/>
      </vt:variant>
      <vt:variant>
        <vt:lpwstr>_Toc347486463</vt:lpwstr>
      </vt:variant>
      <vt:variant>
        <vt:i4>1507384</vt:i4>
      </vt:variant>
      <vt:variant>
        <vt:i4>110</vt:i4>
      </vt:variant>
      <vt:variant>
        <vt:i4>0</vt:i4>
      </vt:variant>
      <vt:variant>
        <vt:i4>5</vt:i4>
      </vt:variant>
      <vt:variant>
        <vt:lpwstr/>
      </vt:variant>
      <vt:variant>
        <vt:lpwstr>_Toc347486462</vt:lpwstr>
      </vt:variant>
      <vt:variant>
        <vt:i4>1507384</vt:i4>
      </vt:variant>
      <vt:variant>
        <vt:i4>104</vt:i4>
      </vt:variant>
      <vt:variant>
        <vt:i4>0</vt:i4>
      </vt:variant>
      <vt:variant>
        <vt:i4>5</vt:i4>
      </vt:variant>
      <vt:variant>
        <vt:lpwstr/>
      </vt:variant>
      <vt:variant>
        <vt:lpwstr>_Toc347486461</vt:lpwstr>
      </vt:variant>
      <vt:variant>
        <vt:i4>1507384</vt:i4>
      </vt:variant>
      <vt:variant>
        <vt:i4>98</vt:i4>
      </vt:variant>
      <vt:variant>
        <vt:i4>0</vt:i4>
      </vt:variant>
      <vt:variant>
        <vt:i4>5</vt:i4>
      </vt:variant>
      <vt:variant>
        <vt:lpwstr/>
      </vt:variant>
      <vt:variant>
        <vt:lpwstr>_Toc347486460</vt:lpwstr>
      </vt:variant>
      <vt:variant>
        <vt:i4>1310776</vt:i4>
      </vt:variant>
      <vt:variant>
        <vt:i4>92</vt:i4>
      </vt:variant>
      <vt:variant>
        <vt:i4>0</vt:i4>
      </vt:variant>
      <vt:variant>
        <vt:i4>5</vt:i4>
      </vt:variant>
      <vt:variant>
        <vt:lpwstr/>
      </vt:variant>
      <vt:variant>
        <vt:lpwstr>_Toc347486459</vt:lpwstr>
      </vt:variant>
      <vt:variant>
        <vt:i4>1310776</vt:i4>
      </vt:variant>
      <vt:variant>
        <vt:i4>86</vt:i4>
      </vt:variant>
      <vt:variant>
        <vt:i4>0</vt:i4>
      </vt:variant>
      <vt:variant>
        <vt:i4>5</vt:i4>
      </vt:variant>
      <vt:variant>
        <vt:lpwstr/>
      </vt:variant>
      <vt:variant>
        <vt:lpwstr>_Toc347486458</vt:lpwstr>
      </vt:variant>
      <vt:variant>
        <vt:i4>1310776</vt:i4>
      </vt:variant>
      <vt:variant>
        <vt:i4>80</vt:i4>
      </vt:variant>
      <vt:variant>
        <vt:i4>0</vt:i4>
      </vt:variant>
      <vt:variant>
        <vt:i4>5</vt:i4>
      </vt:variant>
      <vt:variant>
        <vt:lpwstr/>
      </vt:variant>
      <vt:variant>
        <vt:lpwstr>_Toc347486457</vt:lpwstr>
      </vt:variant>
      <vt:variant>
        <vt:i4>1310776</vt:i4>
      </vt:variant>
      <vt:variant>
        <vt:i4>74</vt:i4>
      </vt:variant>
      <vt:variant>
        <vt:i4>0</vt:i4>
      </vt:variant>
      <vt:variant>
        <vt:i4>5</vt:i4>
      </vt:variant>
      <vt:variant>
        <vt:lpwstr/>
      </vt:variant>
      <vt:variant>
        <vt:lpwstr>_Toc347486456</vt:lpwstr>
      </vt:variant>
      <vt:variant>
        <vt:i4>1310776</vt:i4>
      </vt:variant>
      <vt:variant>
        <vt:i4>68</vt:i4>
      </vt:variant>
      <vt:variant>
        <vt:i4>0</vt:i4>
      </vt:variant>
      <vt:variant>
        <vt:i4>5</vt:i4>
      </vt:variant>
      <vt:variant>
        <vt:lpwstr/>
      </vt:variant>
      <vt:variant>
        <vt:lpwstr>_Toc347486455</vt:lpwstr>
      </vt:variant>
      <vt:variant>
        <vt:i4>1310776</vt:i4>
      </vt:variant>
      <vt:variant>
        <vt:i4>62</vt:i4>
      </vt:variant>
      <vt:variant>
        <vt:i4>0</vt:i4>
      </vt:variant>
      <vt:variant>
        <vt:i4>5</vt:i4>
      </vt:variant>
      <vt:variant>
        <vt:lpwstr/>
      </vt:variant>
      <vt:variant>
        <vt:lpwstr>_Toc347486454</vt:lpwstr>
      </vt:variant>
      <vt:variant>
        <vt:i4>1310776</vt:i4>
      </vt:variant>
      <vt:variant>
        <vt:i4>56</vt:i4>
      </vt:variant>
      <vt:variant>
        <vt:i4>0</vt:i4>
      </vt:variant>
      <vt:variant>
        <vt:i4>5</vt:i4>
      </vt:variant>
      <vt:variant>
        <vt:lpwstr/>
      </vt:variant>
      <vt:variant>
        <vt:lpwstr>_Toc347486453</vt:lpwstr>
      </vt:variant>
      <vt:variant>
        <vt:i4>1310776</vt:i4>
      </vt:variant>
      <vt:variant>
        <vt:i4>50</vt:i4>
      </vt:variant>
      <vt:variant>
        <vt:i4>0</vt:i4>
      </vt:variant>
      <vt:variant>
        <vt:i4>5</vt:i4>
      </vt:variant>
      <vt:variant>
        <vt:lpwstr/>
      </vt:variant>
      <vt:variant>
        <vt:lpwstr>_Toc347486452</vt:lpwstr>
      </vt:variant>
      <vt:variant>
        <vt:i4>1310776</vt:i4>
      </vt:variant>
      <vt:variant>
        <vt:i4>44</vt:i4>
      </vt:variant>
      <vt:variant>
        <vt:i4>0</vt:i4>
      </vt:variant>
      <vt:variant>
        <vt:i4>5</vt:i4>
      </vt:variant>
      <vt:variant>
        <vt:lpwstr/>
      </vt:variant>
      <vt:variant>
        <vt:lpwstr>_Toc347486451</vt:lpwstr>
      </vt:variant>
      <vt:variant>
        <vt:i4>1310776</vt:i4>
      </vt:variant>
      <vt:variant>
        <vt:i4>38</vt:i4>
      </vt:variant>
      <vt:variant>
        <vt:i4>0</vt:i4>
      </vt:variant>
      <vt:variant>
        <vt:i4>5</vt:i4>
      </vt:variant>
      <vt:variant>
        <vt:lpwstr/>
      </vt:variant>
      <vt:variant>
        <vt:lpwstr>_Toc347486450</vt:lpwstr>
      </vt:variant>
      <vt:variant>
        <vt:i4>1376312</vt:i4>
      </vt:variant>
      <vt:variant>
        <vt:i4>32</vt:i4>
      </vt:variant>
      <vt:variant>
        <vt:i4>0</vt:i4>
      </vt:variant>
      <vt:variant>
        <vt:i4>5</vt:i4>
      </vt:variant>
      <vt:variant>
        <vt:lpwstr/>
      </vt:variant>
      <vt:variant>
        <vt:lpwstr>_Toc347486449</vt:lpwstr>
      </vt:variant>
      <vt:variant>
        <vt:i4>1376312</vt:i4>
      </vt:variant>
      <vt:variant>
        <vt:i4>26</vt:i4>
      </vt:variant>
      <vt:variant>
        <vt:i4>0</vt:i4>
      </vt:variant>
      <vt:variant>
        <vt:i4>5</vt:i4>
      </vt:variant>
      <vt:variant>
        <vt:lpwstr/>
      </vt:variant>
      <vt:variant>
        <vt:lpwstr>_Toc347486448</vt:lpwstr>
      </vt:variant>
      <vt:variant>
        <vt:i4>1376312</vt:i4>
      </vt:variant>
      <vt:variant>
        <vt:i4>20</vt:i4>
      </vt:variant>
      <vt:variant>
        <vt:i4>0</vt:i4>
      </vt:variant>
      <vt:variant>
        <vt:i4>5</vt:i4>
      </vt:variant>
      <vt:variant>
        <vt:lpwstr/>
      </vt:variant>
      <vt:variant>
        <vt:lpwstr>_Toc347486447</vt:lpwstr>
      </vt:variant>
      <vt:variant>
        <vt:i4>1376312</vt:i4>
      </vt:variant>
      <vt:variant>
        <vt:i4>14</vt:i4>
      </vt:variant>
      <vt:variant>
        <vt:i4>0</vt:i4>
      </vt:variant>
      <vt:variant>
        <vt:i4>5</vt:i4>
      </vt:variant>
      <vt:variant>
        <vt:lpwstr/>
      </vt:variant>
      <vt:variant>
        <vt:lpwstr>_Toc347486446</vt:lpwstr>
      </vt:variant>
      <vt:variant>
        <vt:i4>1376312</vt:i4>
      </vt:variant>
      <vt:variant>
        <vt:i4>8</vt:i4>
      </vt:variant>
      <vt:variant>
        <vt:i4>0</vt:i4>
      </vt:variant>
      <vt:variant>
        <vt:i4>5</vt:i4>
      </vt:variant>
      <vt:variant>
        <vt:lpwstr/>
      </vt:variant>
      <vt:variant>
        <vt:lpwstr>_Toc347486445</vt:lpwstr>
      </vt:variant>
      <vt:variant>
        <vt:i4>1376312</vt:i4>
      </vt:variant>
      <vt:variant>
        <vt:i4>2</vt:i4>
      </vt:variant>
      <vt:variant>
        <vt:i4>0</vt:i4>
      </vt:variant>
      <vt:variant>
        <vt:i4>5</vt:i4>
      </vt:variant>
      <vt:variant>
        <vt:lpwstr/>
      </vt:variant>
      <vt:variant>
        <vt:lpwstr>_Toc347486444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06/07/12 – Post Task Force Draft</dc:title>
  <dc:creator>Prasanthi Paritala</dc:creator>
  <cp:lastModifiedBy>TempAdmin</cp:lastModifiedBy>
  <cp:revision>25</cp:revision>
  <cp:lastPrinted>2014-06-30T19:26:00Z</cp:lastPrinted>
  <dcterms:created xsi:type="dcterms:W3CDTF">2014-06-30T15:59:00Z</dcterms:created>
  <dcterms:modified xsi:type="dcterms:W3CDTF">2014-08-01T13:57:00Z</dcterms:modified>
</cp:coreProperties>
</file>