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pPr>
      <w:r>
        <w:rPr/>
        <w:t>DEPARTMENT OF LABOR AND EMPLOYMENT</w:t>
      </w:r>
    </w:p>
    <w:p>
      <w:pPr>
        <w:spacing w:before="240"/>
        <w:ind w:left="0" w:right="16" w:firstLine="0"/>
        <w:jc w:val="center"/>
        <w:rPr>
          <w:b/>
          <w:sz w:val="28"/>
        </w:rPr>
      </w:pPr>
      <w:r>
        <w:rPr>
          <w:b/>
          <w:sz w:val="28"/>
        </w:rPr>
        <w:t>Division of Workers’ Compensation</w:t>
      </w:r>
    </w:p>
    <w:p>
      <w:pPr>
        <w:pStyle w:val="Heading2"/>
      </w:pPr>
      <w:r>
        <w:rPr/>
        <w:t>7 CCR 1101-3</w:t>
      </w:r>
    </w:p>
    <w:p>
      <w:pPr>
        <w:spacing w:before="0"/>
        <w:ind w:left="0" w:right="19" w:firstLine="0"/>
        <w:jc w:val="center"/>
        <w:rPr>
          <w:b/>
          <w:sz w:val="24"/>
        </w:rPr>
      </w:pPr>
      <w:r>
        <w:rPr>
          <w:b/>
          <w:sz w:val="24"/>
        </w:rPr>
        <w:t>WORKERS’ COMPENSATION RULES OF PROCEDURE</w:t>
      </w:r>
    </w:p>
    <w:p>
      <w:pPr>
        <w:pStyle w:val="BodyText"/>
        <w:spacing w:before="10"/>
        <w:rPr>
          <w:b/>
        </w:rPr>
      </w:pPr>
    </w:p>
    <w:p>
      <w:pPr>
        <w:tabs>
          <w:tab w:pos="1439" w:val="left" w:leader="none"/>
        </w:tabs>
        <w:spacing w:before="1"/>
        <w:ind w:left="0" w:right="91" w:firstLine="0"/>
        <w:jc w:val="center"/>
        <w:rPr>
          <w:b/>
          <w:sz w:val="24"/>
        </w:rPr>
      </w:pPr>
      <w:r>
        <w:rPr>
          <w:b/>
          <w:sz w:val="24"/>
        </w:rPr>
        <w:t>Rule 2</w:t>
        <w:tab/>
        <w:t>Workers’ Compensation Insurance Premium And Payroll</w:t>
      </w:r>
      <w:r>
        <w:rPr>
          <w:b/>
          <w:spacing w:val="-12"/>
          <w:sz w:val="24"/>
        </w:rPr>
        <w:t> </w:t>
      </w:r>
      <w:r>
        <w:rPr>
          <w:b/>
          <w:sz w:val="24"/>
        </w:rPr>
        <w:t>Surcharges</w:t>
      </w:r>
    </w:p>
    <w:p>
      <w:pPr>
        <w:pStyle w:val="BodyText"/>
        <w:spacing w:before="11"/>
        <w:rPr>
          <w:b/>
        </w:rPr>
      </w:pPr>
    </w:p>
    <w:p>
      <w:pPr>
        <w:pStyle w:val="ListParagraph"/>
        <w:numPr>
          <w:ilvl w:val="1"/>
          <w:numId w:val="1"/>
        </w:numPr>
        <w:tabs>
          <w:tab w:pos="820" w:val="left" w:leader="none"/>
          <w:tab w:pos="821" w:val="left" w:leader="none"/>
        </w:tabs>
        <w:spacing w:line="240" w:lineRule="auto" w:before="0" w:after="0"/>
        <w:ind w:left="820" w:right="0" w:hanging="720"/>
        <w:jc w:val="left"/>
        <w:rPr>
          <w:sz w:val="20"/>
        </w:rPr>
      </w:pPr>
      <w:r>
        <w:rPr>
          <w:sz w:val="20"/>
        </w:rPr>
        <w:t>SURCHARGE REQUIREMENTS FOR INSURANCE</w:t>
      </w:r>
      <w:r>
        <w:rPr>
          <w:spacing w:val="-4"/>
          <w:sz w:val="20"/>
        </w:rPr>
        <w:t> </w:t>
      </w:r>
      <w:r>
        <w:rPr>
          <w:sz w:val="20"/>
        </w:rPr>
        <w:t>CARRIERS</w:t>
      </w:r>
    </w:p>
    <w:p>
      <w:pPr>
        <w:pStyle w:val="BodyText"/>
        <w:spacing w:before="10"/>
      </w:pPr>
    </w:p>
    <w:p>
      <w:pPr>
        <w:pStyle w:val="BodyText"/>
        <w:spacing w:before="1"/>
        <w:ind w:left="820"/>
      </w:pPr>
      <w:r>
        <w:rPr/>
        <w:t>Pursuant to § 8-44-112(1), insurance carriers must file semiannual surcharge returns based upon the premium amounts for the periods July 1, 2018 through December 31, 2018 and January 1,</w:t>
      </w:r>
    </w:p>
    <w:p>
      <w:pPr>
        <w:pStyle w:val="BodyText"/>
        <w:ind w:left="820"/>
      </w:pPr>
      <w:r>
        <w:rPr/>
        <w:t>2019 through June 30, 2019.</w:t>
      </w:r>
    </w:p>
    <w:p>
      <w:pPr>
        <w:pStyle w:val="BodyText"/>
        <w:spacing w:before="9"/>
      </w:pPr>
    </w:p>
    <w:p>
      <w:pPr>
        <w:pStyle w:val="ListParagraph"/>
        <w:numPr>
          <w:ilvl w:val="2"/>
          <w:numId w:val="1"/>
        </w:numPr>
        <w:tabs>
          <w:tab w:pos="1540" w:val="left" w:leader="none"/>
          <w:tab w:pos="1541" w:val="left" w:leader="none"/>
        </w:tabs>
        <w:spacing w:line="240" w:lineRule="auto" w:before="0" w:after="0"/>
        <w:ind w:left="1540" w:right="0" w:hanging="720"/>
        <w:jc w:val="left"/>
        <w:rPr>
          <w:sz w:val="20"/>
        </w:rPr>
      </w:pPr>
      <w:r>
        <w:rPr>
          <w:sz w:val="20"/>
        </w:rPr>
        <w:t>Insurance carriers must use Division Form </w:t>
      </w:r>
      <w:r>
        <w:rPr>
          <w:spacing w:val="4"/>
          <w:sz w:val="20"/>
        </w:rPr>
        <w:t>WC </w:t>
      </w:r>
      <w:r>
        <w:rPr>
          <w:sz w:val="20"/>
        </w:rPr>
        <w:t>113 to file semiannual surcharge</w:t>
      </w:r>
      <w:r>
        <w:rPr>
          <w:spacing w:val="-29"/>
          <w:sz w:val="20"/>
        </w:rPr>
        <w:t> </w:t>
      </w:r>
      <w:r>
        <w:rPr>
          <w:sz w:val="20"/>
        </w:rPr>
        <w:t>returns.</w:t>
      </w:r>
    </w:p>
    <w:p>
      <w:pPr>
        <w:pStyle w:val="BodyText"/>
        <w:spacing w:before="10"/>
      </w:pPr>
    </w:p>
    <w:p>
      <w:pPr>
        <w:pStyle w:val="ListParagraph"/>
        <w:numPr>
          <w:ilvl w:val="2"/>
          <w:numId w:val="1"/>
        </w:numPr>
        <w:tabs>
          <w:tab w:pos="1541" w:val="left" w:leader="none"/>
        </w:tabs>
        <w:spacing w:line="240" w:lineRule="auto" w:before="0" w:after="0"/>
        <w:ind w:left="1540" w:right="117" w:hanging="720"/>
        <w:jc w:val="both"/>
        <w:rPr>
          <w:sz w:val="20"/>
        </w:rPr>
      </w:pPr>
      <w:r>
        <w:rPr>
          <w:sz w:val="20"/>
        </w:rPr>
        <w:t>The surcharge return must state the amount of premiums written for Colorado workers' compensation insurance, including any policy expense constants, membership fees, finance and service, or other administrative fees charged to the policyholders with the issuance or renewal of policies during the semiannual period covered by such return. These premiums are the same as the premiums reported to the Colorado Division of Insurance (DOI) in accordance with §10-3-208, and regulations promulgated</w:t>
      </w:r>
      <w:r>
        <w:rPr>
          <w:spacing w:val="-19"/>
          <w:sz w:val="20"/>
        </w:rPr>
        <w:t> </w:t>
      </w:r>
      <w:r>
        <w:rPr>
          <w:sz w:val="20"/>
        </w:rPr>
        <w:t>thereunder.</w:t>
      </w:r>
    </w:p>
    <w:p>
      <w:pPr>
        <w:pStyle w:val="BodyText"/>
        <w:spacing w:before="10"/>
      </w:pPr>
    </w:p>
    <w:p>
      <w:pPr>
        <w:pStyle w:val="ListParagraph"/>
        <w:numPr>
          <w:ilvl w:val="2"/>
          <w:numId w:val="1"/>
        </w:numPr>
        <w:tabs>
          <w:tab w:pos="1541" w:val="left" w:leader="none"/>
        </w:tabs>
        <w:spacing w:line="240" w:lineRule="auto" w:before="1" w:after="0"/>
        <w:ind w:left="1540" w:right="115" w:hanging="720"/>
        <w:jc w:val="both"/>
        <w:rPr>
          <w:sz w:val="20"/>
        </w:rPr>
      </w:pPr>
      <w:r>
        <w:rPr>
          <w:sz w:val="20"/>
        </w:rPr>
        <w:t>Insurance carriers must verify the surcharge return by affidavits of at least two chief officers or agents, such as president and</w:t>
      </w:r>
      <w:r>
        <w:rPr>
          <w:spacing w:val="-4"/>
          <w:sz w:val="20"/>
        </w:rPr>
        <w:t> </w:t>
      </w:r>
      <w:r>
        <w:rPr>
          <w:sz w:val="20"/>
        </w:rPr>
        <w:t>secretary.</w:t>
      </w:r>
    </w:p>
    <w:p>
      <w:pPr>
        <w:pStyle w:val="BodyText"/>
        <w:spacing w:before="10"/>
      </w:pPr>
    </w:p>
    <w:p>
      <w:pPr>
        <w:pStyle w:val="ListParagraph"/>
        <w:numPr>
          <w:ilvl w:val="2"/>
          <w:numId w:val="1"/>
        </w:numPr>
        <w:tabs>
          <w:tab w:pos="1541" w:val="left" w:leader="none"/>
        </w:tabs>
        <w:spacing w:line="240" w:lineRule="auto" w:before="0" w:after="0"/>
        <w:ind w:left="1540" w:right="117" w:hanging="720"/>
        <w:jc w:val="both"/>
        <w:rPr>
          <w:sz w:val="20"/>
        </w:rPr>
      </w:pPr>
      <w:r>
        <w:rPr>
          <w:sz w:val="20"/>
        </w:rPr>
        <w:t>Insurance carriers must pay surcharges to the Division with its semiannual return form on or before January 31, 2019 and July 31,</w:t>
      </w:r>
      <w:r>
        <w:rPr>
          <w:spacing w:val="-8"/>
          <w:sz w:val="20"/>
        </w:rPr>
        <w:t> </w:t>
      </w:r>
      <w:r>
        <w:rPr>
          <w:sz w:val="20"/>
        </w:rPr>
        <w:t>2019.</w:t>
      </w:r>
    </w:p>
    <w:p>
      <w:pPr>
        <w:pStyle w:val="BodyText"/>
        <w:spacing w:before="9"/>
      </w:pPr>
    </w:p>
    <w:p>
      <w:pPr>
        <w:pStyle w:val="ListParagraph"/>
        <w:numPr>
          <w:ilvl w:val="2"/>
          <w:numId w:val="1"/>
        </w:numPr>
        <w:tabs>
          <w:tab w:pos="1541" w:val="left" w:leader="none"/>
        </w:tabs>
        <w:spacing w:line="240" w:lineRule="auto" w:before="0" w:after="0"/>
        <w:ind w:left="1540" w:right="118" w:hanging="720"/>
        <w:jc w:val="both"/>
        <w:rPr>
          <w:sz w:val="20"/>
        </w:rPr>
      </w:pPr>
      <w:r>
        <w:rPr>
          <w:sz w:val="20"/>
        </w:rPr>
        <w:t>Insurance carriers may take a credit for actually refunded premiums as an offset against surcharges due within one year of the date the premium was refunded. The insurance carrier may not offset a credit of one subsidiary against the surcharge owed by another subsidiary.</w:t>
      </w:r>
    </w:p>
    <w:p>
      <w:pPr>
        <w:pStyle w:val="BodyText"/>
        <w:rPr>
          <w:sz w:val="21"/>
        </w:rPr>
      </w:pPr>
    </w:p>
    <w:p>
      <w:pPr>
        <w:pStyle w:val="ListParagraph"/>
        <w:numPr>
          <w:ilvl w:val="1"/>
          <w:numId w:val="1"/>
        </w:numPr>
        <w:tabs>
          <w:tab w:pos="820" w:val="left" w:leader="none"/>
          <w:tab w:pos="821" w:val="left" w:leader="none"/>
        </w:tabs>
        <w:spacing w:line="240" w:lineRule="auto" w:before="0" w:after="0"/>
        <w:ind w:left="820" w:right="0" w:hanging="720"/>
        <w:jc w:val="left"/>
        <w:rPr>
          <w:sz w:val="20"/>
        </w:rPr>
      </w:pPr>
      <w:r>
        <w:rPr>
          <w:sz w:val="20"/>
        </w:rPr>
        <w:t>SURCHARGE REQUIREMENTS FOR SELF-INSURED</w:t>
      </w:r>
      <w:r>
        <w:rPr>
          <w:spacing w:val="-5"/>
          <w:sz w:val="20"/>
        </w:rPr>
        <w:t> </w:t>
      </w:r>
      <w:r>
        <w:rPr>
          <w:sz w:val="20"/>
        </w:rPr>
        <w:t>EMPLOYERS</w:t>
      </w:r>
    </w:p>
    <w:p>
      <w:pPr>
        <w:pStyle w:val="BodyText"/>
        <w:spacing w:before="11"/>
      </w:pPr>
    </w:p>
    <w:p>
      <w:pPr>
        <w:pStyle w:val="BodyText"/>
        <w:ind w:left="820" w:right="115"/>
        <w:jc w:val="both"/>
      </w:pPr>
      <w:r>
        <w:rPr/>
        <w:t>Pursuant to § 8-44-112(3) every self-insured employer must report its semiannual payroll to the Division for the periods July 1, 2018 through December 31, 2018 and January 1, 2019 through June 30, 2019 utilizing the Division’s online surcharge application.</w:t>
      </w:r>
    </w:p>
    <w:p>
      <w:pPr>
        <w:pStyle w:val="BodyText"/>
        <w:spacing w:before="9"/>
      </w:pPr>
    </w:p>
    <w:p>
      <w:pPr>
        <w:pStyle w:val="ListParagraph"/>
        <w:numPr>
          <w:ilvl w:val="2"/>
          <w:numId w:val="1"/>
        </w:numPr>
        <w:tabs>
          <w:tab w:pos="1541" w:val="left" w:leader="none"/>
        </w:tabs>
        <w:spacing w:line="240" w:lineRule="auto" w:before="0" w:after="0"/>
        <w:ind w:left="1540" w:right="117" w:hanging="720"/>
        <w:jc w:val="both"/>
        <w:rPr>
          <w:sz w:val="20"/>
        </w:rPr>
      </w:pPr>
      <w:r>
        <w:rPr>
          <w:sz w:val="20"/>
        </w:rPr>
        <w:t>The payroll must include the National Council on Compensation Insurance (NCCI) class codes, job titles, number of employees, and total payroll, as instructed by the online surcharge application. The Division may request further information to verify the reported payroll data. The failure to report payroll timely or accurately may result in the computation of surcharge without the otherwise applicable</w:t>
      </w:r>
      <w:r>
        <w:rPr>
          <w:spacing w:val="1"/>
          <w:sz w:val="20"/>
        </w:rPr>
        <w:t> </w:t>
      </w:r>
      <w:r>
        <w:rPr>
          <w:sz w:val="20"/>
        </w:rPr>
        <w:t>discounts.</w:t>
      </w:r>
    </w:p>
    <w:p>
      <w:pPr>
        <w:pStyle w:val="BodyText"/>
        <w:spacing w:before="10"/>
      </w:pPr>
    </w:p>
    <w:p>
      <w:pPr>
        <w:pStyle w:val="ListParagraph"/>
        <w:numPr>
          <w:ilvl w:val="2"/>
          <w:numId w:val="1"/>
        </w:numPr>
        <w:tabs>
          <w:tab w:pos="1541" w:val="left" w:leader="none"/>
        </w:tabs>
        <w:spacing w:line="240" w:lineRule="auto" w:before="0" w:after="0"/>
        <w:ind w:left="1540" w:right="117" w:hanging="720"/>
        <w:jc w:val="both"/>
        <w:rPr>
          <w:sz w:val="20"/>
        </w:rPr>
      </w:pPr>
      <w:r>
        <w:rPr>
          <w:sz w:val="20"/>
        </w:rPr>
        <w:t>Self-insured employer surcharges must be based on the manual premium, adjusted by Pinnacol Assurance discount applicable for the covered surcharge assessment period and modified by 1.0 experience rating</w:t>
      </w:r>
      <w:r>
        <w:rPr>
          <w:spacing w:val="-4"/>
          <w:sz w:val="20"/>
        </w:rPr>
        <w:t> </w:t>
      </w:r>
      <w:r>
        <w:rPr>
          <w:sz w:val="20"/>
        </w:rPr>
        <w:t>factor.</w:t>
      </w:r>
    </w:p>
    <w:p>
      <w:pPr>
        <w:pStyle w:val="BodyText"/>
        <w:rPr>
          <w:sz w:val="21"/>
        </w:rPr>
      </w:pPr>
    </w:p>
    <w:p>
      <w:pPr>
        <w:pStyle w:val="ListParagraph"/>
        <w:numPr>
          <w:ilvl w:val="2"/>
          <w:numId w:val="1"/>
        </w:numPr>
        <w:tabs>
          <w:tab w:pos="1541" w:val="left" w:leader="none"/>
        </w:tabs>
        <w:spacing w:line="240" w:lineRule="auto" w:before="0" w:after="0"/>
        <w:ind w:left="1540" w:right="117" w:hanging="720"/>
        <w:jc w:val="both"/>
        <w:rPr>
          <w:sz w:val="20"/>
        </w:rPr>
      </w:pPr>
      <w:r>
        <w:rPr>
          <w:sz w:val="20"/>
        </w:rPr>
        <w:t>Self-insured employers must report total payroll, under oath, in a flat file format using the Division’s online surcharge application. For the semiannual assessment period July 1, 2018 through December 31, 2018, self-insured employers must report total payroll no later than January 10, 2019 and pay no later than January 31, 2019. For the</w:t>
      </w:r>
      <w:r>
        <w:rPr>
          <w:spacing w:val="51"/>
          <w:sz w:val="20"/>
        </w:rPr>
        <w:t> </w:t>
      </w:r>
      <w:r>
        <w:rPr>
          <w:sz w:val="20"/>
        </w:rPr>
        <w:t>semiannual</w:t>
      </w:r>
    </w:p>
    <w:p>
      <w:pPr>
        <w:spacing w:after="0" w:line="240" w:lineRule="auto"/>
        <w:jc w:val="both"/>
        <w:rPr>
          <w:sz w:val="20"/>
        </w:rPr>
        <w:sectPr>
          <w:footerReference w:type="default" r:id="rId5"/>
          <w:type w:val="continuous"/>
          <w:pgSz w:w="12240" w:h="15840"/>
          <w:pgMar w:footer="1066" w:top="1360" w:bottom="1260" w:left="1340" w:right="1320"/>
          <w:pgNumType w:start="1"/>
        </w:sectPr>
      </w:pPr>
    </w:p>
    <w:p>
      <w:pPr>
        <w:pStyle w:val="BodyText"/>
        <w:spacing w:before="79"/>
        <w:ind w:left="1540"/>
      </w:pPr>
      <w:r>
        <w:rPr/>
        <w:t>assessment period January 1, 2019 through June 30, 2019, self-insured employers must report total payroll no later than July 10, 2019 and pay no later than July 31, 2019.</w:t>
      </w:r>
    </w:p>
    <w:p>
      <w:pPr>
        <w:pStyle w:val="BodyText"/>
        <w:spacing w:before="9"/>
      </w:pPr>
    </w:p>
    <w:p>
      <w:pPr>
        <w:pStyle w:val="ListParagraph"/>
        <w:numPr>
          <w:ilvl w:val="1"/>
          <w:numId w:val="1"/>
        </w:numPr>
        <w:tabs>
          <w:tab w:pos="820" w:val="left" w:leader="none"/>
          <w:tab w:pos="821" w:val="left" w:leader="none"/>
        </w:tabs>
        <w:spacing w:line="240" w:lineRule="auto" w:before="0" w:after="0"/>
        <w:ind w:left="820" w:right="0" w:hanging="720"/>
        <w:jc w:val="left"/>
        <w:rPr>
          <w:sz w:val="20"/>
        </w:rPr>
      </w:pPr>
      <w:r>
        <w:rPr>
          <w:sz w:val="20"/>
        </w:rPr>
        <w:t>SURCHARGE</w:t>
      </w:r>
      <w:r>
        <w:rPr>
          <w:spacing w:val="-2"/>
          <w:sz w:val="20"/>
        </w:rPr>
        <w:t> </w:t>
      </w:r>
      <w:r>
        <w:rPr>
          <w:sz w:val="20"/>
        </w:rPr>
        <w:t>RATES</w:t>
      </w:r>
    </w:p>
    <w:p>
      <w:pPr>
        <w:pStyle w:val="BodyText"/>
        <w:spacing w:before="10"/>
      </w:pPr>
    </w:p>
    <w:p>
      <w:pPr>
        <w:pStyle w:val="ListParagraph"/>
        <w:numPr>
          <w:ilvl w:val="2"/>
          <w:numId w:val="1"/>
        </w:numPr>
        <w:tabs>
          <w:tab w:pos="1540" w:val="left" w:leader="none"/>
          <w:tab w:pos="1541" w:val="left" w:leader="none"/>
        </w:tabs>
        <w:spacing w:line="240" w:lineRule="auto" w:before="1" w:after="0"/>
        <w:ind w:left="1540" w:right="118" w:hanging="665"/>
        <w:jc w:val="left"/>
        <w:rPr>
          <w:sz w:val="20"/>
        </w:rPr>
      </w:pPr>
      <w:r>
        <w:rPr>
          <w:sz w:val="20"/>
        </w:rPr>
        <w:t>The following surcharge rates shall apply for the period through July 1, 2018 and continue through December 31,</w:t>
      </w:r>
      <w:r>
        <w:rPr>
          <w:spacing w:val="-4"/>
          <w:sz w:val="20"/>
        </w:rPr>
        <w:t> </w:t>
      </w:r>
      <w:r>
        <w:rPr>
          <w:sz w:val="20"/>
        </w:rPr>
        <w:t>2018:</w:t>
      </w:r>
    </w:p>
    <w:p>
      <w:pPr>
        <w:pStyle w:val="BodyText"/>
        <w:spacing w:before="10"/>
      </w:pPr>
    </w:p>
    <w:p>
      <w:pPr>
        <w:pStyle w:val="ListParagraph"/>
        <w:numPr>
          <w:ilvl w:val="3"/>
          <w:numId w:val="1"/>
        </w:numPr>
        <w:tabs>
          <w:tab w:pos="2261" w:val="left" w:leader="none"/>
        </w:tabs>
        <w:spacing w:line="240" w:lineRule="auto" w:before="0" w:after="0"/>
        <w:ind w:left="2260" w:right="116" w:hanging="720"/>
        <w:jc w:val="both"/>
        <w:rPr>
          <w:sz w:val="20"/>
        </w:rPr>
      </w:pPr>
      <w:r>
        <w:rPr>
          <w:sz w:val="20"/>
        </w:rPr>
        <w:t>The workers' compensation cash fund premium surcharge rate authorized by </w:t>
      </w:r>
      <w:r>
        <w:rPr>
          <w:spacing w:val="3"/>
          <w:sz w:val="20"/>
        </w:rPr>
        <w:t>§8- </w:t>
      </w:r>
      <w:r>
        <w:rPr>
          <w:sz w:val="20"/>
        </w:rPr>
        <w:t>44-112(1)(a), shall be 1 percent of the amount of all premiums written as defined in section 2-1(b) or the premium equivalent amount established in section 2-2(c) of this rule.</w:t>
      </w:r>
    </w:p>
    <w:p>
      <w:pPr>
        <w:pStyle w:val="BodyText"/>
        <w:spacing w:before="10"/>
      </w:pPr>
    </w:p>
    <w:p>
      <w:pPr>
        <w:pStyle w:val="ListParagraph"/>
        <w:numPr>
          <w:ilvl w:val="3"/>
          <w:numId w:val="1"/>
        </w:numPr>
        <w:tabs>
          <w:tab w:pos="2351" w:val="left" w:leader="none"/>
          <w:tab w:pos="2352" w:val="left" w:leader="none"/>
        </w:tabs>
        <w:spacing w:line="240" w:lineRule="auto" w:before="0" w:after="0"/>
        <w:ind w:left="2351" w:right="0" w:hanging="811"/>
        <w:jc w:val="left"/>
        <w:rPr>
          <w:sz w:val="20"/>
        </w:rPr>
      </w:pPr>
      <w:r>
        <w:rPr>
          <w:sz w:val="20"/>
        </w:rPr>
        <w:t>The</w:t>
      </w:r>
      <w:r>
        <w:rPr>
          <w:spacing w:val="6"/>
          <w:sz w:val="20"/>
        </w:rPr>
        <w:t> </w:t>
      </w:r>
      <w:r>
        <w:rPr>
          <w:sz w:val="20"/>
        </w:rPr>
        <w:t>additional</w:t>
      </w:r>
      <w:r>
        <w:rPr>
          <w:spacing w:val="9"/>
          <w:sz w:val="20"/>
        </w:rPr>
        <w:t> </w:t>
      </w:r>
      <w:r>
        <w:rPr>
          <w:sz w:val="20"/>
        </w:rPr>
        <w:t>assessment</w:t>
      </w:r>
      <w:r>
        <w:rPr>
          <w:spacing w:val="7"/>
          <w:sz w:val="20"/>
        </w:rPr>
        <w:t> </w:t>
      </w:r>
      <w:r>
        <w:rPr>
          <w:sz w:val="20"/>
        </w:rPr>
        <w:t>to</w:t>
      </w:r>
      <w:r>
        <w:rPr>
          <w:spacing w:val="9"/>
          <w:sz w:val="20"/>
        </w:rPr>
        <w:t> </w:t>
      </w:r>
      <w:r>
        <w:rPr>
          <w:sz w:val="20"/>
        </w:rPr>
        <w:t>fund</w:t>
      </w:r>
      <w:r>
        <w:rPr>
          <w:spacing w:val="10"/>
          <w:sz w:val="20"/>
        </w:rPr>
        <w:t> </w:t>
      </w:r>
      <w:r>
        <w:rPr>
          <w:sz w:val="20"/>
        </w:rPr>
        <w:t>the</w:t>
      </w:r>
      <w:r>
        <w:rPr>
          <w:spacing w:val="9"/>
          <w:sz w:val="20"/>
        </w:rPr>
        <w:t> </w:t>
      </w:r>
      <w:r>
        <w:rPr>
          <w:sz w:val="20"/>
        </w:rPr>
        <w:t>cost</w:t>
      </w:r>
      <w:r>
        <w:rPr>
          <w:spacing w:val="7"/>
          <w:sz w:val="20"/>
        </w:rPr>
        <w:t> </w:t>
      </w:r>
      <w:r>
        <w:rPr>
          <w:sz w:val="20"/>
        </w:rPr>
        <w:t>containment</w:t>
      </w:r>
      <w:r>
        <w:rPr>
          <w:spacing w:val="7"/>
          <w:sz w:val="20"/>
        </w:rPr>
        <w:t> </w:t>
      </w:r>
      <w:r>
        <w:rPr>
          <w:sz w:val="20"/>
        </w:rPr>
        <w:t>program</w:t>
      </w:r>
      <w:r>
        <w:rPr>
          <w:spacing w:val="11"/>
          <w:sz w:val="20"/>
        </w:rPr>
        <w:t> </w:t>
      </w:r>
      <w:r>
        <w:rPr>
          <w:sz w:val="20"/>
        </w:rPr>
        <w:t>authorized</w:t>
      </w:r>
      <w:r>
        <w:rPr>
          <w:spacing w:val="9"/>
          <w:sz w:val="20"/>
        </w:rPr>
        <w:t> </w:t>
      </w:r>
      <w:r>
        <w:rPr>
          <w:sz w:val="20"/>
        </w:rPr>
        <w:t>by</w:t>
      </w:r>
    </w:p>
    <w:p>
      <w:pPr>
        <w:pStyle w:val="BodyText"/>
        <w:ind w:left="2351" w:right="116"/>
        <w:jc w:val="both"/>
      </w:pPr>
      <w:r>
        <w:rPr/>
        <w:t>§ 8-44-112(1)(b)(i), shall be 0.00 percent of all premiums written, as defined in section 2-1(b). This assessment shall not be imposed on self-insured employers.</w:t>
      </w:r>
    </w:p>
    <w:p>
      <w:pPr>
        <w:pStyle w:val="BodyText"/>
        <w:rPr>
          <w:sz w:val="21"/>
        </w:rPr>
      </w:pPr>
    </w:p>
    <w:p>
      <w:pPr>
        <w:pStyle w:val="ListParagraph"/>
        <w:numPr>
          <w:ilvl w:val="3"/>
          <w:numId w:val="1"/>
        </w:numPr>
        <w:tabs>
          <w:tab w:pos="2261" w:val="left" w:leader="none"/>
        </w:tabs>
        <w:spacing w:line="240" w:lineRule="auto" w:before="1" w:after="0"/>
        <w:ind w:left="2260" w:right="115" w:hanging="720"/>
        <w:jc w:val="both"/>
        <w:rPr>
          <w:sz w:val="20"/>
        </w:rPr>
      </w:pPr>
      <w:r>
        <w:rPr>
          <w:sz w:val="20"/>
        </w:rPr>
        <w:t>The assessment to fund the subsequent injury fund authorized by §8-46- 102(2)(a)(i), and the major medical fund authorized by § 8-46-202 shall be 0.0 percent of all premiums written as defined in section 2-1(b) or the premium equivalent amount established in section 2-2(c) of this</w:t>
      </w:r>
      <w:r>
        <w:rPr>
          <w:spacing w:val="1"/>
          <w:sz w:val="20"/>
        </w:rPr>
        <w:t> </w:t>
      </w:r>
      <w:r>
        <w:rPr>
          <w:sz w:val="20"/>
        </w:rPr>
        <w:t>rule.</w:t>
      </w:r>
    </w:p>
    <w:p>
      <w:pPr>
        <w:pStyle w:val="BodyText"/>
        <w:spacing w:before="9"/>
      </w:pPr>
    </w:p>
    <w:p>
      <w:pPr>
        <w:pStyle w:val="ListParagraph"/>
        <w:numPr>
          <w:ilvl w:val="0"/>
          <w:numId w:val="2"/>
        </w:numPr>
        <w:tabs>
          <w:tab w:pos="1540" w:val="left" w:leader="none"/>
          <w:tab w:pos="1541" w:val="left" w:leader="none"/>
        </w:tabs>
        <w:spacing w:line="240" w:lineRule="auto" w:before="0" w:after="0"/>
        <w:ind w:left="1540" w:right="118" w:hanging="629"/>
        <w:jc w:val="left"/>
        <w:rPr>
          <w:sz w:val="20"/>
        </w:rPr>
      </w:pPr>
      <w:r>
        <w:rPr>
          <w:sz w:val="20"/>
        </w:rPr>
        <w:t>The following surcharge rates shall apply for the period beginning January 1, </w:t>
      </w:r>
      <w:r>
        <w:rPr>
          <w:spacing w:val="3"/>
          <w:sz w:val="20"/>
        </w:rPr>
        <w:t>2019 </w:t>
      </w:r>
      <w:r>
        <w:rPr>
          <w:sz w:val="20"/>
        </w:rPr>
        <w:t>and continue indefinitely with periodic review by the</w:t>
      </w:r>
      <w:r>
        <w:rPr>
          <w:spacing w:val="-4"/>
          <w:sz w:val="20"/>
        </w:rPr>
        <w:t> </w:t>
      </w:r>
      <w:r>
        <w:rPr>
          <w:sz w:val="20"/>
        </w:rPr>
        <w:t>director:</w:t>
      </w:r>
    </w:p>
    <w:p>
      <w:pPr>
        <w:pStyle w:val="BodyText"/>
        <w:spacing w:before="11"/>
      </w:pPr>
    </w:p>
    <w:p>
      <w:pPr>
        <w:pStyle w:val="ListParagraph"/>
        <w:numPr>
          <w:ilvl w:val="1"/>
          <w:numId w:val="2"/>
        </w:numPr>
        <w:tabs>
          <w:tab w:pos="2261" w:val="left" w:leader="none"/>
        </w:tabs>
        <w:spacing w:line="240" w:lineRule="auto" w:before="0" w:after="0"/>
        <w:ind w:left="2260" w:right="119" w:hanging="720"/>
        <w:jc w:val="both"/>
        <w:rPr>
          <w:sz w:val="20"/>
        </w:rPr>
      </w:pPr>
      <w:r>
        <w:rPr>
          <w:sz w:val="20"/>
        </w:rPr>
        <w:t>The workers' compensation cash fund premium surcharge rate authorized by </w:t>
      </w:r>
      <w:r>
        <w:rPr>
          <w:spacing w:val="3"/>
          <w:sz w:val="20"/>
        </w:rPr>
        <w:t>§8- </w:t>
      </w:r>
      <w:r>
        <w:rPr>
          <w:sz w:val="20"/>
        </w:rPr>
        <w:t>44-112(1)(a), shall be 1.35 percent of the amount of all premiums written as defined in section 2-1(b) or the premium equivalent amount established in section 2-2(c) of this</w:t>
      </w:r>
      <w:r>
        <w:rPr>
          <w:spacing w:val="1"/>
          <w:sz w:val="20"/>
        </w:rPr>
        <w:t> </w:t>
      </w:r>
      <w:r>
        <w:rPr>
          <w:sz w:val="20"/>
        </w:rPr>
        <w:t>rule.</w:t>
      </w:r>
    </w:p>
    <w:p>
      <w:pPr>
        <w:pStyle w:val="BodyText"/>
        <w:spacing w:before="9"/>
      </w:pPr>
    </w:p>
    <w:p>
      <w:pPr>
        <w:pStyle w:val="ListParagraph"/>
        <w:numPr>
          <w:ilvl w:val="1"/>
          <w:numId w:val="2"/>
        </w:numPr>
        <w:tabs>
          <w:tab w:pos="2261" w:val="left" w:leader="none"/>
        </w:tabs>
        <w:spacing w:line="240" w:lineRule="auto" w:before="0" w:after="0"/>
        <w:ind w:left="2260" w:right="119" w:hanging="720"/>
        <w:jc w:val="both"/>
        <w:rPr>
          <w:sz w:val="20"/>
        </w:rPr>
      </w:pPr>
      <w:r>
        <w:rPr>
          <w:sz w:val="20"/>
        </w:rPr>
        <w:t>The additional assessment to fund the cost containment program authorized by § 8-44-112(1)(b)(i), shall be 0.00 percent of all premiums written, as defined in section 2-1(b). This assessment shall not be imposed on self-insured</w:t>
      </w:r>
      <w:r>
        <w:rPr>
          <w:spacing w:val="1"/>
          <w:sz w:val="20"/>
        </w:rPr>
        <w:t> </w:t>
      </w:r>
      <w:r>
        <w:rPr>
          <w:sz w:val="20"/>
        </w:rPr>
        <w:t>employers.</w:t>
      </w:r>
    </w:p>
    <w:p>
      <w:pPr>
        <w:pStyle w:val="BodyText"/>
        <w:rPr>
          <w:sz w:val="22"/>
        </w:rPr>
      </w:pPr>
    </w:p>
    <w:p>
      <w:pPr>
        <w:pStyle w:val="BodyText"/>
        <w:spacing w:before="10"/>
        <w:rPr>
          <w:sz w:val="18"/>
        </w:rPr>
      </w:pPr>
    </w:p>
    <w:p>
      <w:pPr>
        <w:pStyle w:val="ListParagraph"/>
        <w:numPr>
          <w:ilvl w:val="1"/>
          <w:numId w:val="2"/>
        </w:numPr>
        <w:tabs>
          <w:tab w:pos="2261" w:val="left" w:leader="none"/>
        </w:tabs>
        <w:spacing w:line="240" w:lineRule="auto" w:before="0" w:after="0"/>
        <w:ind w:left="2260" w:right="115" w:hanging="720"/>
        <w:jc w:val="both"/>
        <w:rPr>
          <w:sz w:val="20"/>
        </w:rPr>
      </w:pPr>
      <w:r>
        <w:rPr>
          <w:sz w:val="20"/>
        </w:rPr>
        <w:t>The assessment to fund the subsequent injury fund authorized by §8-46- 102(2)(a)(i), and the major medical fund authorized by § 8-46-202 shall be 0.1 percent of all premiums written as defined in section 2-1(b) or the premium equivalent amount established in section 2-2(c) of this</w:t>
      </w:r>
      <w:r>
        <w:rPr>
          <w:spacing w:val="1"/>
          <w:sz w:val="20"/>
        </w:rPr>
        <w:t> </w:t>
      </w:r>
      <w:r>
        <w:rPr>
          <w:sz w:val="20"/>
        </w:rPr>
        <w:t>rule.</w:t>
      </w:r>
    </w:p>
    <w:sectPr>
      <w:pgSz w:w="12240" w:h="15840"/>
      <w:pgMar w:header="0" w:footer="1066" w:top="1360" w:bottom="126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01.049988pt;margin-top:727.722656pt;width:10pt;height:15.3pt;mso-position-horizontal-relative:page;mso-position-vertical-relative:page;z-index:-3184" type="#_x0000_t202" filled="false" stroked="false">
          <v:textbox inset="0,0,0,0">
            <w:txbxContent>
              <w:p>
                <w:pPr>
                  <w:spacing w:before="10"/>
                  <w:ind w:left="40" w:right="0" w:firstLine="0"/>
                  <w:jc w:val="left"/>
                  <w:rPr>
                    <w:rFonts w:ascii="Times New Roman"/>
                    <w:sz w:val="24"/>
                  </w:rPr>
                </w:pPr>
                <w:r>
                  <w:rPr/>
                  <w:fldChar w:fldCharType="begin"/>
                </w:r>
                <w:r>
                  <w:rPr>
                    <w:rFonts w:ascii="Times New Roman"/>
                    <w:sz w:val="24"/>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2"/>
      <w:numFmt w:val="lowerLetter"/>
      <w:lvlText w:val="(%1)"/>
      <w:lvlJc w:val="left"/>
      <w:pPr>
        <w:ind w:left="1540" w:hanging="629"/>
        <w:jc w:val="left"/>
      </w:pPr>
      <w:rPr>
        <w:rFonts w:hint="default" w:ascii="Arial" w:hAnsi="Arial" w:eastAsia="Arial" w:cs="Arial"/>
        <w:w w:val="99"/>
        <w:sz w:val="20"/>
        <w:szCs w:val="20"/>
        <w:lang w:val="en-us" w:eastAsia="en-us" w:bidi="en-us"/>
      </w:rPr>
    </w:lvl>
    <w:lvl w:ilvl="1">
      <w:start w:val="1"/>
      <w:numFmt w:val="decimal"/>
      <w:lvlText w:val="(%2)"/>
      <w:lvlJc w:val="left"/>
      <w:pPr>
        <w:ind w:left="2260" w:hanging="720"/>
        <w:jc w:val="left"/>
      </w:pPr>
      <w:rPr>
        <w:rFonts w:hint="default" w:ascii="Arial" w:hAnsi="Arial" w:eastAsia="Arial" w:cs="Arial"/>
        <w:w w:val="99"/>
        <w:sz w:val="20"/>
        <w:szCs w:val="20"/>
        <w:lang w:val="en-us" w:eastAsia="en-us" w:bidi="en-us"/>
      </w:rPr>
    </w:lvl>
    <w:lvl w:ilvl="2">
      <w:start w:val="0"/>
      <w:numFmt w:val="bullet"/>
      <w:lvlText w:val="•"/>
      <w:lvlJc w:val="left"/>
      <w:pPr>
        <w:ind w:left="3073" w:hanging="720"/>
      </w:pPr>
      <w:rPr>
        <w:rFonts w:hint="default"/>
        <w:lang w:val="en-us" w:eastAsia="en-us" w:bidi="en-us"/>
      </w:rPr>
    </w:lvl>
    <w:lvl w:ilvl="3">
      <w:start w:val="0"/>
      <w:numFmt w:val="bullet"/>
      <w:lvlText w:val="•"/>
      <w:lvlJc w:val="left"/>
      <w:pPr>
        <w:ind w:left="3886" w:hanging="720"/>
      </w:pPr>
      <w:rPr>
        <w:rFonts w:hint="default"/>
        <w:lang w:val="en-us" w:eastAsia="en-us" w:bidi="en-us"/>
      </w:rPr>
    </w:lvl>
    <w:lvl w:ilvl="4">
      <w:start w:val="0"/>
      <w:numFmt w:val="bullet"/>
      <w:lvlText w:val="•"/>
      <w:lvlJc w:val="left"/>
      <w:pPr>
        <w:ind w:left="4700" w:hanging="720"/>
      </w:pPr>
      <w:rPr>
        <w:rFonts w:hint="default"/>
        <w:lang w:val="en-us" w:eastAsia="en-us" w:bidi="en-us"/>
      </w:rPr>
    </w:lvl>
    <w:lvl w:ilvl="5">
      <w:start w:val="0"/>
      <w:numFmt w:val="bullet"/>
      <w:lvlText w:val="•"/>
      <w:lvlJc w:val="left"/>
      <w:pPr>
        <w:ind w:left="5513" w:hanging="720"/>
      </w:pPr>
      <w:rPr>
        <w:rFonts w:hint="default"/>
        <w:lang w:val="en-us" w:eastAsia="en-us" w:bidi="en-us"/>
      </w:rPr>
    </w:lvl>
    <w:lvl w:ilvl="6">
      <w:start w:val="0"/>
      <w:numFmt w:val="bullet"/>
      <w:lvlText w:val="•"/>
      <w:lvlJc w:val="left"/>
      <w:pPr>
        <w:ind w:left="6326" w:hanging="720"/>
      </w:pPr>
      <w:rPr>
        <w:rFonts w:hint="default"/>
        <w:lang w:val="en-us" w:eastAsia="en-us" w:bidi="en-us"/>
      </w:rPr>
    </w:lvl>
    <w:lvl w:ilvl="7">
      <w:start w:val="0"/>
      <w:numFmt w:val="bullet"/>
      <w:lvlText w:val="•"/>
      <w:lvlJc w:val="left"/>
      <w:pPr>
        <w:ind w:left="7140" w:hanging="720"/>
      </w:pPr>
      <w:rPr>
        <w:rFonts w:hint="default"/>
        <w:lang w:val="en-us" w:eastAsia="en-us" w:bidi="en-us"/>
      </w:rPr>
    </w:lvl>
    <w:lvl w:ilvl="8">
      <w:start w:val="0"/>
      <w:numFmt w:val="bullet"/>
      <w:lvlText w:val="•"/>
      <w:lvlJc w:val="left"/>
      <w:pPr>
        <w:ind w:left="7953" w:hanging="720"/>
      </w:pPr>
      <w:rPr>
        <w:rFonts w:hint="default"/>
        <w:lang w:val="en-us" w:eastAsia="en-us" w:bidi="en-us"/>
      </w:rPr>
    </w:lvl>
  </w:abstractNum>
  <w:abstractNum w:abstractNumId="0">
    <w:multiLevelType w:val="hybridMultilevel"/>
    <w:lvl w:ilvl="0">
      <w:start w:val="2"/>
      <w:numFmt w:val="decimal"/>
      <w:lvlText w:val="%1"/>
      <w:lvlJc w:val="left"/>
      <w:pPr>
        <w:ind w:left="820" w:hanging="720"/>
        <w:jc w:val="left"/>
      </w:pPr>
      <w:rPr>
        <w:rFonts w:hint="default"/>
        <w:lang w:val="en-us" w:eastAsia="en-us" w:bidi="en-us"/>
      </w:rPr>
    </w:lvl>
    <w:lvl w:ilvl="1">
      <w:start w:val="1"/>
      <w:numFmt w:val="decimal"/>
      <w:lvlText w:val="%1-%2"/>
      <w:lvlJc w:val="left"/>
      <w:pPr>
        <w:ind w:left="820" w:hanging="720"/>
        <w:jc w:val="left"/>
      </w:pPr>
      <w:rPr>
        <w:rFonts w:hint="default" w:ascii="Arial" w:hAnsi="Arial" w:eastAsia="Arial" w:cs="Arial"/>
        <w:spacing w:val="-1"/>
        <w:w w:val="99"/>
        <w:sz w:val="20"/>
        <w:szCs w:val="20"/>
        <w:lang w:val="en-us" w:eastAsia="en-us" w:bidi="en-us"/>
      </w:rPr>
    </w:lvl>
    <w:lvl w:ilvl="2">
      <w:start w:val="1"/>
      <w:numFmt w:val="upperLetter"/>
      <w:lvlText w:val="(%3)"/>
      <w:lvlJc w:val="left"/>
      <w:pPr>
        <w:ind w:left="1540" w:hanging="720"/>
        <w:jc w:val="left"/>
      </w:pPr>
      <w:rPr>
        <w:rFonts w:hint="default" w:ascii="Arial" w:hAnsi="Arial" w:eastAsia="Arial" w:cs="Arial"/>
        <w:spacing w:val="-1"/>
        <w:w w:val="99"/>
        <w:sz w:val="20"/>
        <w:szCs w:val="20"/>
        <w:lang w:val="en-us" w:eastAsia="en-us" w:bidi="en-us"/>
      </w:rPr>
    </w:lvl>
    <w:lvl w:ilvl="3">
      <w:start w:val="1"/>
      <w:numFmt w:val="decimal"/>
      <w:lvlText w:val="(%4)"/>
      <w:lvlJc w:val="left"/>
      <w:pPr>
        <w:ind w:left="2260" w:hanging="720"/>
        <w:jc w:val="left"/>
      </w:pPr>
      <w:rPr>
        <w:rFonts w:hint="default" w:ascii="Arial" w:hAnsi="Arial" w:eastAsia="Arial" w:cs="Arial"/>
        <w:w w:val="99"/>
        <w:sz w:val="20"/>
        <w:szCs w:val="20"/>
        <w:lang w:val="en-us" w:eastAsia="en-us" w:bidi="en-us"/>
      </w:rPr>
    </w:lvl>
    <w:lvl w:ilvl="4">
      <w:start w:val="0"/>
      <w:numFmt w:val="bullet"/>
      <w:lvlText w:val="•"/>
      <w:lvlJc w:val="left"/>
      <w:pPr>
        <w:ind w:left="4090" w:hanging="720"/>
      </w:pPr>
      <w:rPr>
        <w:rFonts w:hint="default"/>
        <w:lang w:val="en-us" w:eastAsia="en-us" w:bidi="en-us"/>
      </w:rPr>
    </w:lvl>
    <w:lvl w:ilvl="5">
      <w:start w:val="0"/>
      <w:numFmt w:val="bullet"/>
      <w:lvlText w:val="•"/>
      <w:lvlJc w:val="left"/>
      <w:pPr>
        <w:ind w:left="5005" w:hanging="720"/>
      </w:pPr>
      <w:rPr>
        <w:rFonts w:hint="default"/>
        <w:lang w:val="en-us" w:eastAsia="en-us" w:bidi="en-us"/>
      </w:rPr>
    </w:lvl>
    <w:lvl w:ilvl="6">
      <w:start w:val="0"/>
      <w:numFmt w:val="bullet"/>
      <w:lvlText w:val="•"/>
      <w:lvlJc w:val="left"/>
      <w:pPr>
        <w:ind w:left="5920" w:hanging="720"/>
      </w:pPr>
      <w:rPr>
        <w:rFonts w:hint="default"/>
        <w:lang w:val="en-us" w:eastAsia="en-us" w:bidi="en-us"/>
      </w:rPr>
    </w:lvl>
    <w:lvl w:ilvl="7">
      <w:start w:val="0"/>
      <w:numFmt w:val="bullet"/>
      <w:lvlText w:val="•"/>
      <w:lvlJc w:val="left"/>
      <w:pPr>
        <w:ind w:left="6835" w:hanging="720"/>
      </w:pPr>
      <w:rPr>
        <w:rFonts w:hint="default"/>
        <w:lang w:val="en-us" w:eastAsia="en-us" w:bidi="en-us"/>
      </w:rPr>
    </w:lvl>
    <w:lvl w:ilvl="8">
      <w:start w:val="0"/>
      <w:numFmt w:val="bullet"/>
      <w:lvlText w:val="•"/>
      <w:lvlJc w:val="left"/>
      <w:pPr>
        <w:ind w:left="7750" w:hanging="720"/>
      </w:pPr>
      <w:rPr>
        <w:rFonts w:hint="default"/>
        <w:lang w:val="en-us" w:eastAsia="en-us" w:bidi="en-u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0"/>
      <w:szCs w:val="20"/>
      <w:lang w:val="en-us" w:eastAsia="en-us" w:bidi="en-us"/>
    </w:rPr>
  </w:style>
  <w:style w:styleId="Heading1" w:type="paragraph">
    <w:name w:val="Heading 1"/>
    <w:basedOn w:val="Normal"/>
    <w:uiPriority w:val="1"/>
    <w:qFormat/>
    <w:pPr>
      <w:spacing w:before="76"/>
      <w:ind w:right="16"/>
      <w:jc w:val="center"/>
      <w:outlineLvl w:val="1"/>
    </w:pPr>
    <w:rPr>
      <w:rFonts w:ascii="Arial" w:hAnsi="Arial" w:eastAsia="Arial" w:cs="Arial"/>
      <w:b/>
      <w:bCs/>
      <w:sz w:val="28"/>
      <w:szCs w:val="28"/>
      <w:lang w:val="en-us" w:eastAsia="en-us" w:bidi="en-us"/>
    </w:rPr>
  </w:style>
  <w:style w:styleId="Heading2" w:type="paragraph">
    <w:name w:val="Heading 2"/>
    <w:basedOn w:val="Normal"/>
    <w:uiPriority w:val="1"/>
    <w:qFormat/>
    <w:pPr>
      <w:spacing w:before="1"/>
      <w:ind w:right="16"/>
      <w:jc w:val="center"/>
      <w:outlineLvl w:val="2"/>
    </w:pPr>
    <w:rPr>
      <w:rFonts w:ascii="Arial" w:hAnsi="Arial" w:eastAsia="Arial" w:cs="Arial"/>
      <w:b/>
      <w:bCs/>
      <w:sz w:val="24"/>
      <w:szCs w:val="24"/>
      <w:lang w:val="en-us" w:eastAsia="en-us" w:bidi="en-us"/>
    </w:rPr>
  </w:style>
  <w:style w:styleId="ListParagraph" w:type="paragraph">
    <w:name w:val="List Paragraph"/>
    <w:basedOn w:val="Normal"/>
    <w:uiPriority w:val="1"/>
    <w:qFormat/>
    <w:pPr>
      <w:ind w:left="1540" w:hanging="720"/>
      <w:jc w:val="both"/>
    </w:pPr>
    <w:rPr>
      <w:rFonts w:ascii="Arial" w:hAnsi="Arial" w:eastAsia="Arial" w:cs="Arial"/>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CDLE Workstation</dc:creator>
  <dc:title>CCR Template</dc:title>
  <dcterms:created xsi:type="dcterms:W3CDTF">2019-06-07T19:13:27Z</dcterms:created>
  <dcterms:modified xsi:type="dcterms:W3CDTF">2019-06-07T19:13:27Z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2018-12-13T00:00:00Z</vt:filetime>
  </property>
  <property fmtid="{D5CDD505-2E9C-101B-9397-08002B2CF9AE}" pid="3" name="Creator">
    <vt:lpwstr>Microsoft® Word 2016</vt:lpwstr>
  </property>
  <property fmtid="{D5CDD505-2E9C-101B-9397-08002B2CF9AE}" pid="4" name="LastSaved">
    <vt:filetime>2019-06-07T00:00:00Z</vt:filetime>
  </property>
</Properties>
</file>