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889" w:rsidRPr="00D75FAD" w:rsidRDefault="00F74889" w:rsidP="00F74889">
      <w:pPr>
        <w:rPr>
          <w:b/>
        </w:rPr>
      </w:pPr>
      <w:r w:rsidRPr="00D75FAD">
        <w:rPr>
          <w:b/>
        </w:rPr>
        <w:t xml:space="preserve">Kang H, </w:t>
      </w:r>
      <w:r w:rsidRPr="00D75FAD">
        <w:rPr>
          <w:b/>
        </w:rPr>
        <w:t>Koh IH, et al. Endoscopic versus open release in patients with de Quervain's tenosynovitis: a randomised trial.</w:t>
      </w:r>
      <w:r w:rsidRPr="00D75FAD">
        <w:rPr>
          <w:b/>
        </w:rPr>
        <w:t xml:space="preserve"> Bone Joint J. 2013</w:t>
      </w:r>
      <w:r w:rsidRPr="00D75FAD">
        <w:rPr>
          <w:b/>
        </w:rPr>
        <w:t>;95-B(7);947-51.</w:t>
      </w:r>
      <w:r w:rsidRPr="00D75FAD">
        <w:rPr>
          <w:b/>
        </w:rPr>
        <w:tab/>
      </w:r>
    </w:p>
    <w:p w:rsidR="00B14474" w:rsidRDefault="00F74889" w:rsidP="00F74889">
      <w:r>
        <w:t xml:space="preserve">PMID: </w:t>
      </w:r>
      <w:r>
        <w:t>23814248</w:t>
      </w:r>
    </w:p>
    <w:p w:rsidR="00F74889" w:rsidRDefault="00F74889" w:rsidP="00F74889">
      <w:r>
        <w:t>Design: randomized clinical trial</w:t>
      </w:r>
    </w:p>
    <w:p w:rsidR="00F74889" w:rsidRDefault="00F74889" w:rsidP="00F74889">
      <w:r>
        <w:t>Purpose of study: to compare symptom and functional outcomes of endoscopic versus open surgical release in patients with de Quervain’s tenosynovitis</w:t>
      </w:r>
    </w:p>
    <w:p w:rsidR="00F74889" w:rsidRDefault="00F74889" w:rsidP="00F74889">
      <w:r>
        <w:t>Population/sample size/setting:</w:t>
      </w:r>
    </w:p>
    <w:p w:rsidR="00F74889" w:rsidRDefault="00D75FAD" w:rsidP="00F74889">
      <w:pPr>
        <w:pStyle w:val="ListParagraph"/>
        <w:numPr>
          <w:ilvl w:val="0"/>
          <w:numId w:val="1"/>
        </w:numPr>
      </w:pPr>
      <w:r>
        <w:t>52 patients (4 men, 48 women, mean age 50) treated for de Quervain’s tenosynovitis at a university orthopedics department in Seoul</w:t>
      </w:r>
    </w:p>
    <w:p w:rsidR="00D75FAD" w:rsidRDefault="008C4599" w:rsidP="00F74889">
      <w:pPr>
        <w:pStyle w:val="ListParagraph"/>
        <w:numPr>
          <w:ilvl w:val="0"/>
          <w:numId w:val="1"/>
        </w:numPr>
      </w:pPr>
      <w:r>
        <w:t xml:space="preserve">Eligibility required only age over 20 with “recalcitrant” de Quervain’s </w:t>
      </w:r>
    </w:p>
    <w:p w:rsidR="008C4599" w:rsidRDefault="008C4599" w:rsidP="00F74889">
      <w:pPr>
        <w:pStyle w:val="ListParagraph"/>
        <w:numPr>
          <w:ilvl w:val="0"/>
          <w:numId w:val="1"/>
        </w:numPr>
      </w:pPr>
      <w:r>
        <w:t xml:space="preserve">Exclusion criteria were inflammatory disease such as rheumatoid arthritis or gout, previous injury to the wrist, previous release for </w:t>
      </w:r>
      <w:r>
        <w:t>de Quervain’s tenosynovitis</w:t>
      </w:r>
      <w:r>
        <w:t xml:space="preserve">, other symptomatic upper limb conditions such as rotator cuff, epicondylitis, carpal tunnel syndrome, cognitive impairment which would preclude answering questionnaires, any workers’ compensation issues, and </w:t>
      </w:r>
      <w:r w:rsidR="00655974">
        <w:t>any factor which would prevent participation in the study for 24 weeks</w:t>
      </w:r>
    </w:p>
    <w:p w:rsidR="00655974" w:rsidRDefault="00655974" w:rsidP="00655974">
      <w:r>
        <w:t>Interventions:</w:t>
      </w:r>
    </w:p>
    <w:p w:rsidR="00655974" w:rsidRDefault="00655974" w:rsidP="00655974">
      <w:pPr>
        <w:pStyle w:val="ListParagraph"/>
        <w:numPr>
          <w:ilvl w:val="0"/>
          <w:numId w:val="1"/>
        </w:numPr>
      </w:pPr>
      <w:r>
        <w:t>All patient underwent release of the abductor pollicis longus and extensor pollicis brevis tendon sheath by the same surgeon</w:t>
      </w:r>
    </w:p>
    <w:p w:rsidR="00655974" w:rsidRDefault="00655974" w:rsidP="00655974">
      <w:pPr>
        <w:pStyle w:val="ListParagraph"/>
        <w:numPr>
          <w:ilvl w:val="0"/>
          <w:numId w:val="1"/>
        </w:numPr>
      </w:pPr>
      <w:r>
        <w:t>Randomized to either endoscopic (n=27) or open release (n=25)</w:t>
      </w:r>
    </w:p>
    <w:p w:rsidR="00655974" w:rsidRDefault="00655974" w:rsidP="00655974">
      <w:pPr>
        <w:pStyle w:val="ListParagraph"/>
        <w:numPr>
          <w:ilvl w:val="1"/>
          <w:numId w:val="1"/>
        </w:numPr>
      </w:pPr>
      <w:r>
        <w:t>Endoscopic release was done using two portals placed 1 cm distal and one placed 3 cm proximal to the radial styloid along the course of the first extensor compartment, after which a 1.9 mm arthroscope was passed through the proximal portal and a hook-shaped knife was introduced through the distal portal, releasing the stenotic tendon sheath and then closing the wound with Steri-Strips</w:t>
      </w:r>
    </w:p>
    <w:p w:rsidR="00685F38" w:rsidRDefault="00F3270D" w:rsidP="00655974">
      <w:pPr>
        <w:pStyle w:val="ListParagraph"/>
        <w:numPr>
          <w:ilvl w:val="1"/>
          <w:numId w:val="1"/>
        </w:numPr>
      </w:pPr>
      <w:r>
        <w:t xml:space="preserve">Open release was done through a 1.5 cm longitudinal incision over the first extensor compartment at the radial styloid, protecting the superficial branches of the radial nerve and opening the extensor retinaculum </w:t>
      </w:r>
      <w:r w:rsidR="00685F38">
        <w:t>at its dorso-ulnar corner, after which a compression dressing was applied and removed the following day</w:t>
      </w:r>
    </w:p>
    <w:p w:rsidR="00655974" w:rsidRDefault="00655974" w:rsidP="00655974">
      <w:pPr>
        <w:pStyle w:val="ListParagraph"/>
        <w:numPr>
          <w:ilvl w:val="1"/>
          <w:numId w:val="1"/>
        </w:numPr>
      </w:pPr>
      <w:r>
        <w:t xml:space="preserve"> </w:t>
      </w:r>
      <w:r w:rsidR="00685F38">
        <w:t>Both groups were encouraged to move their wrists and thumbs beginning the day after surgery</w:t>
      </w:r>
    </w:p>
    <w:p w:rsidR="00685F38" w:rsidRDefault="00685F38" w:rsidP="00685F38">
      <w:r>
        <w:t>Outcomes:</w:t>
      </w:r>
    </w:p>
    <w:p w:rsidR="00685F38" w:rsidRDefault="00685F38" w:rsidP="00685F38">
      <w:pPr>
        <w:pStyle w:val="ListParagraph"/>
        <w:numPr>
          <w:ilvl w:val="0"/>
          <w:numId w:val="1"/>
        </w:numPr>
      </w:pPr>
      <w:r>
        <w:lastRenderedPageBreak/>
        <w:t>Followup was done at 2, 6, 12, and 24 weeks after surgery</w:t>
      </w:r>
      <w:r w:rsidR="00E3077E">
        <w:t>, but only the 12 and 24 week outcomes are reported</w:t>
      </w:r>
    </w:p>
    <w:p w:rsidR="00685F38" w:rsidRDefault="00E3077E" w:rsidP="00685F38">
      <w:pPr>
        <w:pStyle w:val="ListParagraph"/>
        <w:numPr>
          <w:ilvl w:val="0"/>
          <w:numId w:val="1"/>
        </w:numPr>
      </w:pPr>
      <w:r>
        <w:t>The groups were compared on VAS pain, DASH functional scores, and on satisfaction with the scar at 24 weeks</w:t>
      </w:r>
    </w:p>
    <w:p w:rsidR="00E3077E" w:rsidRDefault="00E3077E" w:rsidP="00685F38">
      <w:pPr>
        <w:pStyle w:val="ListParagraph"/>
        <w:numPr>
          <w:ilvl w:val="0"/>
          <w:numId w:val="1"/>
        </w:numPr>
      </w:pPr>
      <w:r>
        <w:t>Between the time of surgery and 12 weeks, both groups experienced significant improvements in pain and DASH function</w:t>
      </w:r>
      <w:r w:rsidR="00611813">
        <w:t xml:space="preserve"> compared to baseline</w:t>
      </w:r>
      <w:r>
        <w:t xml:space="preserve">, with a greater improvement in the </w:t>
      </w:r>
      <w:r w:rsidR="00611813">
        <w:t>endoscopic</w:t>
      </w:r>
      <w:r w:rsidR="00611813">
        <w:t xml:space="preserve"> group</w:t>
      </w:r>
    </w:p>
    <w:p w:rsidR="00611813" w:rsidRDefault="00611813" w:rsidP="00611813">
      <w:pPr>
        <w:pStyle w:val="ListParagraph"/>
        <w:numPr>
          <w:ilvl w:val="1"/>
          <w:numId w:val="1"/>
        </w:numPr>
      </w:pPr>
      <w:r>
        <w:t xml:space="preserve">VAS scores in the </w:t>
      </w:r>
      <w:r>
        <w:t>endoscopic</w:t>
      </w:r>
      <w:r>
        <w:t xml:space="preserve"> went from 7.4 to 2.7, and VAS scores in the open group went from 7.5 to 3.8</w:t>
      </w:r>
    </w:p>
    <w:p w:rsidR="00611813" w:rsidRDefault="00611813" w:rsidP="00611813">
      <w:pPr>
        <w:pStyle w:val="ListParagraph"/>
        <w:numPr>
          <w:ilvl w:val="1"/>
          <w:numId w:val="1"/>
        </w:numPr>
      </w:pPr>
      <w:r>
        <w:t xml:space="preserve">DASH scores in the </w:t>
      </w:r>
      <w:r>
        <w:t>endoscopic</w:t>
      </w:r>
      <w:r>
        <w:t xml:space="preserve"> group went from 52.2 to 16.9, and DASH scores in the open group went from 57.3 to 27.1</w:t>
      </w:r>
    </w:p>
    <w:p w:rsidR="00611813" w:rsidRDefault="00611813" w:rsidP="00611813">
      <w:pPr>
        <w:pStyle w:val="ListParagraph"/>
        <w:numPr>
          <w:ilvl w:val="0"/>
          <w:numId w:val="1"/>
        </w:numPr>
      </w:pPr>
      <w:r>
        <w:t xml:space="preserve">At the 24 week followup, the VAS and DASH scores in </w:t>
      </w:r>
      <w:r>
        <w:t>endoscopic</w:t>
      </w:r>
      <w:r>
        <w:t xml:space="preserve"> and open groups were statistically equal (VAS scores of 1.5 and 1.6 respectively and DASH scores of 3.8 and 7.3 respectively)</w:t>
      </w:r>
    </w:p>
    <w:p w:rsidR="00611813" w:rsidRDefault="00611813" w:rsidP="00611813">
      <w:pPr>
        <w:pStyle w:val="ListParagraph"/>
        <w:numPr>
          <w:ilvl w:val="0"/>
          <w:numId w:val="1"/>
        </w:numPr>
      </w:pPr>
      <w:r>
        <w:t xml:space="preserve">Transient superficial radial nerve </w:t>
      </w:r>
      <w:r w:rsidR="00E46F32">
        <w:t xml:space="preserve">injury symptoms were significantly less common in the </w:t>
      </w:r>
      <w:r w:rsidR="00E46F32">
        <w:t>endoscopic</w:t>
      </w:r>
      <w:r w:rsidR="00E46F32">
        <w:t xml:space="preserve"> group (3 patients) compared to the open release group (9 patients)</w:t>
      </w:r>
    </w:p>
    <w:p w:rsidR="00611813" w:rsidRDefault="00611813" w:rsidP="00611813">
      <w:pPr>
        <w:pStyle w:val="ListParagraph"/>
        <w:numPr>
          <w:ilvl w:val="0"/>
          <w:numId w:val="1"/>
        </w:numPr>
      </w:pPr>
      <w:r>
        <w:t>Return to work times were not different between groups</w:t>
      </w:r>
      <w:r w:rsidR="00EF757A">
        <w:t xml:space="preserve"> (6.9 weeks for the </w:t>
      </w:r>
      <w:r w:rsidR="00EF757A">
        <w:t>endoscopic</w:t>
      </w:r>
      <w:r w:rsidR="00EF757A">
        <w:t xml:space="preserve"> group and 7.8 weeks for the open group)</w:t>
      </w:r>
    </w:p>
    <w:p w:rsidR="00611813" w:rsidRDefault="00611813" w:rsidP="00611813">
      <w:pPr>
        <w:pStyle w:val="ListParagraph"/>
        <w:numPr>
          <w:ilvl w:val="0"/>
          <w:numId w:val="1"/>
        </w:numPr>
      </w:pPr>
      <w:r>
        <w:t xml:space="preserve">Scar satisfaction was significantly better among the </w:t>
      </w:r>
      <w:r>
        <w:t>endoscopic</w:t>
      </w:r>
      <w:r>
        <w:t xml:space="preserve"> patients (mean score of 8.0 on a 10 point scale) than among the open release patients (mean score 6.1)</w:t>
      </w:r>
    </w:p>
    <w:p w:rsidR="00611813" w:rsidRDefault="006A0741" w:rsidP="006A0741">
      <w:r>
        <w:t>Authors’ conclusions:</w:t>
      </w:r>
    </w:p>
    <w:p w:rsidR="006A0741" w:rsidRDefault="007A078E" w:rsidP="006A0741">
      <w:pPr>
        <w:pStyle w:val="ListParagraph"/>
        <w:numPr>
          <w:ilvl w:val="0"/>
          <w:numId w:val="1"/>
        </w:numPr>
      </w:pPr>
      <w:r>
        <w:t xml:space="preserve">Satisfactory outcomes at 24 weeks are achieved with both </w:t>
      </w:r>
      <w:r>
        <w:t>endoscopic</w:t>
      </w:r>
      <w:r>
        <w:t xml:space="preserve"> and open release of de Quervain’s tenosynovitis</w:t>
      </w:r>
    </w:p>
    <w:p w:rsidR="007A078E" w:rsidRDefault="00F36A4D" w:rsidP="006A0741">
      <w:pPr>
        <w:pStyle w:val="ListParagraph"/>
        <w:numPr>
          <w:ilvl w:val="0"/>
          <w:numId w:val="1"/>
        </w:numPr>
      </w:pPr>
      <w:r>
        <w:t xml:space="preserve">There is more rapid pain and functional improvement with </w:t>
      </w:r>
      <w:r>
        <w:t>endoscopic</w:t>
      </w:r>
      <w:r>
        <w:t xml:space="preserve"> release as assessed 12 weeks after surgery</w:t>
      </w:r>
    </w:p>
    <w:p w:rsidR="00F36A4D" w:rsidRDefault="00F36A4D" w:rsidP="006A0741">
      <w:pPr>
        <w:pStyle w:val="ListParagraph"/>
        <w:numPr>
          <w:ilvl w:val="0"/>
          <w:numId w:val="1"/>
        </w:numPr>
      </w:pPr>
      <w:r>
        <w:t xml:space="preserve">There is a lower risk of superficial radial nerve injury with </w:t>
      </w:r>
      <w:r>
        <w:t>endoscopic</w:t>
      </w:r>
      <w:r>
        <w:t xml:space="preserve"> than with open release</w:t>
      </w:r>
    </w:p>
    <w:p w:rsidR="00F36A4D" w:rsidRDefault="00F36A4D" w:rsidP="006A0741">
      <w:pPr>
        <w:pStyle w:val="ListParagraph"/>
        <w:numPr>
          <w:ilvl w:val="0"/>
          <w:numId w:val="1"/>
        </w:numPr>
      </w:pPr>
      <w:r>
        <w:t xml:space="preserve">There is less scar formation at 24 weeks with the </w:t>
      </w:r>
      <w:r>
        <w:t>endoscopic</w:t>
      </w:r>
      <w:r>
        <w:t xml:space="preserve"> than with the open procedure</w:t>
      </w:r>
    </w:p>
    <w:p w:rsidR="00F36A4D" w:rsidRDefault="0013465D" w:rsidP="006A0741">
      <w:pPr>
        <w:pStyle w:val="ListParagraph"/>
        <w:numPr>
          <w:ilvl w:val="0"/>
          <w:numId w:val="1"/>
        </w:numPr>
      </w:pPr>
      <w:r>
        <w:t>Although the surgeon and patients could not be blinded, the outcome assessment was done by a blinded researcher</w:t>
      </w:r>
    </w:p>
    <w:p w:rsidR="0013465D" w:rsidRDefault="0013465D" w:rsidP="0013465D">
      <w:r>
        <w:t>Comments:</w:t>
      </w:r>
    </w:p>
    <w:p w:rsidR="0013465D" w:rsidRDefault="00BF461B" w:rsidP="0013465D">
      <w:pPr>
        <w:pStyle w:val="ListParagraph"/>
        <w:numPr>
          <w:ilvl w:val="0"/>
          <w:numId w:val="1"/>
        </w:numPr>
      </w:pPr>
      <w:r>
        <w:t xml:space="preserve">The authors’ introduction seems to show an incomplete appreciation of the purpose of intention to treat (ITT) analysis, implying that it is a drawback that ITT analysis is based on original treatment assignment and not on treatment actually received; this feature is </w:t>
      </w:r>
      <w:r w:rsidR="002749F8">
        <w:t>what makes ITT analysis essential to decision-making when patients are first evaluated and when initial treatment plans are decided upon</w:t>
      </w:r>
    </w:p>
    <w:p w:rsidR="002749F8" w:rsidRDefault="002749F8" w:rsidP="0013465D">
      <w:pPr>
        <w:pStyle w:val="ListParagraph"/>
        <w:numPr>
          <w:ilvl w:val="0"/>
          <w:numId w:val="1"/>
        </w:numPr>
      </w:pPr>
      <w:r>
        <w:lastRenderedPageBreak/>
        <w:t>However, since all patients received the treatment to which they were randomized, the ITT and the as-treated analyses were identical</w:t>
      </w:r>
    </w:p>
    <w:p w:rsidR="00047353" w:rsidRDefault="00131CFB" w:rsidP="0013465D">
      <w:pPr>
        <w:pStyle w:val="ListParagraph"/>
        <w:numPr>
          <w:ilvl w:val="0"/>
          <w:numId w:val="1"/>
        </w:numPr>
      </w:pPr>
      <w:r>
        <w:t>The entry criterion of “recalcitrant” de Quervain’s is not defined, but apparently did exclude patients with prior surgical relea</w:t>
      </w:r>
      <w:r w:rsidR="00047353">
        <w:t>se</w:t>
      </w:r>
    </w:p>
    <w:p w:rsidR="002749F8" w:rsidRDefault="00047353" w:rsidP="00047353">
      <w:pPr>
        <w:pStyle w:val="ListParagraph"/>
        <w:numPr>
          <w:ilvl w:val="1"/>
          <w:numId w:val="1"/>
        </w:numPr>
      </w:pPr>
      <w:r>
        <w:t>Prior interventions</w:t>
      </w:r>
      <w:r w:rsidR="00131CFB">
        <w:t xml:space="preserve"> cannot be </w:t>
      </w:r>
      <w:r>
        <w:t>determined because they were not described</w:t>
      </w:r>
    </w:p>
    <w:p w:rsidR="00047353" w:rsidRDefault="00047353" w:rsidP="00047353">
      <w:pPr>
        <w:pStyle w:val="ListParagraph"/>
        <w:numPr>
          <w:ilvl w:val="1"/>
          <w:numId w:val="1"/>
        </w:numPr>
      </w:pPr>
      <w:r>
        <w:t xml:space="preserve">However, the duration of symptoms was an average of 9.7 months for the </w:t>
      </w:r>
      <w:r>
        <w:t>endoscopic</w:t>
      </w:r>
      <w:r>
        <w:t xml:space="preserve"> group and 11.2 months for the open</w:t>
      </w:r>
      <w:r w:rsidR="00DC30A9">
        <w:t xml:space="preserve"> release</w:t>
      </w:r>
      <w:r>
        <w:t xml:space="preserve"> group</w:t>
      </w:r>
    </w:p>
    <w:p w:rsidR="00DC30A9" w:rsidRDefault="00EF757A" w:rsidP="00EF757A">
      <w:pPr>
        <w:pStyle w:val="ListParagraph"/>
        <w:numPr>
          <w:ilvl w:val="0"/>
          <w:numId w:val="1"/>
        </w:numPr>
      </w:pPr>
      <w:r>
        <w:t>Workers’ compensation patients were excluded</w:t>
      </w:r>
      <w:r w:rsidR="000F18DD">
        <w:t>, and the number of patients employed (and the nature of their jobs) is not reported</w:t>
      </w:r>
    </w:p>
    <w:p w:rsidR="000F18DD" w:rsidRDefault="000F18DD" w:rsidP="00EF757A">
      <w:pPr>
        <w:pStyle w:val="ListParagraph"/>
        <w:numPr>
          <w:ilvl w:val="0"/>
          <w:numId w:val="1"/>
        </w:numPr>
      </w:pPr>
      <w:r>
        <w:t xml:space="preserve">However, the differences in scar satisfaction, superficial radial nerve injury, and the more rapid improvement in pain and function with </w:t>
      </w:r>
      <w:r>
        <w:t>endoscopic</w:t>
      </w:r>
      <w:r>
        <w:t xml:space="preserve"> than with open release, together with the equally satisfactory outcomes at 24 weeks, together would support the basic conclusions of the authors</w:t>
      </w:r>
    </w:p>
    <w:p w:rsidR="000F18DD" w:rsidRPr="000F18DD" w:rsidRDefault="000F18DD" w:rsidP="000F18DD">
      <w:r>
        <w:t xml:space="preserve">Assessment: adequate for some evidence that in the setting of de Quervain’s tenosynovitis, 24 week outcomes are equally satisfactory with </w:t>
      </w:r>
      <w:r>
        <w:t>endoscopic</w:t>
      </w:r>
      <w:r>
        <w:t xml:space="preserve"> and with open release, and return to work times are approximately equal, but there is a lower risk of transient injury to the superficial radial nerve with </w:t>
      </w:r>
      <w:r>
        <w:t>endoscopic</w:t>
      </w:r>
      <w:r>
        <w:t xml:space="preserve"> release, as well as better scar satisfaction and a slightly more rapid resolution of pain and of </w:t>
      </w:r>
      <w:bookmarkStart w:id="0" w:name="_GoBack"/>
      <w:bookmarkEnd w:id="0"/>
      <w:r>
        <w:t>functional limitations</w:t>
      </w:r>
    </w:p>
    <w:sectPr w:rsidR="000F18DD" w:rsidRPr="000F18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11259"/>
    <w:multiLevelType w:val="hybridMultilevel"/>
    <w:tmpl w:val="C1A80492"/>
    <w:lvl w:ilvl="0" w:tplc="D1E6116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889"/>
    <w:rsid w:val="00047353"/>
    <w:rsid w:val="000F18DD"/>
    <w:rsid w:val="00131CFB"/>
    <w:rsid w:val="0013465D"/>
    <w:rsid w:val="002749F8"/>
    <w:rsid w:val="00611813"/>
    <w:rsid w:val="00655974"/>
    <w:rsid w:val="00685F38"/>
    <w:rsid w:val="006A0741"/>
    <w:rsid w:val="007A078E"/>
    <w:rsid w:val="008C4599"/>
    <w:rsid w:val="00B14474"/>
    <w:rsid w:val="00BF461B"/>
    <w:rsid w:val="00D75FAD"/>
    <w:rsid w:val="00DC30A9"/>
    <w:rsid w:val="00E3077E"/>
    <w:rsid w:val="00E46F32"/>
    <w:rsid w:val="00EF757A"/>
    <w:rsid w:val="00F3270D"/>
    <w:rsid w:val="00F36A4D"/>
    <w:rsid w:val="00F7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48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48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836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TempAdmin</dc:creator>
  <cp:lastModifiedBy>TempAdmin</cp:lastModifiedBy>
  <cp:revision>15</cp:revision>
  <dcterms:created xsi:type="dcterms:W3CDTF">2016-03-15T14:51:00Z</dcterms:created>
  <dcterms:modified xsi:type="dcterms:W3CDTF">2016-03-15T16:06:00Z</dcterms:modified>
</cp:coreProperties>
</file>