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7B" w:rsidRDefault="0098057B" w:rsidP="00736E82">
      <w:pPr>
        <w:spacing w:line="240" w:lineRule="auto"/>
        <w:rPr>
          <w:b/>
        </w:rPr>
      </w:pPr>
      <w:r>
        <w:rPr>
          <w:b/>
        </w:rPr>
        <w:t xml:space="preserve">Matheson L, </w:t>
      </w:r>
      <w:proofErr w:type="spellStart"/>
      <w:r>
        <w:rPr>
          <w:b/>
        </w:rPr>
        <w:t>Isernhagen</w:t>
      </w:r>
      <w:proofErr w:type="spellEnd"/>
      <w:r>
        <w:rPr>
          <w:b/>
        </w:rPr>
        <w:t xml:space="preserve"> S, and Hart D. Relationships </w:t>
      </w:r>
      <w:proofErr w:type="gramStart"/>
      <w:r>
        <w:rPr>
          <w:b/>
        </w:rPr>
        <w:t>Among</w:t>
      </w:r>
      <w:proofErr w:type="gramEnd"/>
      <w:r>
        <w:rPr>
          <w:b/>
        </w:rPr>
        <w:t xml:space="preserve"> Lifting Ability, Grip Force, and Return to Work. Physical Therapy 2002; 82:249-256.</w:t>
      </w:r>
    </w:p>
    <w:p w:rsidR="00581117" w:rsidRPr="00AA32EF" w:rsidRDefault="00AA32EF" w:rsidP="00736E82">
      <w:pPr>
        <w:spacing w:line="240" w:lineRule="auto"/>
      </w:pPr>
      <w:r>
        <w:rPr>
          <w:b/>
        </w:rPr>
        <w:t xml:space="preserve">Critique author: </w:t>
      </w:r>
      <w:r>
        <w:t>Linda Metzger</w:t>
      </w:r>
    </w:p>
    <w:p w:rsidR="00841513" w:rsidRDefault="00E22BE4" w:rsidP="0046655E">
      <w:pPr>
        <w:spacing w:line="240" w:lineRule="auto"/>
        <w:rPr>
          <w:rFonts w:cs="Times New Roman"/>
          <w:szCs w:val="24"/>
        </w:rPr>
      </w:pPr>
      <w:r w:rsidRPr="00E211D9">
        <w:rPr>
          <w:rFonts w:cs="Times New Roman"/>
          <w:b/>
          <w:szCs w:val="24"/>
        </w:rPr>
        <w:t>Design</w:t>
      </w:r>
      <w:r w:rsidRPr="00964621">
        <w:rPr>
          <w:rFonts w:cs="Times New Roman"/>
          <w:b/>
          <w:szCs w:val="24"/>
        </w:rPr>
        <w:t>:</w:t>
      </w:r>
      <w:r w:rsidRPr="00964621">
        <w:rPr>
          <w:rFonts w:cs="Times New Roman"/>
          <w:szCs w:val="24"/>
        </w:rPr>
        <w:t xml:space="preserve"> </w:t>
      </w:r>
      <w:r w:rsidR="00841513">
        <w:rPr>
          <w:rFonts w:cs="Times New Roman"/>
          <w:szCs w:val="24"/>
        </w:rPr>
        <w:t>Retrospective Study</w:t>
      </w:r>
    </w:p>
    <w:p w:rsidR="002362F1" w:rsidRDefault="002362F1" w:rsidP="0046655E">
      <w:pPr>
        <w:spacing w:line="240" w:lineRule="auto"/>
        <w:rPr>
          <w:rFonts w:cs="Times New Roman"/>
          <w:szCs w:val="24"/>
        </w:rPr>
      </w:pPr>
      <w:r w:rsidRPr="00871D59">
        <w:rPr>
          <w:rFonts w:cs="Times New Roman"/>
          <w:b/>
          <w:szCs w:val="24"/>
        </w:rPr>
        <w:t>Objective:</w:t>
      </w:r>
      <w:r>
        <w:rPr>
          <w:rFonts w:cs="Times New Roman"/>
          <w:b/>
          <w:szCs w:val="24"/>
        </w:rPr>
        <w:t xml:space="preserve"> </w:t>
      </w:r>
      <w:r w:rsidRPr="00A325D3">
        <w:rPr>
          <w:rFonts w:cs="Times New Roman"/>
          <w:szCs w:val="24"/>
        </w:rPr>
        <w:t xml:space="preserve">To </w:t>
      </w:r>
      <w:r w:rsidR="0048591D">
        <w:rPr>
          <w:rFonts w:cs="Times New Roman"/>
          <w:szCs w:val="24"/>
        </w:rPr>
        <w:t xml:space="preserve">determine </w:t>
      </w:r>
      <w:r w:rsidR="00186840">
        <w:rPr>
          <w:rFonts w:cs="Times New Roman"/>
          <w:szCs w:val="24"/>
        </w:rPr>
        <w:t xml:space="preserve">the validity of Functional Capacity Evaluation </w:t>
      </w:r>
      <w:r w:rsidR="000E0989">
        <w:rPr>
          <w:rFonts w:cs="Times New Roman"/>
          <w:szCs w:val="24"/>
        </w:rPr>
        <w:t xml:space="preserve">(FCE) </w:t>
      </w:r>
      <w:r w:rsidR="00186840">
        <w:rPr>
          <w:rFonts w:cs="Times New Roman"/>
          <w:szCs w:val="24"/>
        </w:rPr>
        <w:t>testing results, specifically lifting ability and grip force, in terms of subsequent return to work</w:t>
      </w:r>
      <w:r w:rsidR="00C63520">
        <w:rPr>
          <w:rFonts w:cs="Times New Roman"/>
          <w:szCs w:val="24"/>
        </w:rPr>
        <w:t xml:space="preserve"> and the level of work to which they returned.</w:t>
      </w:r>
    </w:p>
    <w:p w:rsidR="00A44500" w:rsidRPr="00B36CAF" w:rsidRDefault="00A44500" w:rsidP="0046655E">
      <w:pPr>
        <w:spacing w:line="240" w:lineRule="auto"/>
        <w:rPr>
          <w:rFonts w:cs="Times New Roman"/>
          <w:b/>
          <w:szCs w:val="24"/>
        </w:rPr>
      </w:pPr>
      <w:r w:rsidRPr="00B36CAF">
        <w:rPr>
          <w:rFonts w:cs="Times New Roman"/>
          <w:b/>
          <w:szCs w:val="24"/>
        </w:rPr>
        <w:t>Population /sample size/setting</w:t>
      </w:r>
      <w:r w:rsidR="00B16F74">
        <w:rPr>
          <w:rFonts w:cs="Times New Roman"/>
          <w:b/>
          <w:szCs w:val="24"/>
        </w:rPr>
        <w:t>/interventions</w:t>
      </w:r>
      <w:r w:rsidRPr="00B36CAF">
        <w:rPr>
          <w:rFonts w:cs="Times New Roman"/>
          <w:b/>
          <w:szCs w:val="24"/>
        </w:rPr>
        <w:t>:</w:t>
      </w:r>
    </w:p>
    <w:p w:rsidR="00C63520" w:rsidRPr="00C63520" w:rsidRDefault="00186840" w:rsidP="0046655E">
      <w:pPr>
        <w:pStyle w:val="ListParagraph"/>
        <w:numPr>
          <w:ilvl w:val="0"/>
          <w:numId w:val="12"/>
        </w:numPr>
        <w:spacing w:line="240" w:lineRule="auto"/>
        <w:rPr>
          <w:rFonts w:asciiTheme="minorHAnsi" w:hAnsiTheme="minorHAnsi"/>
          <w:sz w:val="22"/>
        </w:rPr>
      </w:pPr>
      <w:r>
        <w:rPr>
          <w:rFonts w:cs="Times New Roman"/>
          <w:szCs w:val="24"/>
        </w:rPr>
        <w:t>650 adults of working age</w:t>
      </w:r>
      <w:r w:rsidR="000E0989">
        <w:rPr>
          <w:rFonts w:cs="Times New Roman"/>
          <w:szCs w:val="24"/>
        </w:rPr>
        <w:t xml:space="preserve"> </w:t>
      </w:r>
      <w:r w:rsidR="00C63520">
        <w:rPr>
          <w:rFonts w:cs="Times New Roman"/>
          <w:szCs w:val="24"/>
        </w:rPr>
        <w:t>(mean age = 41.5 years</w:t>
      </w:r>
      <w:r w:rsidR="00827F62">
        <w:rPr>
          <w:rFonts w:cs="Times New Roman"/>
          <w:szCs w:val="24"/>
        </w:rPr>
        <w:t>, 391 males, 259 females</w:t>
      </w:r>
      <w:r w:rsidR="00C63520">
        <w:rPr>
          <w:rFonts w:cs="Times New Roman"/>
          <w:szCs w:val="24"/>
        </w:rPr>
        <w:t xml:space="preserve">) </w:t>
      </w:r>
      <w:r w:rsidR="000E0989">
        <w:rPr>
          <w:rFonts w:cs="Times New Roman"/>
          <w:szCs w:val="24"/>
        </w:rPr>
        <w:t xml:space="preserve">who were not working due to reported functional limitation. Clients were selected from 25 clinics in 16 states and one province in Canada affiliated with the </w:t>
      </w:r>
      <w:proofErr w:type="spellStart"/>
      <w:r w:rsidR="000E0989">
        <w:rPr>
          <w:rFonts w:cs="Times New Roman"/>
          <w:szCs w:val="24"/>
        </w:rPr>
        <w:t>Isernhagen</w:t>
      </w:r>
      <w:proofErr w:type="spellEnd"/>
      <w:r w:rsidR="000E0989">
        <w:rPr>
          <w:rFonts w:cs="Times New Roman"/>
          <w:szCs w:val="24"/>
        </w:rPr>
        <w:t xml:space="preserve"> Work System (IWS-FCE). </w:t>
      </w:r>
    </w:p>
    <w:p w:rsidR="00BF7703" w:rsidRPr="00002D44" w:rsidRDefault="00462322" w:rsidP="0046655E">
      <w:pPr>
        <w:pStyle w:val="ListParagraph"/>
        <w:numPr>
          <w:ilvl w:val="0"/>
          <w:numId w:val="12"/>
        </w:numPr>
        <w:spacing w:line="240" w:lineRule="auto"/>
        <w:rPr>
          <w:rFonts w:asciiTheme="minorHAnsi" w:hAnsiTheme="minorHAnsi"/>
          <w:sz w:val="22"/>
        </w:rPr>
      </w:pPr>
      <w:r w:rsidRPr="002362F1">
        <w:rPr>
          <w:rFonts w:cs="Times New Roman"/>
          <w:szCs w:val="24"/>
        </w:rPr>
        <w:t xml:space="preserve">All participants </w:t>
      </w:r>
      <w:r w:rsidR="000E0989">
        <w:rPr>
          <w:rFonts w:cs="Times New Roman"/>
          <w:szCs w:val="24"/>
        </w:rPr>
        <w:t>had received an FCE following the IWS-FCE format</w:t>
      </w:r>
      <w:r w:rsidR="00002D44">
        <w:rPr>
          <w:rFonts w:cs="Times New Roman"/>
          <w:szCs w:val="24"/>
        </w:rPr>
        <w:t xml:space="preserve"> administered by a trained physical or occupational therapist.</w:t>
      </w:r>
      <w:r w:rsidR="000E0989">
        <w:rPr>
          <w:rFonts w:cs="Times New Roman"/>
          <w:szCs w:val="24"/>
        </w:rPr>
        <w:t xml:space="preserve"> </w:t>
      </w:r>
      <w:r w:rsidR="00C63520">
        <w:rPr>
          <w:rFonts w:cs="Times New Roman"/>
          <w:szCs w:val="24"/>
        </w:rPr>
        <w:t xml:space="preserve">The IWS-FCE is a standardized test battery designed to quantify safe physical abilities </w:t>
      </w:r>
      <w:r w:rsidR="00002D44">
        <w:rPr>
          <w:rFonts w:cs="Times New Roman"/>
          <w:szCs w:val="24"/>
        </w:rPr>
        <w:t>for the purpose of assisting in the return to work decision making process. The IWS-FCE includes 29 functional assessment subtests, 10 strength tests and 19 movement tasks.</w:t>
      </w:r>
    </w:p>
    <w:p w:rsidR="00002D44" w:rsidRPr="0009188C" w:rsidRDefault="00002D44" w:rsidP="0046655E">
      <w:pPr>
        <w:pStyle w:val="ListParagraph"/>
        <w:numPr>
          <w:ilvl w:val="0"/>
          <w:numId w:val="12"/>
        </w:numPr>
        <w:spacing w:line="240" w:lineRule="auto"/>
        <w:rPr>
          <w:rFonts w:asciiTheme="minorHAnsi" w:hAnsiTheme="minorHAnsi"/>
          <w:sz w:val="22"/>
        </w:rPr>
      </w:pPr>
      <w:r w:rsidRPr="005E011B">
        <w:rPr>
          <w:rFonts w:cs="Times New Roman"/>
          <w:szCs w:val="24"/>
        </w:rPr>
        <w:t>Five subtests of the IWS-FCE with acceptable reliability were selected for use in this study. Three measures of lifting ability including the floor-to-waist lift, waist-to-crown-level lift</w:t>
      </w:r>
      <w:r w:rsidR="00827F62">
        <w:rPr>
          <w:rFonts w:cs="Times New Roman"/>
          <w:szCs w:val="24"/>
        </w:rPr>
        <w:t>,</w:t>
      </w:r>
      <w:r w:rsidRPr="005E011B">
        <w:rPr>
          <w:rFonts w:cs="Times New Roman"/>
          <w:szCs w:val="24"/>
        </w:rPr>
        <w:t xml:space="preserve"> and horizontal lift</w:t>
      </w:r>
      <w:r w:rsidR="00827F62">
        <w:rPr>
          <w:rFonts w:cs="Times New Roman"/>
          <w:szCs w:val="24"/>
        </w:rPr>
        <w:t>,</w:t>
      </w:r>
      <w:r w:rsidRPr="005E011B">
        <w:rPr>
          <w:rFonts w:cs="Times New Roman"/>
          <w:szCs w:val="24"/>
        </w:rPr>
        <w:t xml:space="preserve"> </w:t>
      </w:r>
      <w:r w:rsidR="005E011B" w:rsidRPr="005E011B">
        <w:rPr>
          <w:rFonts w:cs="Times New Roman"/>
          <w:szCs w:val="24"/>
        </w:rPr>
        <w:t xml:space="preserve">and two measures of whole-hand isometric grip force </w:t>
      </w:r>
      <w:r w:rsidR="005E011B" w:rsidRPr="0009188C">
        <w:rPr>
          <w:rFonts w:cs="Times New Roman"/>
          <w:szCs w:val="24"/>
        </w:rPr>
        <w:t>measured in pounds were selected.</w:t>
      </w:r>
    </w:p>
    <w:p w:rsidR="00130A9C" w:rsidRPr="00827F62" w:rsidRDefault="005E011B" w:rsidP="0009188C">
      <w:pPr>
        <w:pStyle w:val="ListParagraph"/>
        <w:numPr>
          <w:ilvl w:val="0"/>
          <w:numId w:val="12"/>
        </w:numPr>
        <w:spacing w:line="240" w:lineRule="auto"/>
        <w:rPr>
          <w:rFonts w:cs="Times New Roman"/>
          <w:b/>
          <w:szCs w:val="24"/>
        </w:rPr>
      </w:pPr>
      <w:r w:rsidRPr="00827F62">
        <w:rPr>
          <w:rFonts w:cs="Times New Roman"/>
          <w:szCs w:val="24"/>
        </w:rPr>
        <w:t xml:space="preserve">A telephone follow-up interview was conducted 6 to 7 months after completion of the IWS-FCE for each participant at which time information was collected on their return to work status and their level of return to work (4 response levels). </w:t>
      </w:r>
      <w:r w:rsidR="00827F62" w:rsidRPr="00827F62">
        <w:rPr>
          <w:rFonts w:cs="Times New Roman"/>
          <w:szCs w:val="24"/>
        </w:rPr>
        <w:t>The 4 levels of return to work were</w:t>
      </w:r>
      <w:r w:rsidR="00827F62">
        <w:rPr>
          <w:rFonts w:cs="Times New Roman"/>
          <w:szCs w:val="24"/>
        </w:rPr>
        <w:t>; 1) Returned to prior job without modification, 2) Returned to prior job with modification, 3) Returned to a new job in the same company, and 4) Returned to a new job in a new company.</w:t>
      </w:r>
    </w:p>
    <w:p w:rsidR="0048591D" w:rsidRPr="00827F62" w:rsidRDefault="00156C33" w:rsidP="0009188C">
      <w:pPr>
        <w:pStyle w:val="ListParagraph"/>
        <w:numPr>
          <w:ilvl w:val="0"/>
          <w:numId w:val="12"/>
        </w:numPr>
        <w:spacing w:line="240" w:lineRule="auto"/>
        <w:rPr>
          <w:rFonts w:cs="Times New Roman"/>
          <w:b/>
          <w:szCs w:val="24"/>
        </w:rPr>
      </w:pPr>
      <w:r w:rsidRPr="00827F62">
        <w:rPr>
          <w:rFonts w:cs="Times New Roman"/>
          <w:szCs w:val="24"/>
        </w:rPr>
        <w:t xml:space="preserve">Exclusion criteria included </w:t>
      </w:r>
      <w:r w:rsidR="0048591D" w:rsidRPr="00827F62">
        <w:rPr>
          <w:rFonts w:cs="Times New Roman"/>
          <w:szCs w:val="24"/>
        </w:rPr>
        <w:t>receiving any work hardening, work conditioning, or any other medical or rehabilitative intervention in the interval between the IWS-FCE and the telephone follow-up.</w:t>
      </w:r>
    </w:p>
    <w:p w:rsidR="007D588E" w:rsidRPr="00D90450" w:rsidRDefault="00C57626" w:rsidP="0048591D">
      <w:pPr>
        <w:spacing w:line="240" w:lineRule="auto"/>
        <w:rPr>
          <w:rFonts w:cs="Times New Roman"/>
          <w:b/>
          <w:szCs w:val="24"/>
        </w:rPr>
      </w:pPr>
      <w:r w:rsidRPr="0048591D">
        <w:rPr>
          <w:rFonts w:cs="Times New Roman"/>
          <w:b/>
          <w:szCs w:val="24"/>
        </w:rPr>
        <w:t xml:space="preserve">Main </w:t>
      </w:r>
      <w:r w:rsidRPr="00F34107">
        <w:rPr>
          <w:rFonts w:cs="Times New Roman"/>
          <w:b/>
          <w:szCs w:val="24"/>
        </w:rPr>
        <w:t>outcome measures:</w:t>
      </w:r>
    </w:p>
    <w:p w:rsidR="007D588E" w:rsidRDefault="007D588E" w:rsidP="001755BF">
      <w:pPr>
        <w:pStyle w:val="ListParagraph"/>
        <w:numPr>
          <w:ilvl w:val="0"/>
          <w:numId w:val="12"/>
        </w:numPr>
        <w:autoSpaceDE w:val="0"/>
        <w:autoSpaceDN w:val="0"/>
        <w:adjustRightInd w:val="0"/>
        <w:spacing w:after="0" w:line="240" w:lineRule="auto"/>
        <w:rPr>
          <w:rFonts w:cs="Times New Roman"/>
          <w:szCs w:val="24"/>
        </w:rPr>
      </w:pPr>
      <w:r>
        <w:rPr>
          <w:rFonts w:cs="Times New Roman"/>
          <w:szCs w:val="24"/>
        </w:rPr>
        <w:t>The study sample consisted of 349 (53.6%) participants who had returned to work and 301 (46.4%) who had not returned to work. Return to work participants were younger (40.1 years vs. 43.2 years) and had been off work for a shorter period of time (6.9 months vs. 17.0 months) (P&lt;.05) than those who did not return to work.</w:t>
      </w:r>
    </w:p>
    <w:p w:rsidR="007C7455" w:rsidRPr="007C7455" w:rsidRDefault="007C7455" w:rsidP="007C7455">
      <w:pPr>
        <w:pStyle w:val="ListParagraph"/>
        <w:numPr>
          <w:ilvl w:val="0"/>
          <w:numId w:val="12"/>
        </w:numPr>
        <w:autoSpaceDE w:val="0"/>
        <w:autoSpaceDN w:val="0"/>
        <w:adjustRightInd w:val="0"/>
        <w:spacing w:after="0" w:line="240" w:lineRule="auto"/>
        <w:rPr>
          <w:rFonts w:cs="Times New Roman"/>
          <w:szCs w:val="24"/>
        </w:rPr>
      </w:pPr>
      <w:r w:rsidRPr="007C7455">
        <w:rPr>
          <w:rFonts w:cs="Times New Roman"/>
          <w:szCs w:val="24"/>
        </w:rPr>
        <w:t>Multiple logistic regression analysis was performed on the predictor variables of gender, age, time off work, and the 5 performance variables against return to work (yes or no) as the outcome variable.</w:t>
      </w:r>
      <w:r w:rsidR="00C41A96">
        <w:rPr>
          <w:rFonts w:cs="Times New Roman"/>
          <w:szCs w:val="24"/>
        </w:rPr>
        <w:t xml:space="preserve"> A significance level of .05 was used for all tests.</w:t>
      </w:r>
    </w:p>
    <w:p w:rsidR="00C41A96" w:rsidRDefault="007C7455" w:rsidP="00C41A96">
      <w:pPr>
        <w:pStyle w:val="ListParagraph"/>
        <w:numPr>
          <w:ilvl w:val="0"/>
          <w:numId w:val="12"/>
        </w:numPr>
        <w:autoSpaceDE w:val="0"/>
        <w:autoSpaceDN w:val="0"/>
        <w:adjustRightInd w:val="0"/>
        <w:spacing w:after="0" w:line="240" w:lineRule="auto"/>
        <w:rPr>
          <w:rFonts w:cs="Times New Roman"/>
          <w:szCs w:val="24"/>
        </w:rPr>
      </w:pPr>
      <w:r w:rsidRPr="007C7455">
        <w:rPr>
          <w:rFonts w:cs="Times New Roman"/>
          <w:szCs w:val="24"/>
        </w:rPr>
        <w:t xml:space="preserve">The analyses were performed on the 539 participants with complete data sets for all of these variables. </w:t>
      </w:r>
    </w:p>
    <w:p w:rsidR="00C47CB2" w:rsidRDefault="00827F62" w:rsidP="00C41A96">
      <w:pPr>
        <w:pStyle w:val="ListParagraph"/>
        <w:numPr>
          <w:ilvl w:val="0"/>
          <w:numId w:val="12"/>
        </w:numPr>
        <w:autoSpaceDE w:val="0"/>
        <w:autoSpaceDN w:val="0"/>
        <w:adjustRightInd w:val="0"/>
        <w:spacing w:after="0" w:line="240" w:lineRule="auto"/>
        <w:rPr>
          <w:rFonts w:cs="Times New Roman"/>
          <w:szCs w:val="24"/>
        </w:rPr>
      </w:pPr>
      <w:r>
        <w:rPr>
          <w:rFonts w:cs="Times New Roman"/>
          <w:szCs w:val="24"/>
        </w:rPr>
        <w:lastRenderedPageBreak/>
        <w:t>Time off work</w:t>
      </w:r>
      <w:r w:rsidR="002C027F">
        <w:rPr>
          <w:rFonts w:cs="Times New Roman"/>
          <w:szCs w:val="24"/>
        </w:rPr>
        <w:t xml:space="preserve"> and participants’ gender were related to return to work with more time off work and male gender predicting a lower likelihood of returning to work.</w:t>
      </w:r>
    </w:p>
    <w:p w:rsidR="00AB0A07" w:rsidRDefault="00AB0A07" w:rsidP="00C41A96">
      <w:pPr>
        <w:pStyle w:val="ListParagraph"/>
        <w:numPr>
          <w:ilvl w:val="0"/>
          <w:numId w:val="12"/>
        </w:numPr>
        <w:autoSpaceDE w:val="0"/>
        <w:autoSpaceDN w:val="0"/>
        <w:adjustRightInd w:val="0"/>
        <w:spacing w:after="0" w:line="240" w:lineRule="auto"/>
        <w:rPr>
          <w:rFonts w:cs="Times New Roman"/>
          <w:szCs w:val="24"/>
        </w:rPr>
      </w:pPr>
      <w:r>
        <w:rPr>
          <w:rFonts w:cs="Times New Roman"/>
          <w:szCs w:val="24"/>
        </w:rPr>
        <w:t>Age was not found to be related to return to work.</w:t>
      </w:r>
    </w:p>
    <w:p w:rsidR="00AB0A07" w:rsidRPr="007B4436" w:rsidRDefault="00AB0A07" w:rsidP="00AB0A07">
      <w:pPr>
        <w:pStyle w:val="ListParagraph"/>
        <w:numPr>
          <w:ilvl w:val="0"/>
          <w:numId w:val="12"/>
        </w:numPr>
        <w:autoSpaceDE w:val="0"/>
        <w:autoSpaceDN w:val="0"/>
        <w:adjustRightInd w:val="0"/>
        <w:spacing w:after="0" w:line="240" w:lineRule="auto"/>
        <w:rPr>
          <w:rFonts w:cs="Times New Roman"/>
          <w:szCs w:val="24"/>
        </w:rPr>
      </w:pPr>
      <w:r w:rsidRPr="007B4436">
        <w:rPr>
          <w:rFonts w:cs="Times New Roman"/>
          <w:szCs w:val="24"/>
        </w:rPr>
        <w:t xml:space="preserve">For each of the 5 </w:t>
      </w:r>
      <w:r w:rsidR="007B4436" w:rsidRPr="007B4436">
        <w:rPr>
          <w:rFonts w:cs="Times New Roman"/>
          <w:szCs w:val="24"/>
        </w:rPr>
        <w:t xml:space="preserve">individual </w:t>
      </w:r>
      <w:r w:rsidRPr="007B4436">
        <w:rPr>
          <w:rFonts w:cs="Times New Roman"/>
          <w:szCs w:val="24"/>
        </w:rPr>
        <w:t>performance variables</w:t>
      </w:r>
      <w:r w:rsidR="007B4436" w:rsidRPr="007B4436">
        <w:rPr>
          <w:rFonts w:cs="Times New Roman"/>
          <w:szCs w:val="24"/>
        </w:rPr>
        <w:t xml:space="preserve"> analyzed separately (Table 3)</w:t>
      </w:r>
      <w:r w:rsidRPr="007B4436">
        <w:rPr>
          <w:rFonts w:cs="Times New Roman"/>
          <w:szCs w:val="24"/>
        </w:rPr>
        <w:t>, those who returned to work performed better on each test than those who did not return to work.</w:t>
      </w:r>
    </w:p>
    <w:p w:rsidR="003A5537" w:rsidRPr="00BC16E4" w:rsidRDefault="00F52C05" w:rsidP="00BC16E4">
      <w:pPr>
        <w:pStyle w:val="ListParagraph"/>
        <w:numPr>
          <w:ilvl w:val="0"/>
          <w:numId w:val="12"/>
        </w:numPr>
        <w:autoSpaceDE w:val="0"/>
        <w:autoSpaceDN w:val="0"/>
        <w:adjustRightInd w:val="0"/>
        <w:spacing w:after="0" w:line="240" w:lineRule="auto"/>
        <w:rPr>
          <w:rFonts w:cs="Times New Roman"/>
          <w:szCs w:val="24"/>
        </w:rPr>
      </w:pPr>
      <w:r>
        <w:rPr>
          <w:rFonts w:cs="Times New Roman"/>
          <w:szCs w:val="24"/>
        </w:rPr>
        <w:t xml:space="preserve">The authors performed a multivariate logistic regression analysis with 8 variables; </w:t>
      </w:r>
      <w:r w:rsidR="00BC16E4">
        <w:rPr>
          <w:rFonts w:cs="Times New Roman"/>
          <w:szCs w:val="24"/>
        </w:rPr>
        <w:t xml:space="preserve">gender, age, time off work, and the 5 performance variables. In this model, gender, age, time off work, and floor-to-waist lift were related to and predictive of return to work. </w:t>
      </w:r>
      <w:r w:rsidR="00AB0A07" w:rsidRPr="007B4436">
        <w:rPr>
          <w:rFonts w:cs="Times New Roman"/>
          <w:szCs w:val="24"/>
        </w:rPr>
        <w:t>Of the 5 performance variables, only floor-to-waist lift was related to return to work with greater lift ability related to improved likelihood of return to work.</w:t>
      </w:r>
      <w:r w:rsidR="00975A77" w:rsidRPr="007B4436">
        <w:rPr>
          <w:rFonts w:cs="Times New Roman"/>
          <w:szCs w:val="24"/>
        </w:rPr>
        <w:t xml:space="preserve"> </w:t>
      </w:r>
    </w:p>
    <w:p w:rsidR="000A57EF" w:rsidRDefault="000A57EF" w:rsidP="00C41A96">
      <w:pPr>
        <w:pStyle w:val="ListParagraph"/>
        <w:numPr>
          <w:ilvl w:val="0"/>
          <w:numId w:val="12"/>
        </w:numPr>
        <w:autoSpaceDE w:val="0"/>
        <w:autoSpaceDN w:val="0"/>
        <w:adjustRightInd w:val="0"/>
        <w:spacing w:after="0" w:line="240" w:lineRule="auto"/>
        <w:rPr>
          <w:rFonts w:cs="Times New Roman"/>
          <w:szCs w:val="24"/>
        </w:rPr>
      </w:pPr>
      <w:r>
        <w:rPr>
          <w:rFonts w:cs="Times New Roman"/>
          <w:szCs w:val="24"/>
        </w:rPr>
        <w:t xml:space="preserve">All 3 measures of lifting ability were </w:t>
      </w:r>
      <w:r w:rsidR="00975A77">
        <w:rPr>
          <w:rFonts w:cs="Times New Roman"/>
          <w:szCs w:val="24"/>
        </w:rPr>
        <w:t>related to level of return to work. Both measures of grip force were found to be unrelated to level of return to work.</w:t>
      </w:r>
    </w:p>
    <w:p w:rsidR="00C47CB2" w:rsidRPr="00C164FB" w:rsidRDefault="00C47CB2" w:rsidP="00C164FB">
      <w:pPr>
        <w:pStyle w:val="ListParagraph"/>
        <w:autoSpaceDE w:val="0"/>
        <w:autoSpaceDN w:val="0"/>
        <w:adjustRightInd w:val="0"/>
        <w:spacing w:after="0" w:line="240" w:lineRule="auto"/>
        <w:ind w:left="1440"/>
        <w:rPr>
          <w:rFonts w:cs="Times New Roman"/>
          <w:szCs w:val="24"/>
        </w:rPr>
      </w:pPr>
    </w:p>
    <w:p w:rsidR="00113473" w:rsidRDefault="00113473" w:rsidP="0046655E">
      <w:pPr>
        <w:spacing w:line="240" w:lineRule="auto"/>
        <w:rPr>
          <w:rFonts w:cs="Times New Roman"/>
          <w:b/>
          <w:szCs w:val="24"/>
        </w:rPr>
      </w:pPr>
      <w:r w:rsidRPr="00675998">
        <w:rPr>
          <w:rFonts w:cs="Times New Roman"/>
          <w:b/>
          <w:szCs w:val="24"/>
        </w:rPr>
        <w:t>Authors’ conclusions:</w:t>
      </w:r>
    </w:p>
    <w:p w:rsidR="009304D4" w:rsidRDefault="009304D4" w:rsidP="001904E7">
      <w:pPr>
        <w:pStyle w:val="ListParagraph"/>
        <w:numPr>
          <w:ilvl w:val="0"/>
          <w:numId w:val="1"/>
        </w:numPr>
        <w:autoSpaceDE w:val="0"/>
        <w:autoSpaceDN w:val="0"/>
        <w:adjustRightInd w:val="0"/>
        <w:spacing w:after="0" w:line="240" w:lineRule="auto"/>
        <w:rPr>
          <w:rFonts w:eastAsia="Universal-NewswithCommPi" w:cs="Times New Roman"/>
          <w:szCs w:val="24"/>
        </w:rPr>
      </w:pPr>
      <w:r w:rsidRPr="009304D4">
        <w:rPr>
          <w:rFonts w:eastAsia="Universal-NewswithCommPi" w:cs="Times New Roman"/>
          <w:szCs w:val="24"/>
        </w:rPr>
        <w:t>Th</w:t>
      </w:r>
      <w:r>
        <w:rPr>
          <w:rFonts w:eastAsia="Universal-NewswithCommPi" w:cs="Times New Roman"/>
          <w:szCs w:val="24"/>
        </w:rPr>
        <w:t xml:space="preserve">e amount of time a worker was </w:t>
      </w:r>
      <w:r w:rsidR="001904E7">
        <w:rPr>
          <w:rFonts w:eastAsia="Universal-NewswithCommPi" w:cs="Times New Roman"/>
          <w:szCs w:val="24"/>
        </w:rPr>
        <w:t xml:space="preserve">off </w:t>
      </w:r>
      <w:r>
        <w:rPr>
          <w:rFonts w:eastAsia="Universal-NewswithCommPi" w:cs="Times New Roman"/>
          <w:szCs w:val="24"/>
        </w:rPr>
        <w:t xml:space="preserve">from work and gender were the 2 factors that had the strongest relationships to </w:t>
      </w:r>
      <w:r w:rsidR="001904E7">
        <w:rPr>
          <w:rFonts w:eastAsia="Universal-NewswithCommPi" w:cs="Times New Roman"/>
          <w:szCs w:val="24"/>
        </w:rPr>
        <w:t xml:space="preserve">whether or not a person </w:t>
      </w:r>
      <w:r>
        <w:rPr>
          <w:rFonts w:eastAsia="Universal-NewswithCommPi" w:cs="Times New Roman"/>
          <w:szCs w:val="24"/>
        </w:rPr>
        <w:t>r</w:t>
      </w:r>
      <w:r w:rsidRPr="001904E7">
        <w:rPr>
          <w:rFonts w:eastAsia="Universal-NewswithCommPi" w:cs="Times New Roman"/>
          <w:szCs w:val="24"/>
        </w:rPr>
        <w:t>eturn</w:t>
      </w:r>
      <w:r w:rsidR="001904E7">
        <w:rPr>
          <w:rFonts w:eastAsia="Universal-NewswithCommPi" w:cs="Times New Roman"/>
          <w:szCs w:val="24"/>
        </w:rPr>
        <w:t>s</w:t>
      </w:r>
      <w:r w:rsidRPr="001904E7">
        <w:rPr>
          <w:rFonts w:eastAsia="Universal-NewswithCommPi" w:cs="Times New Roman"/>
          <w:szCs w:val="24"/>
        </w:rPr>
        <w:t xml:space="preserve"> to work</w:t>
      </w:r>
      <w:r w:rsidR="0063178E">
        <w:rPr>
          <w:rFonts w:eastAsia="Universal-NewswithCommPi" w:cs="Times New Roman"/>
          <w:szCs w:val="24"/>
        </w:rPr>
        <w:t>, and</w:t>
      </w:r>
      <w:r w:rsidR="00BC16E4">
        <w:rPr>
          <w:rFonts w:eastAsia="Universal-NewswithCommPi" w:cs="Times New Roman"/>
          <w:szCs w:val="24"/>
        </w:rPr>
        <w:t xml:space="preserve"> time off work had the stronger</w:t>
      </w:r>
      <w:r w:rsidR="0063178E">
        <w:rPr>
          <w:rFonts w:eastAsia="Universal-NewswithCommPi" w:cs="Times New Roman"/>
          <w:szCs w:val="24"/>
        </w:rPr>
        <w:t xml:space="preserve"> relationship of the two</w:t>
      </w:r>
      <w:r w:rsidR="001904E7">
        <w:rPr>
          <w:rFonts w:eastAsia="Universal-NewswithCommPi" w:cs="Times New Roman"/>
          <w:szCs w:val="24"/>
        </w:rPr>
        <w:t xml:space="preserve">. </w:t>
      </w:r>
    </w:p>
    <w:p w:rsidR="0063178E" w:rsidRDefault="0063178E" w:rsidP="001904E7">
      <w:pPr>
        <w:pStyle w:val="ListParagraph"/>
        <w:numPr>
          <w:ilvl w:val="0"/>
          <w:numId w:val="1"/>
        </w:numPr>
        <w:autoSpaceDE w:val="0"/>
        <w:autoSpaceDN w:val="0"/>
        <w:adjustRightInd w:val="0"/>
        <w:spacing w:after="0" w:line="240" w:lineRule="auto"/>
        <w:rPr>
          <w:rFonts w:eastAsia="Universal-NewswithCommPi" w:cs="Times New Roman"/>
          <w:szCs w:val="24"/>
        </w:rPr>
      </w:pPr>
      <w:r>
        <w:rPr>
          <w:rFonts w:eastAsia="Universal-NewswithCommPi" w:cs="Times New Roman"/>
          <w:szCs w:val="24"/>
        </w:rPr>
        <w:t xml:space="preserve">The amount of weight lifted from floor to waist was also related to return to work. This study showed that the greater the lifting ability, the greater the likelihood of return to work. All other performance variables did not provide </w:t>
      </w:r>
      <w:r w:rsidR="00542D44">
        <w:rPr>
          <w:rFonts w:eastAsia="Universal-NewswithCommPi" w:cs="Times New Roman"/>
          <w:szCs w:val="24"/>
        </w:rPr>
        <w:t xml:space="preserve">any </w:t>
      </w:r>
      <w:r>
        <w:rPr>
          <w:rFonts w:eastAsia="Universal-NewswithCommPi" w:cs="Times New Roman"/>
          <w:szCs w:val="24"/>
        </w:rPr>
        <w:t>additional predictive power to the logistic regression model.</w:t>
      </w:r>
    </w:p>
    <w:p w:rsidR="00C75173" w:rsidRPr="00C75173" w:rsidRDefault="00503E15" w:rsidP="00C75173">
      <w:pPr>
        <w:pStyle w:val="ListParagraph"/>
        <w:numPr>
          <w:ilvl w:val="0"/>
          <w:numId w:val="1"/>
        </w:numPr>
        <w:autoSpaceDE w:val="0"/>
        <w:autoSpaceDN w:val="0"/>
        <w:adjustRightInd w:val="0"/>
        <w:spacing w:after="0" w:line="240" w:lineRule="auto"/>
        <w:rPr>
          <w:rFonts w:eastAsia="Universal-NewswithCommPi" w:cs="Times New Roman"/>
          <w:szCs w:val="24"/>
        </w:rPr>
      </w:pPr>
      <w:r>
        <w:rPr>
          <w:rFonts w:eastAsia="Universal-NewswithCommPi" w:cs="Times New Roman"/>
          <w:szCs w:val="24"/>
        </w:rPr>
        <w:t>Lift ability is a valuable performance measurement that can be used to guide return to work decisions. Measurement of grip force is not likely to be useful for return to work decisions.</w:t>
      </w:r>
    </w:p>
    <w:p w:rsidR="00542D44" w:rsidRPr="001904E7" w:rsidRDefault="00542D44" w:rsidP="001904E7">
      <w:pPr>
        <w:pStyle w:val="ListParagraph"/>
        <w:numPr>
          <w:ilvl w:val="0"/>
          <w:numId w:val="1"/>
        </w:numPr>
        <w:autoSpaceDE w:val="0"/>
        <w:autoSpaceDN w:val="0"/>
        <w:adjustRightInd w:val="0"/>
        <w:spacing w:after="0" w:line="240" w:lineRule="auto"/>
        <w:rPr>
          <w:rFonts w:eastAsia="Universal-NewswithCommPi" w:cs="Times New Roman"/>
          <w:szCs w:val="24"/>
        </w:rPr>
      </w:pPr>
      <w:r>
        <w:rPr>
          <w:rFonts w:eastAsia="Universal-NewswithCommPi" w:cs="Times New Roman"/>
          <w:szCs w:val="24"/>
        </w:rPr>
        <w:t>When it is not possible to administer more than one performance test in a FCE, measuring floor-to-waist lift is likely to be the most useful.</w:t>
      </w:r>
    </w:p>
    <w:p w:rsidR="008940C9" w:rsidRPr="00542D44" w:rsidRDefault="008940C9" w:rsidP="00542D44">
      <w:pPr>
        <w:autoSpaceDE w:val="0"/>
        <w:autoSpaceDN w:val="0"/>
        <w:adjustRightInd w:val="0"/>
        <w:spacing w:after="0" w:line="240" w:lineRule="auto"/>
        <w:rPr>
          <w:rFonts w:eastAsia="Universal-NewswithCommPi" w:cs="Times New Roman"/>
          <w:szCs w:val="24"/>
        </w:rPr>
      </w:pPr>
    </w:p>
    <w:p w:rsidR="000F1426" w:rsidRPr="00C75173" w:rsidRDefault="000F1426" w:rsidP="00EA752F">
      <w:pPr>
        <w:spacing w:line="240" w:lineRule="auto"/>
        <w:rPr>
          <w:rFonts w:cs="Times New Roman"/>
          <w:szCs w:val="24"/>
        </w:rPr>
      </w:pPr>
      <w:r w:rsidRPr="00C75173">
        <w:rPr>
          <w:rFonts w:cs="Times New Roman"/>
          <w:b/>
          <w:szCs w:val="24"/>
        </w:rPr>
        <w:t>Comments:</w:t>
      </w:r>
    </w:p>
    <w:p w:rsidR="00116C46" w:rsidRPr="004C6F9F" w:rsidRDefault="00116C46" w:rsidP="00AC55B6">
      <w:pPr>
        <w:pStyle w:val="ListParagraph"/>
        <w:numPr>
          <w:ilvl w:val="0"/>
          <w:numId w:val="1"/>
        </w:numPr>
        <w:spacing w:line="240" w:lineRule="auto"/>
        <w:rPr>
          <w:rFonts w:cs="Times New Roman"/>
          <w:szCs w:val="24"/>
        </w:rPr>
      </w:pPr>
      <w:r>
        <w:rPr>
          <w:rFonts w:cs="Times New Roman"/>
          <w:szCs w:val="24"/>
        </w:rPr>
        <w:t xml:space="preserve">This study reviewed data retrospectively, and the findings should be confirmed by a </w:t>
      </w:r>
      <w:r w:rsidRPr="004C6F9F">
        <w:rPr>
          <w:rFonts w:cs="Times New Roman"/>
          <w:szCs w:val="24"/>
        </w:rPr>
        <w:t>prospective study using new data.</w:t>
      </w:r>
    </w:p>
    <w:p w:rsidR="00116C46" w:rsidRDefault="00116C46" w:rsidP="00AC55B6">
      <w:pPr>
        <w:pStyle w:val="ListParagraph"/>
        <w:numPr>
          <w:ilvl w:val="0"/>
          <w:numId w:val="1"/>
        </w:numPr>
        <w:spacing w:line="240" w:lineRule="auto"/>
        <w:rPr>
          <w:rFonts w:cs="Times New Roman"/>
          <w:szCs w:val="24"/>
        </w:rPr>
      </w:pPr>
      <w:r w:rsidRPr="004C6F9F">
        <w:rPr>
          <w:rFonts w:cs="Times New Roman"/>
          <w:szCs w:val="24"/>
        </w:rPr>
        <w:t xml:space="preserve">Some pertinent information that could affect the reported results was not assessed such as physical job demands, </w:t>
      </w:r>
      <w:r w:rsidR="001E7025">
        <w:rPr>
          <w:rFonts w:cs="Times New Roman"/>
          <w:szCs w:val="24"/>
        </w:rPr>
        <w:t xml:space="preserve">physical/functional limitations of the participants, </w:t>
      </w:r>
      <w:r w:rsidRPr="004C6F9F">
        <w:rPr>
          <w:rFonts w:cs="Times New Roman"/>
          <w:szCs w:val="24"/>
        </w:rPr>
        <w:t>job availability, unemployment rates,</w:t>
      </w:r>
      <w:r w:rsidR="00DA70EF" w:rsidRPr="004C6F9F">
        <w:rPr>
          <w:rFonts w:cs="Times New Roman"/>
          <w:szCs w:val="24"/>
        </w:rPr>
        <w:t xml:space="preserve"> </w:t>
      </w:r>
      <w:proofErr w:type="gramStart"/>
      <w:r w:rsidRPr="004C6F9F">
        <w:rPr>
          <w:rFonts w:cs="Times New Roman"/>
          <w:szCs w:val="24"/>
        </w:rPr>
        <w:t>differences</w:t>
      </w:r>
      <w:proofErr w:type="gramEnd"/>
      <w:r w:rsidRPr="004C6F9F">
        <w:rPr>
          <w:rFonts w:cs="Times New Roman"/>
          <w:szCs w:val="24"/>
        </w:rPr>
        <w:t xml:space="preserve"> between sites, and other changes in the environment or economy. </w:t>
      </w:r>
    </w:p>
    <w:p w:rsidR="00E556BA" w:rsidRPr="004C6F9F" w:rsidRDefault="00E556BA" w:rsidP="00E556BA">
      <w:pPr>
        <w:pStyle w:val="ListParagraph"/>
        <w:numPr>
          <w:ilvl w:val="0"/>
          <w:numId w:val="1"/>
        </w:numPr>
        <w:autoSpaceDE w:val="0"/>
        <w:autoSpaceDN w:val="0"/>
        <w:adjustRightInd w:val="0"/>
        <w:spacing w:after="0" w:line="240" w:lineRule="auto"/>
        <w:rPr>
          <w:rFonts w:cs="Times New Roman"/>
          <w:szCs w:val="24"/>
        </w:rPr>
      </w:pPr>
      <w:r w:rsidRPr="004C6F9F">
        <w:rPr>
          <w:rFonts w:cs="Times New Roman"/>
          <w:szCs w:val="24"/>
        </w:rPr>
        <w:t xml:space="preserve">Even though the floor-to-waist lifting ability was statistically different between the group of participants that returned to work and those that did not return to work, the predictive power of this performance variable for return to work status was quite weak. The effect size and clinical relevance was actually very small compared to the strongest predictive variables for return to work (time off work and gender). </w:t>
      </w:r>
    </w:p>
    <w:p w:rsidR="006009B5" w:rsidRDefault="006009B5" w:rsidP="006009B5">
      <w:pPr>
        <w:pStyle w:val="ListParagraph"/>
        <w:numPr>
          <w:ilvl w:val="0"/>
          <w:numId w:val="1"/>
        </w:numPr>
        <w:spacing w:line="240" w:lineRule="auto"/>
        <w:rPr>
          <w:rFonts w:cs="Times New Roman"/>
          <w:szCs w:val="24"/>
        </w:rPr>
      </w:pPr>
      <w:r w:rsidRPr="006009B5">
        <w:rPr>
          <w:rFonts w:cs="Times New Roman"/>
          <w:szCs w:val="24"/>
        </w:rPr>
        <w:t>This study possessed two major design/analysis flaws</w:t>
      </w:r>
      <w:r w:rsidR="0032583D">
        <w:rPr>
          <w:rFonts w:cs="Times New Roman"/>
          <w:szCs w:val="24"/>
        </w:rPr>
        <w:t xml:space="preserve"> that may </w:t>
      </w:r>
      <w:r w:rsidR="00EA5153">
        <w:rPr>
          <w:rFonts w:cs="Times New Roman"/>
          <w:szCs w:val="24"/>
        </w:rPr>
        <w:t>have led to an underestimation of</w:t>
      </w:r>
      <w:r w:rsidR="0032583D">
        <w:rPr>
          <w:rFonts w:cs="Times New Roman"/>
          <w:szCs w:val="24"/>
        </w:rPr>
        <w:t xml:space="preserve"> the importance </w:t>
      </w:r>
      <w:r w:rsidR="00EA5153">
        <w:rPr>
          <w:rFonts w:cs="Times New Roman"/>
          <w:szCs w:val="24"/>
        </w:rPr>
        <w:t xml:space="preserve">and predictiveness </w:t>
      </w:r>
      <w:r w:rsidR="0032583D">
        <w:rPr>
          <w:rFonts w:cs="Times New Roman"/>
          <w:szCs w:val="24"/>
        </w:rPr>
        <w:t>of the floor-to-waist</w:t>
      </w:r>
      <w:r w:rsidR="00EA5153">
        <w:rPr>
          <w:rFonts w:cs="Times New Roman"/>
          <w:szCs w:val="24"/>
        </w:rPr>
        <w:t xml:space="preserve"> lifting test</w:t>
      </w:r>
      <w:r w:rsidR="0032583D">
        <w:rPr>
          <w:rFonts w:cs="Times New Roman"/>
          <w:szCs w:val="24"/>
        </w:rPr>
        <w:t>.</w:t>
      </w:r>
    </w:p>
    <w:p w:rsidR="006009B5" w:rsidRDefault="003238C2" w:rsidP="006009B5">
      <w:pPr>
        <w:pStyle w:val="ListParagraph"/>
        <w:numPr>
          <w:ilvl w:val="1"/>
          <w:numId w:val="18"/>
        </w:numPr>
        <w:spacing w:line="240" w:lineRule="auto"/>
        <w:rPr>
          <w:rFonts w:cs="Times New Roman"/>
          <w:szCs w:val="24"/>
        </w:rPr>
      </w:pPr>
      <w:r>
        <w:rPr>
          <w:rFonts w:cs="Times New Roman"/>
          <w:szCs w:val="24"/>
        </w:rPr>
        <w:t>In the analysis,</w:t>
      </w:r>
      <w:r w:rsidR="006009B5">
        <w:rPr>
          <w:rFonts w:cs="Times New Roman"/>
          <w:szCs w:val="24"/>
        </w:rPr>
        <w:t xml:space="preserve"> the authors combined </w:t>
      </w:r>
      <w:r>
        <w:rPr>
          <w:rFonts w:cs="Times New Roman"/>
          <w:szCs w:val="24"/>
        </w:rPr>
        <w:t>participants from all</w:t>
      </w:r>
      <w:r w:rsidR="006009B5">
        <w:rPr>
          <w:rFonts w:cs="Times New Roman"/>
          <w:szCs w:val="24"/>
        </w:rPr>
        <w:t xml:space="preserve"> 4 levels of return to work as</w:t>
      </w:r>
      <w:r>
        <w:rPr>
          <w:rFonts w:cs="Times New Roman"/>
          <w:szCs w:val="24"/>
        </w:rPr>
        <w:t xml:space="preserve"> “return to work”. When you classify </w:t>
      </w:r>
      <w:r w:rsidR="00C17020">
        <w:rPr>
          <w:rFonts w:cs="Times New Roman"/>
          <w:szCs w:val="24"/>
        </w:rPr>
        <w:t xml:space="preserve">all return to work </w:t>
      </w:r>
      <w:r>
        <w:rPr>
          <w:rFonts w:cs="Times New Roman"/>
          <w:szCs w:val="24"/>
        </w:rPr>
        <w:t xml:space="preserve">participants together who </w:t>
      </w:r>
      <w:r w:rsidR="00C17020">
        <w:rPr>
          <w:rFonts w:cs="Times New Roman"/>
          <w:szCs w:val="24"/>
        </w:rPr>
        <w:t>returned to work at different levels</w:t>
      </w:r>
      <w:r w:rsidR="00EA5153">
        <w:rPr>
          <w:rFonts w:cs="Times New Roman"/>
          <w:szCs w:val="24"/>
        </w:rPr>
        <w:t xml:space="preserve"> of functional capacity</w:t>
      </w:r>
      <w:r w:rsidR="00C17020">
        <w:rPr>
          <w:rFonts w:cs="Times New Roman"/>
          <w:szCs w:val="24"/>
        </w:rPr>
        <w:t xml:space="preserve">, it is </w:t>
      </w:r>
      <w:r>
        <w:rPr>
          <w:rFonts w:cs="Times New Roman"/>
          <w:szCs w:val="24"/>
        </w:rPr>
        <w:t xml:space="preserve">likely </w:t>
      </w:r>
      <w:r w:rsidR="00C17020">
        <w:rPr>
          <w:rFonts w:cs="Times New Roman"/>
          <w:szCs w:val="24"/>
        </w:rPr>
        <w:lastRenderedPageBreak/>
        <w:t xml:space="preserve">participants will return to work with </w:t>
      </w:r>
      <w:r>
        <w:rPr>
          <w:rFonts w:cs="Times New Roman"/>
          <w:szCs w:val="24"/>
        </w:rPr>
        <w:t xml:space="preserve">different lifting abilities, </w:t>
      </w:r>
      <w:r w:rsidR="00C17020">
        <w:rPr>
          <w:rFonts w:cs="Times New Roman"/>
          <w:szCs w:val="24"/>
        </w:rPr>
        <w:t xml:space="preserve">and </w:t>
      </w:r>
      <w:r>
        <w:rPr>
          <w:rFonts w:cs="Times New Roman"/>
          <w:szCs w:val="24"/>
        </w:rPr>
        <w:t xml:space="preserve">misclassification bias </w:t>
      </w:r>
      <w:r w:rsidR="00C17020">
        <w:rPr>
          <w:rFonts w:cs="Times New Roman"/>
          <w:szCs w:val="24"/>
        </w:rPr>
        <w:t xml:space="preserve">will be </w:t>
      </w:r>
      <w:r>
        <w:rPr>
          <w:rFonts w:cs="Times New Roman"/>
          <w:szCs w:val="24"/>
        </w:rPr>
        <w:t>introduced.</w:t>
      </w:r>
      <w:r w:rsidR="00C17020">
        <w:rPr>
          <w:rFonts w:cs="Times New Roman"/>
          <w:szCs w:val="24"/>
        </w:rPr>
        <w:t xml:space="preserve"> Misclassification bi</w:t>
      </w:r>
      <w:r w:rsidR="00D47E3A">
        <w:rPr>
          <w:rFonts w:cs="Times New Roman"/>
          <w:szCs w:val="24"/>
        </w:rPr>
        <w:t xml:space="preserve">as is likely to occur when you lump together those that return to work at full functional capacity with those who return to less physical demanding jobs. </w:t>
      </w:r>
      <w:r w:rsidR="0032583D">
        <w:rPr>
          <w:rFonts w:cs="Times New Roman"/>
          <w:szCs w:val="24"/>
        </w:rPr>
        <w:t>This underestimates the importance of those who fully return to work.</w:t>
      </w:r>
      <w:r w:rsidR="000E3455">
        <w:rPr>
          <w:rFonts w:cs="Times New Roman"/>
          <w:szCs w:val="24"/>
        </w:rPr>
        <w:t xml:space="preserve"> If the analysis included only </w:t>
      </w:r>
      <w:r w:rsidR="00EA5153">
        <w:rPr>
          <w:rFonts w:cs="Times New Roman"/>
          <w:szCs w:val="24"/>
        </w:rPr>
        <w:t xml:space="preserve">participants at </w:t>
      </w:r>
      <w:r w:rsidR="000E3455">
        <w:rPr>
          <w:rFonts w:cs="Times New Roman"/>
          <w:szCs w:val="24"/>
        </w:rPr>
        <w:t>the level of full return to work without modifications</w:t>
      </w:r>
      <w:r w:rsidR="00EA5153">
        <w:rPr>
          <w:rFonts w:cs="Times New Roman"/>
          <w:szCs w:val="24"/>
        </w:rPr>
        <w:t>, the effect of floor-to-waist lift on return to work may have been greater.</w:t>
      </w:r>
    </w:p>
    <w:p w:rsidR="000E3455" w:rsidRDefault="00E556BA" w:rsidP="000E3455">
      <w:pPr>
        <w:pStyle w:val="ListParagraph"/>
        <w:numPr>
          <w:ilvl w:val="1"/>
          <w:numId w:val="18"/>
        </w:numPr>
        <w:spacing w:line="240" w:lineRule="auto"/>
        <w:rPr>
          <w:rFonts w:cs="Times New Roman"/>
          <w:szCs w:val="24"/>
        </w:rPr>
      </w:pPr>
      <w:r w:rsidRPr="00A26F99">
        <w:rPr>
          <w:rFonts w:cs="Times New Roman"/>
          <w:szCs w:val="24"/>
        </w:rPr>
        <w:t>In the multivariate logistic regression</w:t>
      </w:r>
      <w:r w:rsidR="0094071E" w:rsidRPr="00A26F99">
        <w:rPr>
          <w:rFonts w:cs="Times New Roman"/>
          <w:szCs w:val="24"/>
        </w:rPr>
        <w:t xml:space="preserve"> (MLR)</w:t>
      </w:r>
      <w:r w:rsidRPr="00A26F99">
        <w:rPr>
          <w:rFonts w:cs="Times New Roman"/>
          <w:szCs w:val="24"/>
        </w:rPr>
        <w:t xml:space="preserve"> analysis (Table 4), </w:t>
      </w:r>
      <w:r w:rsidR="0094071E" w:rsidRPr="00A26F99">
        <w:rPr>
          <w:rFonts w:cs="Times New Roman"/>
          <w:szCs w:val="24"/>
        </w:rPr>
        <w:t>the result</w:t>
      </w:r>
      <w:r w:rsidRPr="00A26F99">
        <w:rPr>
          <w:rFonts w:cs="Times New Roman"/>
          <w:szCs w:val="24"/>
        </w:rPr>
        <w:t xml:space="preserve">s </w:t>
      </w:r>
      <w:r w:rsidR="0094071E" w:rsidRPr="00A26F99">
        <w:rPr>
          <w:rFonts w:cs="Times New Roman"/>
          <w:szCs w:val="24"/>
        </w:rPr>
        <w:t xml:space="preserve">for floor-to-waist lift indicate that it is </w:t>
      </w:r>
      <w:r w:rsidRPr="00A26F99">
        <w:rPr>
          <w:rFonts w:cs="Times New Roman"/>
          <w:szCs w:val="24"/>
        </w:rPr>
        <w:t>a weak predictor of return to work</w:t>
      </w:r>
      <w:r w:rsidR="0094071E" w:rsidRPr="00A26F99">
        <w:rPr>
          <w:rFonts w:cs="Times New Roman"/>
          <w:szCs w:val="24"/>
        </w:rPr>
        <w:t xml:space="preserve"> due to its small regression coefficient</w:t>
      </w:r>
      <w:r w:rsidRPr="00A26F99">
        <w:rPr>
          <w:rFonts w:cs="Times New Roman"/>
          <w:szCs w:val="24"/>
        </w:rPr>
        <w:t>.</w:t>
      </w:r>
      <w:r w:rsidR="0094071E" w:rsidRPr="00A26F99">
        <w:rPr>
          <w:rFonts w:cs="Times New Roman"/>
          <w:szCs w:val="24"/>
        </w:rPr>
        <w:t xml:space="preserve"> In this MLR model, the 5 physical performance measures are likely to be highly correlated. When several highly correlated variables are entered into a MLR model together</w:t>
      </w:r>
      <w:r w:rsidR="0047222A" w:rsidRPr="00A26F99">
        <w:rPr>
          <w:rFonts w:cs="Times New Roman"/>
          <w:szCs w:val="24"/>
        </w:rPr>
        <w:t xml:space="preserve"> (which should not be carried out)</w:t>
      </w:r>
      <w:r w:rsidR="0094071E" w:rsidRPr="00A26F99">
        <w:rPr>
          <w:rFonts w:cs="Times New Roman"/>
          <w:szCs w:val="24"/>
        </w:rPr>
        <w:t>, the contribution of each of the correlated variables is weakened.</w:t>
      </w:r>
      <w:r w:rsidR="0047222A" w:rsidRPr="00A26F99">
        <w:rPr>
          <w:rFonts w:cs="Times New Roman"/>
          <w:szCs w:val="24"/>
        </w:rPr>
        <w:t xml:space="preserve"> It appears that this flawed analysis has weakened the association of floor-to-waist lift with return to wor</w:t>
      </w:r>
      <w:r w:rsidR="00302730" w:rsidRPr="00A26F99">
        <w:rPr>
          <w:rFonts w:cs="Times New Roman"/>
          <w:szCs w:val="24"/>
        </w:rPr>
        <w:t>k and underestimated its contributions. The true contribution of flo</w:t>
      </w:r>
      <w:r w:rsidR="0047222A" w:rsidRPr="00A26F99">
        <w:rPr>
          <w:rFonts w:cs="Times New Roman"/>
          <w:szCs w:val="24"/>
        </w:rPr>
        <w:t>or-to-waist lift</w:t>
      </w:r>
      <w:r w:rsidR="00302730" w:rsidRPr="00A26F99">
        <w:rPr>
          <w:rFonts w:cs="Times New Roman"/>
          <w:szCs w:val="24"/>
        </w:rPr>
        <w:t xml:space="preserve"> is probably greater than it appears in Table 4. The MLR analysis should not have included </w:t>
      </w:r>
      <w:r w:rsidR="000E3455" w:rsidRPr="00A26F99">
        <w:rPr>
          <w:rFonts w:cs="Times New Roman"/>
          <w:szCs w:val="24"/>
        </w:rPr>
        <w:t xml:space="preserve">all </w:t>
      </w:r>
      <w:r w:rsidR="00302730" w:rsidRPr="00A26F99">
        <w:rPr>
          <w:rFonts w:cs="Times New Roman"/>
          <w:szCs w:val="24"/>
        </w:rPr>
        <w:t xml:space="preserve">5 correlated variables. The MLR model should only have included gender, age, time off work, and one performance measure such as floor-to-waist lift. When each of the 5 performance measures are analyzed separately as shown in the results in Table 3, they are all related to return to work. On the other hand, analyze all 5 performance measures together </w:t>
      </w:r>
      <w:r w:rsidR="00680B27" w:rsidRPr="00A26F99">
        <w:rPr>
          <w:rFonts w:cs="Times New Roman"/>
          <w:szCs w:val="24"/>
        </w:rPr>
        <w:t xml:space="preserve">in which adjustment for all variables takes place </w:t>
      </w:r>
      <w:r w:rsidR="00302730" w:rsidRPr="00A26F99">
        <w:rPr>
          <w:rFonts w:cs="Times New Roman"/>
          <w:szCs w:val="24"/>
        </w:rPr>
        <w:t>(Table 4)</w:t>
      </w:r>
      <w:r w:rsidR="000E3455" w:rsidRPr="00A26F99">
        <w:rPr>
          <w:rFonts w:cs="Times New Roman"/>
          <w:szCs w:val="24"/>
        </w:rPr>
        <w:t>, and they lose their significance because of their correlation to each other.</w:t>
      </w:r>
      <w:r w:rsidR="000B7786" w:rsidRPr="00A26F99">
        <w:rPr>
          <w:rFonts w:cs="Times New Roman"/>
          <w:szCs w:val="24"/>
        </w:rPr>
        <w:t xml:space="preserve"> In this defective MLR model, the </w:t>
      </w:r>
      <w:r w:rsidR="00A26F99" w:rsidRPr="00A26F99">
        <w:rPr>
          <w:rFonts w:cs="Times New Roman"/>
          <w:szCs w:val="24"/>
        </w:rPr>
        <w:t>results in T</w:t>
      </w:r>
      <w:r w:rsidR="000B7786" w:rsidRPr="00A26F99">
        <w:rPr>
          <w:rFonts w:cs="Times New Roman"/>
          <w:szCs w:val="24"/>
        </w:rPr>
        <w:t xml:space="preserve">able 4 are poor indicators of the </w:t>
      </w:r>
      <w:r w:rsidR="00A26F99" w:rsidRPr="00A26F99">
        <w:rPr>
          <w:rFonts w:cs="Times New Roman"/>
          <w:szCs w:val="24"/>
        </w:rPr>
        <w:t xml:space="preserve">real </w:t>
      </w:r>
      <w:r w:rsidR="000B7786" w:rsidRPr="00A26F99">
        <w:rPr>
          <w:rFonts w:cs="Times New Roman"/>
          <w:szCs w:val="24"/>
        </w:rPr>
        <w:t xml:space="preserve">contribution of the </w:t>
      </w:r>
      <w:r w:rsidR="00A26F99" w:rsidRPr="00A26F99">
        <w:rPr>
          <w:rFonts w:cs="Times New Roman"/>
          <w:szCs w:val="24"/>
        </w:rPr>
        <w:t xml:space="preserve">5 performance measures. For example, the regression coefficients for right and left grip force have opposite signs, but it is not reasonable to believe that they have opposite effects where greater </w:t>
      </w:r>
      <w:r w:rsidR="00A26F99" w:rsidRPr="00A26F99">
        <w:rPr>
          <w:rFonts w:cs="Times New Roman"/>
          <w:szCs w:val="24"/>
        </w:rPr>
        <w:t>left</w:t>
      </w:r>
      <w:r w:rsidR="00A26F99" w:rsidRPr="00A26F99">
        <w:rPr>
          <w:rFonts w:cs="Times New Roman"/>
          <w:szCs w:val="24"/>
        </w:rPr>
        <w:t xml:space="preserve"> grip force </w:t>
      </w:r>
      <w:r w:rsidR="00A26F99">
        <w:rPr>
          <w:rFonts w:cs="Times New Roman"/>
          <w:szCs w:val="24"/>
        </w:rPr>
        <w:t>and weaker right grip force both predict return to work.</w:t>
      </w:r>
      <w:bookmarkStart w:id="0" w:name="_GoBack"/>
      <w:bookmarkEnd w:id="0"/>
      <w:r w:rsidR="00A26F99">
        <w:rPr>
          <w:rFonts w:cs="Times New Roman"/>
          <w:szCs w:val="24"/>
        </w:rPr>
        <w:t xml:space="preserve"> </w:t>
      </w:r>
    </w:p>
    <w:p w:rsidR="00A26F99" w:rsidRPr="00A26F99" w:rsidRDefault="00A26F99" w:rsidP="00A26F99">
      <w:pPr>
        <w:pStyle w:val="ListParagraph"/>
        <w:spacing w:line="240" w:lineRule="auto"/>
        <w:ind w:left="1440"/>
        <w:rPr>
          <w:rFonts w:cs="Times New Roman"/>
          <w:szCs w:val="24"/>
        </w:rPr>
      </w:pPr>
    </w:p>
    <w:p w:rsidR="00A36337" w:rsidRPr="00A406F0" w:rsidRDefault="00CB673E" w:rsidP="00713CAA">
      <w:pPr>
        <w:pStyle w:val="ListParagraph"/>
        <w:numPr>
          <w:ilvl w:val="0"/>
          <w:numId w:val="1"/>
        </w:numPr>
        <w:spacing w:line="240" w:lineRule="auto"/>
      </w:pPr>
      <w:r w:rsidRPr="00A406F0">
        <w:t>The study did not give separate results for</w:t>
      </w:r>
      <w:r w:rsidR="00A406F0" w:rsidRPr="00A406F0">
        <w:t xml:space="preserve"> males and females</w:t>
      </w:r>
      <w:r w:rsidRPr="00A406F0">
        <w:t xml:space="preserve">, which would have helped its interpretability. </w:t>
      </w:r>
    </w:p>
    <w:p w:rsidR="00AC55B6" w:rsidRPr="00C75173" w:rsidRDefault="00AC55B6" w:rsidP="00AC55B6">
      <w:pPr>
        <w:pStyle w:val="ListParagraph"/>
        <w:spacing w:line="240" w:lineRule="auto"/>
        <w:rPr>
          <w:rFonts w:cs="Times New Roman"/>
          <w:szCs w:val="24"/>
          <w:highlight w:val="yellow"/>
        </w:rPr>
      </w:pPr>
    </w:p>
    <w:p w:rsidR="00374DF9" w:rsidRPr="004C6F9F" w:rsidRDefault="00A21533" w:rsidP="00AC55B6">
      <w:pPr>
        <w:pStyle w:val="ListParagraph"/>
        <w:spacing w:line="240" w:lineRule="auto"/>
        <w:ind w:left="0"/>
        <w:rPr>
          <w:rFonts w:cs="Times New Roman"/>
          <w:b/>
          <w:i/>
          <w:szCs w:val="24"/>
        </w:rPr>
      </w:pPr>
      <w:r w:rsidRPr="004C6F9F">
        <w:rPr>
          <w:rFonts w:cs="Times New Roman"/>
          <w:b/>
          <w:szCs w:val="24"/>
        </w:rPr>
        <w:t>Assessment</w:t>
      </w:r>
      <w:r w:rsidRPr="004C6F9F">
        <w:rPr>
          <w:rFonts w:cs="Times New Roman"/>
          <w:b/>
          <w:i/>
          <w:szCs w:val="24"/>
        </w:rPr>
        <w:t>:</w:t>
      </w:r>
    </w:p>
    <w:p w:rsidR="00AC55B6" w:rsidRPr="004C6F9F" w:rsidRDefault="00AC55B6" w:rsidP="00AC55B6">
      <w:pPr>
        <w:pStyle w:val="ListParagraph"/>
        <w:spacing w:line="240" w:lineRule="auto"/>
        <w:ind w:left="0"/>
        <w:rPr>
          <w:rFonts w:cs="Times New Roman"/>
          <w:b/>
          <w:i/>
          <w:szCs w:val="24"/>
        </w:rPr>
      </w:pPr>
    </w:p>
    <w:p w:rsidR="0065724D" w:rsidRPr="004C6F9F" w:rsidRDefault="00962EA7" w:rsidP="002F5B58">
      <w:pPr>
        <w:pStyle w:val="ListParagraph"/>
        <w:numPr>
          <w:ilvl w:val="0"/>
          <w:numId w:val="16"/>
        </w:numPr>
        <w:spacing w:line="240" w:lineRule="auto"/>
      </w:pPr>
      <w:r w:rsidRPr="004C6F9F">
        <w:t xml:space="preserve">This study is adequate for some evidence that </w:t>
      </w:r>
      <w:r w:rsidR="004C6F9F">
        <w:t>gender and time off work are important predictors for return to work. Floor-to-waist lifting is also related to return to work, but the strength of the relationship and its relative importance cannot be determined from the data provided in this study.</w:t>
      </w:r>
    </w:p>
    <w:sectPr w:rsidR="0065724D" w:rsidRPr="004C6F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F77" w:rsidRDefault="00953F77" w:rsidP="00953F77">
      <w:pPr>
        <w:spacing w:after="0" w:line="240" w:lineRule="auto"/>
      </w:pPr>
      <w:r>
        <w:separator/>
      </w:r>
    </w:p>
  </w:endnote>
  <w:endnote w:type="continuationSeparator" w:id="0">
    <w:p w:rsidR="00953F77" w:rsidRDefault="00953F77" w:rsidP="00953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al-NewswithCommPi">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F77" w:rsidRDefault="00953F77" w:rsidP="00953F77">
      <w:pPr>
        <w:spacing w:after="0" w:line="240" w:lineRule="auto"/>
      </w:pPr>
      <w:r>
        <w:separator/>
      </w:r>
    </w:p>
  </w:footnote>
  <w:footnote w:type="continuationSeparator" w:id="0">
    <w:p w:rsidR="00953F77" w:rsidRDefault="00953F77" w:rsidP="00953F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541"/>
    <w:multiLevelType w:val="hybridMultilevel"/>
    <w:tmpl w:val="39EA19C6"/>
    <w:lvl w:ilvl="0" w:tplc="6D70D07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17A34"/>
    <w:multiLevelType w:val="hybridMultilevel"/>
    <w:tmpl w:val="E1E231FA"/>
    <w:lvl w:ilvl="0" w:tplc="22F2F406">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E2BDE"/>
    <w:multiLevelType w:val="hybridMultilevel"/>
    <w:tmpl w:val="17709B44"/>
    <w:lvl w:ilvl="0" w:tplc="6D70D07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5B4A45"/>
    <w:multiLevelType w:val="hybridMultilevel"/>
    <w:tmpl w:val="1246467E"/>
    <w:lvl w:ilvl="0" w:tplc="6D70D070">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0430A8A"/>
    <w:multiLevelType w:val="hybridMultilevel"/>
    <w:tmpl w:val="241238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3EE522F"/>
    <w:multiLevelType w:val="hybridMultilevel"/>
    <w:tmpl w:val="2E0E43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7D16B9F"/>
    <w:multiLevelType w:val="hybridMultilevel"/>
    <w:tmpl w:val="F6662E9C"/>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744BEC"/>
    <w:multiLevelType w:val="hybridMultilevel"/>
    <w:tmpl w:val="1046B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8A5337"/>
    <w:multiLevelType w:val="hybridMultilevel"/>
    <w:tmpl w:val="07D2612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5FF6ECE"/>
    <w:multiLevelType w:val="hybridMultilevel"/>
    <w:tmpl w:val="0630B18E"/>
    <w:lvl w:ilvl="0" w:tplc="FEE8B43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82E6BD4"/>
    <w:multiLevelType w:val="hybridMultilevel"/>
    <w:tmpl w:val="093EEB80"/>
    <w:lvl w:ilvl="0" w:tplc="FEE8B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CB5B30"/>
    <w:multiLevelType w:val="hybridMultilevel"/>
    <w:tmpl w:val="19180102"/>
    <w:lvl w:ilvl="0" w:tplc="6D70D070">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6EC554AA"/>
    <w:multiLevelType w:val="multilevel"/>
    <w:tmpl w:val="A7F4B43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10645E1"/>
    <w:multiLevelType w:val="hybridMultilevel"/>
    <w:tmpl w:val="58FAEA82"/>
    <w:lvl w:ilvl="0" w:tplc="F4FADC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1713C50"/>
    <w:multiLevelType w:val="multilevel"/>
    <w:tmpl w:val="8C3EAB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6770792"/>
    <w:multiLevelType w:val="hybridMultilevel"/>
    <w:tmpl w:val="3244A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B61F8C"/>
    <w:multiLevelType w:val="hybridMultilevel"/>
    <w:tmpl w:val="000E84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7FEB235F"/>
    <w:multiLevelType w:val="hybridMultilevel"/>
    <w:tmpl w:val="5952181A"/>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11"/>
  </w:num>
  <w:num w:numId="5">
    <w:abstractNumId w:val="3"/>
  </w:num>
  <w:num w:numId="6">
    <w:abstractNumId w:val="17"/>
  </w:num>
  <w:num w:numId="7">
    <w:abstractNumId w:val="5"/>
  </w:num>
  <w:num w:numId="8">
    <w:abstractNumId w:val="4"/>
  </w:num>
  <w:num w:numId="9">
    <w:abstractNumId w:val="10"/>
  </w:num>
  <w:num w:numId="10">
    <w:abstractNumId w:val="15"/>
  </w:num>
  <w:num w:numId="11">
    <w:abstractNumId w:val="7"/>
  </w:num>
  <w:num w:numId="12">
    <w:abstractNumId w:val="14"/>
  </w:num>
  <w:num w:numId="13">
    <w:abstractNumId w:val="12"/>
  </w:num>
  <w:num w:numId="14">
    <w:abstractNumId w:val="9"/>
  </w:num>
  <w:num w:numId="15">
    <w:abstractNumId w:val="13"/>
  </w:num>
  <w:num w:numId="16">
    <w:abstractNumId w:val="6"/>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E4"/>
    <w:rsid w:val="00002D44"/>
    <w:rsid w:val="00003229"/>
    <w:rsid w:val="0001776B"/>
    <w:rsid w:val="0007303B"/>
    <w:rsid w:val="00076EBE"/>
    <w:rsid w:val="0009188C"/>
    <w:rsid w:val="000A1CD5"/>
    <w:rsid w:val="000A57EF"/>
    <w:rsid w:val="000B15B1"/>
    <w:rsid w:val="000B7786"/>
    <w:rsid w:val="000E0989"/>
    <w:rsid w:val="000E3455"/>
    <w:rsid w:val="000E4446"/>
    <w:rsid w:val="000E6C69"/>
    <w:rsid w:val="000F01BF"/>
    <w:rsid w:val="000F1426"/>
    <w:rsid w:val="00106B4C"/>
    <w:rsid w:val="00113473"/>
    <w:rsid w:val="00114DAF"/>
    <w:rsid w:val="00116C46"/>
    <w:rsid w:val="001239E0"/>
    <w:rsid w:val="00130A9C"/>
    <w:rsid w:val="001322F7"/>
    <w:rsid w:val="00134E24"/>
    <w:rsid w:val="00146D9E"/>
    <w:rsid w:val="00156C33"/>
    <w:rsid w:val="001607A5"/>
    <w:rsid w:val="001631AC"/>
    <w:rsid w:val="001671A8"/>
    <w:rsid w:val="00173C26"/>
    <w:rsid w:val="001755BF"/>
    <w:rsid w:val="00186557"/>
    <w:rsid w:val="00186840"/>
    <w:rsid w:val="001904E7"/>
    <w:rsid w:val="00193BBB"/>
    <w:rsid w:val="001B799E"/>
    <w:rsid w:val="001E161E"/>
    <w:rsid w:val="001E7025"/>
    <w:rsid w:val="00210AD5"/>
    <w:rsid w:val="00210CAB"/>
    <w:rsid w:val="002239B5"/>
    <w:rsid w:val="00232F12"/>
    <w:rsid w:val="00233AEC"/>
    <w:rsid w:val="00235C1F"/>
    <w:rsid w:val="002362F1"/>
    <w:rsid w:val="00236665"/>
    <w:rsid w:val="0024294B"/>
    <w:rsid w:val="00247792"/>
    <w:rsid w:val="00282963"/>
    <w:rsid w:val="00284637"/>
    <w:rsid w:val="0029056E"/>
    <w:rsid w:val="0029623C"/>
    <w:rsid w:val="002977A9"/>
    <w:rsid w:val="002A77B9"/>
    <w:rsid w:val="002C027F"/>
    <w:rsid w:val="002D0637"/>
    <w:rsid w:val="002D28BF"/>
    <w:rsid w:val="002E27B0"/>
    <w:rsid w:val="002E3789"/>
    <w:rsid w:val="002E4252"/>
    <w:rsid w:val="002E7108"/>
    <w:rsid w:val="002F4C65"/>
    <w:rsid w:val="00302730"/>
    <w:rsid w:val="003238C2"/>
    <w:rsid w:val="0032583D"/>
    <w:rsid w:val="0032702E"/>
    <w:rsid w:val="00342DF5"/>
    <w:rsid w:val="00356E1E"/>
    <w:rsid w:val="0036020B"/>
    <w:rsid w:val="003665BE"/>
    <w:rsid w:val="00367227"/>
    <w:rsid w:val="00374DF9"/>
    <w:rsid w:val="003761FE"/>
    <w:rsid w:val="00376536"/>
    <w:rsid w:val="00394877"/>
    <w:rsid w:val="003A5537"/>
    <w:rsid w:val="003B43B1"/>
    <w:rsid w:val="003C2D3E"/>
    <w:rsid w:val="003C2DD4"/>
    <w:rsid w:val="003C5BC9"/>
    <w:rsid w:val="003C752F"/>
    <w:rsid w:val="003C78DC"/>
    <w:rsid w:val="003D2D13"/>
    <w:rsid w:val="003E7006"/>
    <w:rsid w:val="003F676E"/>
    <w:rsid w:val="004007E9"/>
    <w:rsid w:val="00426C3A"/>
    <w:rsid w:val="00430CA1"/>
    <w:rsid w:val="00442D27"/>
    <w:rsid w:val="00450CAD"/>
    <w:rsid w:val="00462322"/>
    <w:rsid w:val="0046655E"/>
    <w:rsid w:val="0047222A"/>
    <w:rsid w:val="00484D66"/>
    <w:rsid w:val="0048591D"/>
    <w:rsid w:val="00497357"/>
    <w:rsid w:val="004A05BE"/>
    <w:rsid w:val="004A088F"/>
    <w:rsid w:val="004A4E2A"/>
    <w:rsid w:val="004C4EED"/>
    <w:rsid w:val="004C4F1B"/>
    <w:rsid w:val="004C6F9F"/>
    <w:rsid w:val="004C7A27"/>
    <w:rsid w:val="004D051A"/>
    <w:rsid w:val="004E06DC"/>
    <w:rsid w:val="004E19E4"/>
    <w:rsid w:val="004E1B1C"/>
    <w:rsid w:val="004F2CF1"/>
    <w:rsid w:val="00503E15"/>
    <w:rsid w:val="00505D22"/>
    <w:rsid w:val="00510839"/>
    <w:rsid w:val="005144BE"/>
    <w:rsid w:val="005356E8"/>
    <w:rsid w:val="00540A28"/>
    <w:rsid w:val="00542D44"/>
    <w:rsid w:val="00550F6C"/>
    <w:rsid w:val="00581117"/>
    <w:rsid w:val="005A14AD"/>
    <w:rsid w:val="005A1705"/>
    <w:rsid w:val="005B4A88"/>
    <w:rsid w:val="005E011B"/>
    <w:rsid w:val="005E767C"/>
    <w:rsid w:val="006009B5"/>
    <w:rsid w:val="006266D2"/>
    <w:rsid w:val="0063178E"/>
    <w:rsid w:val="00643667"/>
    <w:rsid w:val="0065724D"/>
    <w:rsid w:val="00663604"/>
    <w:rsid w:val="006701D9"/>
    <w:rsid w:val="00675998"/>
    <w:rsid w:val="00680B27"/>
    <w:rsid w:val="006A0D03"/>
    <w:rsid w:val="006A37CF"/>
    <w:rsid w:val="006A655F"/>
    <w:rsid w:val="006C193B"/>
    <w:rsid w:val="006C7930"/>
    <w:rsid w:val="006D48B9"/>
    <w:rsid w:val="006E195A"/>
    <w:rsid w:val="006F29BA"/>
    <w:rsid w:val="00706FE7"/>
    <w:rsid w:val="00713CAA"/>
    <w:rsid w:val="00720495"/>
    <w:rsid w:val="00732531"/>
    <w:rsid w:val="00734FEA"/>
    <w:rsid w:val="00735652"/>
    <w:rsid w:val="00736E82"/>
    <w:rsid w:val="00751E2C"/>
    <w:rsid w:val="00752A63"/>
    <w:rsid w:val="00761F0D"/>
    <w:rsid w:val="00766762"/>
    <w:rsid w:val="007773E8"/>
    <w:rsid w:val="007A28C1"/>
    <w:rsid w:val="007B4436"/>
    <w:rsid w:val="007B71C4"/>
    <w:rsid w:val="007C223C"/>
    <w:rsid w:val="007C53FE"/>
    <w:rsid w:val="007C57A3"/>
    <w:rsid w:val="007C6DC1"/>
    <w:rsid w:val="007C71A4"/>
    <w:rsid w:val="007C7455"/>
    <w:rsid w:val="007D588E"/>
    <w:rsid w:val="007F066E"/>
    <w:rsid w:val="007F5A1A"/>
    <w:rsid w:val="007F647F"/>
    <w:rsid w:val="00805F2C"/>
    <w:rsid w:val="008079DA"/>
    <w:rsid w:val="008217DF"/>
    <w:rsid w:val="008243D6"/>
    <w:rsid w:val="00827F62"/>
    <w:rsid w:val="008335F6"/>
    <w:rsid w:val="00841513"/>
    <w:rsid w:val="008501EF"/>
    <w:rsid w:val="00874367"/>
    <w:rsid w:val="0087489D"/>
    <w:rsid w:val="008756DC"/>
    <w:rsid w:val="0087638E"/>
    <w:rsid w:val="00877FDD"/>
    <w:rsid w:val="008829F6"/>
    <w:rsid w:val="008940C9"/>
    <w:rsid w:val="008B1EE4"/>
    <w:rsid w:val="008B55C0"/>
    <w:rsid w:val="008C0AB5"/>
    <w:rsid w:val="008C1CC9"/>
    <w:rsid w:val="008F2422"/>
    <w:rsid w:val="008F5526"/>
    <w:rsid w:val="00916C0E"/>
    <w:rsid w:val="009304D4"/>
    <w:rsid w:val="0093660C"/>
    <w:rsid w:val="0094071E"/>
    <w:rsid w:val="009529F1"/>
    <w:rsid w:val="00953F77"/>
    <w:rsid w:val="00962EA7"/>
    <w:rsid w:val="00964621"/>
    <w:rsid w:val="00975A77"/>
    <w:rsid w:val="00976C0D"/>
    <w:rsid w:val="0098057B"/>
    <w:rsid w:val="009823D6"/>
    <w:rsid w:val="009853DB"/>
    <w:rsid w:val="00986A06"/>
    <w:rsid w:val="00993F5E"/>
    <w:rsid w:val="009C2BA1"/>
    <w:rsid w:val="009F4A7A"/>
    <w:rsid w:val="00A06F45"/>
    <w:rsid w:val="00A12801"/>
    <w:rsid w:val="00A21533"/>
    <w:rsid w:val="00A26F99"/>
    <w:rsid w:val="00A36337"/>
    <w:rsid w:val="00A406F0"/>
    <w:rsid w:val="00A44500"/>
    <w:rsid w:val="00A51F92"/>
    <w:rsid w:val="00A569C8"/>
    <w:rsid w:val="00A7594D"/>
    <w:rsid w:val="00A91D71"/>
    <w:rsid w:val="00A9321A"/>
    <w:rsid w:val="00A93D02"/>
    <w:rsid w:val="00A9612B"/>
    <w:rsid w:val="00AA32EF"/>
    <w:rsid w:val="00AA7335"/>
    <w:rsid w:val="00AB0A07"/>
    <w:rsid w:val="00AB19C8"/>
    <w:rsid w:val="00AB3D9D"/>
    <w:rsid w:val="00AB6AB7"/>
    <w:rsid w:val="00AB6ED5"/>
    <w:rsid w:val="00AC0A15"/>
    <w:rsid w:val="00AC168F"/>
    <w:rsid w:val="00AC55B6"/>
    <w:rsid w:val="00AD6D40"/>
    <w:rsid w:val="00AE3C82"/>
    <w:rsid w:val="00AF062E"/>
    <w:rsid w:val="00B1421E"/>
    <w:rsid w:val="00B16E0E"/>
    <w:rsid w:val="00B16F74"/>
    <w:rsid w:val="00B36CAF"/>
    <w:rsid w:val="00B775D4"/>
    <w:rsid w:val="00B851C6"/>
    <w:rsid w:val="00B94634"/>
    <w:rsid w:val="00B95BD8"/>
    <w:rsid w:val="00BA12FD"/>
    <w:rsid w:val="00BB5EEB"/>
    <w:rsid w:val="00BC16E4"/>
    <w:rsid w:val="00BE5BAE"/>
    <w:rsid w:val="00BF6515"/>
    <w:rsid w:val="00BF6BC7"/>
    <w:rsid w:val="00BF7703"/>
    <w:rsid w:val="00C00C14"/>
    <w:rsid w:val="00C11C69"/>
    <w:rsid w:val="00C13D5C"/>
    <w:rsid w:val="00C164FB"/>
    <w:rsid w:val="00C17020"/>
    <w:rsid w:val="00C26EBB"/>
    <w:rsid w:val="00C41A96"/>
    <w:rsid w:val="00C47CB2"/>
    <w:rsid w:val="00C57626"/>
    <w:rsid w:val="00C63520"/>
    <w:rsid w:val="00C674D5"/>
    <w:rsid w:val="00C7472E"/>
    <w:rsid w:val="00C75173"/>
    <w:rsid w:val="00C9214F"/>
    <w:rsid w:val="00C94931"/>
    <w:rsid w:val="00CA6DF1"/>
    <w:rsid w:val="00CB3D2B"/>
    <w:rsid w:val="00CB6598"/>
    <w:rsid w:val="00CB673E"/>
    <w:rsid w:val="00CC68A5"/>
    <w:rsid w:val="00CF38EB"/>
    <w:rsid w:val="00D236A4"/>
    <w:rsid w:val="00D250DA"/>
    <w:rsid w:val="00D27109"/>
    <w:rsid w:val="00D27CF9"/>
    <w:rsid w:val="00D4140E"/>
    <w:rsid w:val="00D421A0"/>
    <w:rsid w:val="00D44326"/>
    <w:rsid w:val="00D47E3A"/>
    <w:rsid w:val="00D50E60"/>
    <w:rsid w:val="00D649D5"/>
    <w:rsid w:val="00D65A96"/>
    <w:rsid w:val="00D7075C"/>
    <w:rsid w:val="00D82C55"/>
    <w:rsid w:val="00D90450"/>
    <w:rsid w:val="00DA70EF"/>
    <w:rsid w:val="00DB1879"/>
    <w:rsid w:val="00DB6B6A"/>
    <w:rsid w:val="00DC0193"/>
    <w:rsid w:val="00DC1379"/>
    <w:rsid w:val="00DC4067"/>
    <w:rsid w:val="00DE6420"/>
    <w:rsid w:val="00DF0D14"/>
    <w:rsid w:val="00E0113A"/>
    <w:rsid w:val="00E10C4E"/>
    <w:rsid w:val="00E2028C"/>
    <w:rsid w:val="00E211D9"/>
    <w:rsid w:val="00E22BE4"/>
    <w:rsid w:val="00E40883"/>
    <w:rsid w:val="00E526A9"/>
    <w:rsid w:val="00E556BA"/>
    <w:rsid w:val="00E60B53"/>
    <w:rsid w:val="00E656BE"/>
    <w:rsid w:val="00E73BB2"/>
    <w:rsid w:val="00E87630"/>
    <w:rsid w:val="00E97757"/>
    <w:rsid w:val="00EA0D81"/>
    <w:rsid w:val="00EA5153"/>
    <w:rsid w:val="00EA752F"/>
    <w:rsid w:val="00EB21FB"/>
    <w:rsid w:val="00EB3A4D"/>
    <w:rsid w:val="00EC4D96"/>
    <w:rsid w:val="00ED15A1"/>
    <w:rsid w:val="00EE381F"/>
    <w:rsid w:val="00EE5DA2"/>
    <w:rsid w:val="00EF2605"/>
    <w:rsid w:val="00EF5EAC"/>
    <w:rsid w:val="00F040E6"/>
    <w:rsid w:val="00F12B61"/>
    <w:rsid w:val="00F14669"/>
    <w:rsid w:val="00F21E4E"/>
    <w:rsid w:val="00F25F89"/>
    <w:rsid w:val="00F26A2E"/>
    <w:rsid w:val="00F310C5"/>
    <w:rsid w:val="00F34107"/>
    <w:rsid w:val="00F35372"/>
    <w:rsid w:val="00F47BB1"/>
    <w:rsid w:val="00F52C05"/>
    <w:rsid w:val="00F53632"/>
    <w:rsid w:val="00F557A8"/>
    <w:rsid w:val="00F56F84"/>
    <w:rsid w:val="00F82D85"/>
    <w:rsid w:val="00FA2A41"/>
    <w:rsid w:val="00FA40F1"/>
    <w:rsid w:val="00FB38E4"/>
    <w:rsid w:val="00FE1477"/>
    <w:rsid w:val="00FE428E"/>
    <w:rsid w:val="00FE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500"/>
    <w:pPr>
      <w:ind w:left="720"/>
      <w:contextualSpacing/>
    </w:pPr>
  </w:style>
  <w:style w:type="paragraph" w:styleId="Header">
    <w:name w:val="header"/>
    <w:basedOn w:val="Normal"/>
    <w:link w:val="HeaderChar"/>
    <w:uiPriority w:val="99"/>
    <w:unhideWhenUsed/>
    <w:rsid w:val="00953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500"/>
    <w:pPr>
      <w:ind w:left="720"/>
      <w:contextualSpacing/>
    </w:pPr>
  </w:style>
  <w:style w:type="paragraph" w:styleId="Header">
    <w:name w:val="header"/>
    <w:basedOn w:val="Normal"/>
    <w:link w:val="HeaderChar"/>
    <w:uiPriority w:val="99"/>
    <w:unhideWhenUsed/>
    <w:rsid w:val="00953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82D79-69D6-437E-939B-5F04F38A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3</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Bart</cp:lastModifiedBy>
  <cp:revision>18</cp:revision>
  <cp:lastPrinted>2013-10-25T15:18:00Z</cp:lastPrinted>
  <dcterms:created xsi:type="dcterms:W3CDTF">2013-10-22T20:48:00Z</dcterms:created>
  <dcterms:modified xsi:type="dcterms:W3CDTF">2013-10-28T17:30:00Z</dcterms:modified>
</cp:coreProperties>
</file>