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3B2C" w:rsidRDefault="00593B2C"/>
    <w:p w:rsidR="0052518F" w:rsidRDefault="00636CA4">
      <w:r>
        <w:t xml:space="preserve">Is a videotape to change beliefs and behavior superior to a standard </w:t>
      </w:r>
      <w:proofErr w:type="spellStart"/>
      <w:r>
        <w:t>videotype</w:t>
      </w:r>
      <w:proofErr w:type="spellEnd"/>
      <w:r>
        <w:t xml:space="preserve"> in acute low back pain?  A randomized controlled trial</w:t>
      </w:r>
    </w:p>
    <w:p w:rsidR="00593B2C" w:rsidRDefault="007B1018" w:rsidP="00916E33">
      <w:r>
        <w:t xml:space="preserve">Karen L. Newcomer, Kristin S. Vickers Douglas, Randy A. </w:t>
      </w:r>
      <w:proofErr w:type="spellStart"/>
      <w:r>
        <w:t>Shelerud</w:t>
      </w:r>
      <w:proofErr w:type="spellEnd"/>
      <w:r>
        <w:t>, Kirsten Hall Long, Brianna Crawford</w:t>
      </w:r>
    </w:p>
    <w:p w:rsidR="00593B2C" w:rsidRDefault="007B1018">
      <w:r>
        <w:t>The Spine Journal 2008, 8: 940-947</w:t>
      </w:r>
      <w:r w:rsidR="00FB6C6E">
        <w:t xml:space="preserve"> </w:t>
      </w:r>
    </w:p>
    <w:p w:rsidR="00593B2C" w:rsidRDefault="00593B2C"/>
    <w:p w:rsidR="00593B2C" w:rsidRDefault="00856077">
      <w:r>
        <w:rPr>
          <w:b/>
          <w:i/>
        </w:rPr>
        <w:t>Morbidity:</w:t>
      </w:r>
      <w:r>
        <w:t xml:space="preserve">  </w:t>
      </w:r>
      <w:r w:rsidR="007B1018">
        <w:t>Acute low back pain</w:t>
      </w:r>
    </w:p>
    <w:p w:rsidR="00593B2C" w:rsidRDefault="00593B2C"/>
    <w:p w:rsidR="00593B2C" w:rsidRDefault="00856077">
      <w:r>
        <w:rPr>
          <w:b/>
          <w:i/>
        </w:rPr>
        <w:t>Type of study</w:t>
      </w:r>
      <w:r>
        <w:t xml:space="preserve">:   </w:t>
      </w:r>
      <w:r w:rsidR="00AC18E7">
        <w:t xml:space="preserve">prospective </w:t>
      </w:r>
      <w:r w:rsidR="003C7975">
        <w:t>RCT</w:t>
      </w:r>
    </w:p>
    <w:p w:rsidR="00593B2C" w:rsidRDefault="00593B2C"/>
    <w:p w:rsidR="00593B2C" w:rsidRDefault="00856077">
      <w:r>
        <w:rPr>
          <w:b/>
          <w:i/>
        </w:rPr>
        <w:t>Intervention</w:t>
      </w:r>
      <w:r w:rsidR="00D9197B">
        <w:rPr>
          <w:b/>
          <w:i/>
        </w:rPr>
        <w:t>s</w:t>
      </w:r>
      <w:r>
        <w:rPr>
          <w:b/>
          <w:i/>
        </w:rPr>
        <w:t>:</w:t>
      </w:r>
      <w:r>
        <w:t xml:space="preserve">  </w:t>
      </w:r>
      <w:r w:rsidR="007B1018">
        <w:t>Videotape designed to change beliefs and behaviors, standard videotape</w:t>
      </w:r>
    </w:p>
    <w:p w:rsidR="00593B2C" w:rsidRDefault="00593B2C"/>
    <w:p w:rsidR="00593B2C" w:rsidRDefault="00856077">
      <w:r>
        <w:rPr>
          <w:b/>
          <w:i/>
        </w:rPr>
        <w:t>Outcomes</w:t>
      </w:r>
      <w:r>
        <w:t>:</w:t>
      </w:r>
      <w:r w:rsidR="00441773">
        <w:t xml:space="preserve"> </w:t>
      </w:r>
      <w:r>
        <w:t xml:space="preserve">  </w:t>
      </w:r>
      <w:r w:rsidR="007B1018">
        <w:t>Oswestry Disability Index, Pain and Impairment Relationship Scale, Fear-Avoidance Beliefs Questionnaire, medical costs related to LBP and total medical costs incurred over 1-year of follow-up</w:t>
      </w:r>
    </w:p>
    <w:p w:rsidR="00E744B9" w:rsidRDefault="00E744B9"/>
    <w:p w:rsidR="00593B2C" w:rsidRDefault="00856077">
      <w:r>
        <w:rPr>
          <w:b/>
          <w:i/>
        </w:rPr>
        <w:t>Cohort</w:t>
      </w:r>
      <w:r w:rsidR="00AD03D1">
        <w:t xml:space="preserve">:  </w:t>
      </w:r>
      <w:r w:rsidR="00916E33">
        <w:t xml:space="preserve"> </w:t>
      </w:r>
      <w:r w:rsidR="007B1018">
        <w:t>138</w:t>
      </w:r>
      <w:r w:rsidR="00E46441">
        <w:t xml:space="preserve"> subjects</w:t>
      </w:r>
    </w:p>
    <w:p w:rsidR="00C479A9" w:rsidRDefault="00C479A9"/>
    <w:p w:rsidR="00C479A9" w:rsidRDefault="00856077">
      <w:r>
        <w:rPr>
          <w:b/>
          <w:i/>
        </w:rPr>
        <w:t>Inclusion</w:t>
      </w:r>
      <w:r>
        <w:t xml:space="preserve">:  </w:t>
      </w:r>
      <w:r w:rsidR="00D9197B">
        <w:t xml:space="preserve"> </w:t>
      </w:r>
      <w:r w:rsidR="00E46441">
        <w:t>18-</w:t>
      </w:r>
      <w:r w:rsidR="007B1018">
        <w:t>7</w:t>
      </w:r>
      <w:r w:rsidR="00A74C8D">
        <w:t>0 years with acute LBP defined as maximal pain between L1 and the gluteal folds lasting for &lt; 3 months</w:t>
      </w:r>
      <w:r w:rsidR="00E46441">
        <w:t>.</w:t>
      </w:r>
    </w:p>
    <w:p w:rsidR="00E46441" w:rsidRDefault="00E46441"/>
    <w:p w:rsidR="00593B2C" w:rsidRDefault="00856077">
      <w:r>
        <w:rPr>
          <w:b/>
          <w:i/>
        </w:rPr>
        <w:t>Exclusion</w:t>
      </w:r>
      <w:r>
        <w:t xml:space="preserve">:  </w:t>
      </w:r>
      <w:r w:rsidR="00A74C8D">
        <w:t>Current malignancy, osteoporosis, a spondyloarthropathy, previous lumbar surgery, a neurologic deficit on examination suggestive to nerve root compression or cauda equine syndrome, systematic disease causing LBP, pregnancy, multiple musculoskeletal problems, no access to videocassette recorder.</w:t>
      </w:r>
    </w:p>
    <w:p w:rsidR="002448C2" w:rsidRDefault="002448C2"/>
    <w:p w:rsidR="00593B2C" w:rsidRDefault="00856077" w:rsidP="00683CC0">
      <w:r>
        <w:rPr>
          <w:b/>
          <w:i/>
        </w:rPr>
        <w:t>Overall Evaluation:</w:t>
      </w:r>
      <w:r>
        <w:t xml:space="preserve"> </w:t>
      </w:r>
    </w:p>
    <w:p w:rsidR="00130D45" w:rsidRDefault="00444F95">
      <w:r>
        <w:t>This may not meet the evidence for criteria. The participation rate was low with a 38 percent of subjects not completing the initial questionnaire and another 19 percent dropping out by the end of the 1- year study period.  Assessors and analysts were not blinded.  The study may not be sufficiently powered to detect clinically important differences in outcomes.</w:t>
      </w:r>
      <w:r w:rsidR="00EB3D14">
        <w:t xml:space="preserve">  </w:t>
      </w:r>
    </w:p>
    <w:p w:rsidR="00AE0904" w:rsidRDefault="00AE0904"/>
    <w:p w:rsidR="00593B2C" w:rsidRDefault="00444F95">
      <w:proofErr w:type="gramStart"/>
      <w:r>
        <w:t>May</w:t>
      </w:r>
      <w:r w:rsidR="00EB3D14">
        <w:t xml:space="preserve"> not meet</w:t>
      </w:r>
      <w:r w:rsidR="00AE0904">
        <w:t xml:space="preserve"> </w:t>
      </w:r>
      <w:r w:rsidR="00856077">
        <w:t>criteria for evidence.</w:t>
      </w:r>
      <w:proofErr w:type="gramEnd"/>
    </w:p>
    <w:p w:rsidR="00593B2C" w:rsidRDefault="00593B2C"/>
    <w:p w:rsidR="00593B2C" w:rsidRDefault="00856077">
      <w:r>
        <w:t>Green:</w:t>
      </w:r>
      <w:r w:rsidR="00EB3D14">
        <w:t xml:space="preserve"> </w:t>
      </w:r>
      <w:r w:rsidR="00F635EB">
        <w:t xml:space="preserve"> 8</w:t>
      </w:r>
      <w:r>
        <w:t>/27</w:t>
      </w:r>
    </w:p>
    <w:p w:rsidR="00593B2C" w:rsidRDefault="00856077">
      <w:r>
        <w:t>Yellow:</w:t>
      </w:r>
      <w:r w:rsidR="00EB3D14">
        <w:t xml:space="preserve"> </w:t>
      </w:r>
      <w:r w:rsidR="005812DF">
        <w:t>7</w:t>
      </w:r>
      <w:r>
        <w:t xml:space="preserve"> /</w:t>
      </w:r>
      <w:r w:rsidR="00EB3D14">
        <w:t>27</w:t>
      </w:r>
    </w:p>
    <w:p w:rsidR="00593B2C" w:rsidRDefault="00651043">
      <w:r>
        <w:t xml:space="preserve">Red:  </w:t>
      </w:r>
      <w:r w:rsidR="005812DF">
        <w:t>7</w:t>
      </w:r>
      <w:r w:rsidR="00EB3D14">
        <w:t>/</w:t>
      </w:r>
      <w:r w:rsidR="00856077">
        <w:t>27</w:t>
      </w:r>
    </w:p>
    <w:p w:rsidR="00750E69" w:rsidRDefault="00856077">
      <w:r>
        <w:t>Not Applicable:</w:t>
      </w:r>
      <w:r w:rsidR="005812DF">
        <w:t xml:space="preserve"> 5</w:t>
      </w:r>
      <w:r w:rsidR="00201E25">
        <w:t xml:space="preserve"> </w:t>
      </w:r>
      <w:r>
        <w:t xml:space="preserve">/27 </w:t>
      </w:r>
    </w:p>
    <w:p w:rsidR="00750E69" w:rsidRDefault="00750E69"/>
    <w:p w:rsidR="00750E69" w:rsidRPr="00750E69" w:rsidRDefault="00750E69">
      <w:pPr>
        <w:rPr>
          <w:b/>
        </w:rPr>
      </w:pPr>
      <w:bookmarkStart w:id="0" w:name="_GoBack"/>
      <w:r w:rsidRPr="00750E69">
        <w:rPr>
          <w:b/>
        </w:rPr>
        <w:t xml:space="preserve">EW: Non-participation is high for both groups; a null result for the comparison does not constitute evidence for or against the comparison. </w:t>
      </w:r>
    </w:p>
    <w:p w:rsidR="00593B2C" w:rsidRDefault="00750E69">
      <w:proofErr w:type="gramStart"/>
      <w:r w:rsidRPr="00750E69">
        <w:rPr>
          <w:b/>
        </w:rPr>
        <w:t>Inadequate for evidence, but adequate for a general information statement that giving a video is no sufficient for patient education.</w:t>
      </w:r>
      <w:proofErr w:type="gramEnd"/>
      <w:r>
        <w:t xml:space="preserve"> </w:t>
      </w:r>
      <w:bookmarkEnd w:id="0"/>
      <w:r w:rsidR="00856077">
        <w:br w:type="page"/>
      </w:r>
    </w:p>
    <w:p w:rsidR="00593B2C" w:rsidRDefault="00593B2C"/>
    <w:tbl>
      <w:tblPr>
        <w:tblW w:w="964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0"/>
        <w:gridCol w:w="360"/>
        <w:gridCol w:w="360"/>
        <w:gridCol w:w="360"/>
        <w:gridCol w:w="5310"/>
      </w:tblGrid>
      <w:tr w:rsidR="00593B2C" w:rsidTr="00C728EB">
        <w:trPr>
          <w:cantSplit/>
          <w:trHeight w:val="1510"/>
          <w:tblHeader/>
        </w:trPr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textDirection w:val="tbRl"/>
          </w:tcPr>
          <w:p w:rsidR="00593B2C" w:rsidRPr="00810044" w:rsidRDefault="00856077" w:rsidP="00810044">
            <w:pPr>
              <w:ind w:left="113" w:right="113"/>
              <w:rPr>
                <w:b/>
              </w:rPr>
            </w:pPr>
            <w:r w:rsidRPr="00810044">
              <w:rPr>
                <w:b/>
              </w:rPr>
              <w:t xml:space="preserve">Criterion 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textDirection w:val="tbRl"/>
          </w:tcPr>
          <w:p w:rsidR="00593B2C" w:rsidRPr="00810044" w:rsidRDefault="00856077" w:rsidP="00810044">
            <w:pPr>
              <w:ind w:left="113" w:right="113"/>
              <w:rPr>
                <w:b/>
              </w:rPr>
            </w:pPr>
            <w:r w:rsidRPr="00810044">
              <w:rPr>
                <w:b/>
              </w:rPr>
              <w:t>Green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textDirection w:val="tbRl"/>
          </w:tcPr>
          <w:p w:rsidR="00593B2C" w:rsidRPr="00810044" w:rsidRDefault="00856077" w:rsidP="00810044">
            <w:pPr>
              <w:ind w:left="113" w:right="113"/>
              <w:rPr>
                <w:b/>
              </w:rPr>
            </w:pPr>
            <w:r w:rsidRPr="00810044">
              <w:rPr>
                <w:b/>
              </w:rPr>
              <w:t>Yellow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textDirection w:val="tbRl"/>
          </w:tcPr>
          <w:p w:rsidR="00593B2C" w:rsidRPr="00810044" w:rsidRDefault="00856077" w:rsidP="00810044">
            <w:pPr>
              <w:ind w:left="113" w:right="113"/>
              <w:rPr>
                <w:b/>
              </w:rPr>
            </w:pPr>
            <w:r w:rsidRPr="00810044">
              <w:rPr>
                <w:b/>
              </w:rPr>
              <w:t>Red</w:t>
            </w:r>
          </w:p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textDirection w:val="tbRl"/>
          </w:tcPr>
          <w:p w:rsidR="00593B2C" w:rsidRPr="00810044" w:rsidRDefault="00856077" w:rsidP="00810044">
            <w:pPr>
              <w:ind w:left="113" w:right="113"/>
              <w:rPr>
                <w:b/>
              </w:rPr>
            </w:pPr>
            <w:r w:rsidRPr="00810044">
              <w:rPr>
                <w:b/>
              </w:rPr>
              <w:t>Comments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>Randomization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AC18E7">
            <w:r>
              <w:t>X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>Concealment of allocation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AC18E7">
            <w:r>
              <w:t>X</w:t>
            </w:r>
          </w:p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AC18E7">
            <w:r>
              <w:t>Not addressed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 xml:space="preserve">Participant recruitment and eligibility 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AC18E7">
            <w:r>
              <w:t>X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Pr="003A649B" w:rsidRDefault="00AC18E7" w:rsidP="00E744B9">
            <w:r>
              <w:t>Patients presenting to institutional centers of origin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 xml:space="preserve"> Blinding of patients and caregivers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AC18E7">
            <w:r>
              <w:t>X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AC18E7">
            <w:r>
              <w:t xml:space="preserve">Caregivers blinded, patients not aware of contents of other video 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 xml:space="preserve">Blinding of assessors of outcome and of data analysts 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AC18E7">
            <w:r>
              <w:t>X</w:t>
            </w:r>
          </w:p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AC18E7" w:rsidP="00F27A77">
            <w:r>
              <w:t>Assessors not blinded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>Blinding success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1722C">
            <w:r>
              <w:t>X</w:t>
            </w:r>
          </w:p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1722C" w:rsidP="003E3C9C">
            <w:r>
              <w:t>Not discussed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>Participant follow-up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1722C">
            <w:r>
              <w:t>X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1722C" w:rsidP="005079DB">
            <w:r>
              <w:t>Figure 1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>Length of follow-up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1722C">
            <w:r>
              <w:t>X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1722C">
            <w:r>
              <w:t>Followed for one year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>Baseline comparison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1722C">
            <w:r>
              <w:t>X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1722C" w:rsidP="00F27A77">
            <w:r>
              <w:t>Demographic data and other co-variable data not presented.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 xml:space="preserve">Primary outcome 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72BFA">
            <w:r>
              <w:t>X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884FBA" w:rsidRDefault="00872BFA">
            <w:r>
              <w:t>Primary outcome not specified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 xml:space="preserve">Analysis of results 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1722C">
            <w:r>
              <w:t>X</w:t>
            </w:r>
          </w:p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Pr="00810044" w:rsidRDefault="00F1722C">
            <w:r>
              <w:t>Not addressed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>Adverse effects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1722C">
            <w:r>
              <w:t>X</w:t>
            </w:r>
          </w:p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1722C">
            <w:r>
              <w:t>Not addressed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>Attrition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1722C">
            <w:r>
              <w:t>X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1722C">
            <w:r>
              <w:t>19% loss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>Co-interventions (performance bias)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72BFA">
            <w:r>
              <w:t>X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72BFA">
            <w:r>
              <w:t>Through a questionnaire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>Presentation of outcome data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1722C">
            <w:r>
              <w:t>X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162021" w:rsidRDefault="00162021"/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>Sample size and precision of results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812DF">
            <w:r>
              <w:t>X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1722C" w:rsidP="0047141B">
            <w:r>
              <w:t xml:space="preserve">Not discussed, </w:t>
            </w:r>
            <w:r w:rsidR="00F635EB">
              <w:t xml:space="preserve">study may not be sufficiently powered to observe clinically significant differences.  For example, study is powered to see </w:t>
            </w:r>
            <w:proofErr w:type="gramStart"/>
            <w:r w:rsidR="00F635EB">
              <w:t>a</w:t>
            </w:r>
            <w:proofErr w:type="gramEnd"/>
            <w:r w:rsidR="00F635EB">
              <w:t xml:space="preserve"> 8.9 difference for Oswestry Disability Index and 10.45 difference for Fear-avoidance beliefs.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>Description of interventions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72BFA">
            <w:r>
              <w:t>X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lastRenderedPageBreak/>
              <w:t>Psychosocial variables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72BFA">
            <w:r>
              <w:t>X</w:t>
            </w:r>
          </w:p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>Dose-response relationships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635EB">
            <w:r>
              <w:t>NA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>Sponsorship and funding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635EB">
            <w:r>
              <w:t>X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635EB" w:rsidP="00FB6C6E">
            <w:r>
              <w:t>Not fully disclosed.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 xml:space="preserve">Protocol availability 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635EB">
            <w:r>
              <w:t>X</w:t>
            </w:r>
          </w:p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635EB">
            <w:r>
              <w:t>Not available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>Baseline symptoms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635EB">
            <w:r>
              <w:t>X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>Crossover trials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635EB">
            <w:r>
              <w:t>NA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 xml:space="preserve">For nonrandomized cohort studies with accurate measurement of treatment and outcome, and adjustment for measured confounders, a large treatment effect is observed 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635EB">
            <w:r>
              <w:t>NA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 xml:space="preserve">For nonrandomized cohort studies, there is a clear dose-response gradient, especially if there is a rapid response to treatment 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635EB">
            <w:r>
              <w:t>NA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 xml:space="preserve">For nonrandomized studies, adjustment for plausible confounders are expected to increase confidence in the treatment effect   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635EB">
            <w:r>
              <w:t>NA</w:t>
            </w:r>
          </w:p>
        </w:tc>
      </w:tr>
      <w:tr w:rsidR="00593B2C" w:rsidTr="00C728EB">
        <w:tc>
          <w:tcPr>
            <w:tcW w:w="32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856077">
            <w:r>
              <w:t>Medical and biological plausibility and coherency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F635EB">
            <w:r>
              <w:t>X</w:t>
            </w:r>
          </w:p>
        </w:tc>
        <w:tc>
          <w:tcPr>
            <w:tcW w:w="36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  <w:tc>
          <w:tcPr>
            <w:tcW w:w="531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3B2C" w:rsidRDefault="00593B2C"/>
        </w:tc>
      </w:tr>
    </w:tbl>
    <w:p w:rsidR="00593B2C" w:rsidRDefault="00593B2C"/>
    <w:sectPr w:rsidR="00593B2C" w:rsidSect="00202440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6A1" w:rsidRDefault="004046A1">
      <w:r>
        <w:separator/>
      </w:r>
    </w:p>
  </w:endnote>
  <w:endnote w:type="continuationSeparator" w:id="0">
    <w:p w:rsidR="004046A1" w:rsidRDefault="0040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2C" w:rsidRDefault="006B5B41">
    <w:pPr>
      <w:tabs>
        <w:tab w:val="center" w:pos="4320"/>
        <w:tab w:val="right" w:pos="8640"/>
      </w:tabs>
    </w:pPr>
    <w:r>
      <w:fldChar w:fldCharType="begin"/>
    </w:r>
    <w:r w:rsidR="00856077">
      <w:instrText>PAGE</w:instrText>
    </w:r>
    <w:r>
      <w:fldChar w:fldCharType="separate"/>
    </w:r>
    <w:r w:rsidR="00750E69">
      <w:rPr>
        <w:noProof/>
      </w:rPr>
      <w:t>1</w:t>
    </w:r>
    <w:r>
      <w:fldChar w:fldCharType="end"/>
    </w:r>
  </w:p>
  <w:p w:rsidR="00593B2C" w:rsidRDefault="00593B2C">
    <w:pPr>
      <w:tabs>
        <w:tab w:val="center" w:pos="4320"/>
        <w:tab w:val="right" w:pos="864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6A1" w:rsidRDefault="004046A1">
      <w:r>
        <w:separator/>
      </w:r>
    </w:p>
  </w:footnote>
  <w:footnote w:type="continuationSeparator" w:id="0">
    <w:p w:rsidR="004046A1" w:rsidRDefault="00404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83E88"/>
    <w:multiLevelType w:val="hybridMultilevel"/>
    <w:tmpl w:val="E660B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3B2C"/>
    <w:rsid w:val="0000116F"/>
    <w:rsid w:val="00011AD8"/>
    <w:rsid w:val="00020FCF"/>
    <w:rsid w:val="000A7C1E"/>
    <w:rsid w:val="00107E16"/>
    <w:rsid w:val="00130D45"/>
    <w:rsid w:val="00162021"/>
    <w:rsid w:val="00194064"/>
    <w:rsid w:val="001A36BF"/>
    <w:rsid w:val="001D1C60"/>
    <w:rsid w:val="001F0328"/>
    <w:rsid w:val="00201E25"/>
    <w:rsid w:val="00202440"/>
    <w:rsid w:val="00210D3B"/>
    <w:rsid w:val="00225D6B"/>
    <w:rsid w:val="00236C06"/>
    <w:rsid w:val="002448C2"/>
    <w:rsid w:val="00247819"/>
    <w:rsid w:val="00263ECF"/>
    <w:rsid w:val="00266619"/>
    <w:rsid w:val="002879C2"/>
    <w:rsid w:val="002E4639"/>
    <w:rsid w:val="002F548F"/>
    <w:rsid w:val="00307A4B"/>
    <w:rsid w:val="003752FA"/>
    <w:rsid w:val="003815B9"/>
    <w:rsid w:val="003971A1"/>
    <w:rsid w:val="003971C8"/>
    <w:rsid w:val="003A649B"/>
    <w:rsid w:val="003C7975"/>
    <w:rsid w:val="003E3C9C"/>
    <w:rsid w:val="003F72F9"/>
    <w:rsid w:val="0040031B"/>
    <w:rsid w:val="0040061A"/>
    <w:rsid w:val="004046A1"/>
    <w:rsid w:val="004344B6"/>
    <w:rsid w:val="00441773"/>
    <w:rsid w:val="00444F95"/>
    <w:rsid w:val="0047141B"/>
    <w:rsid w:val="004B1667"/>
    <w:rsid w:val="004D4105"/>
    <w:rsid w:val="004F63EC"/>
    <w:rsid w:val="004F67F9"/>
    <w:rsid w:val="005079DB"/>
    <w:rsid w:val="0051654C"/>
    <w:rsid w:val="0052518F"/>
    <w:rsid w:val="00532C3A"/>
    <w:rsid w:val="005376BC"/>
    <w:rsid w:val="005528C4"/>
    <w:rsid w:val="00565237"/>
    <w:rsid w:val="00573C17"/>
    <w:rsid w:val="005812DF"/>
    <w:rsid w:val="00593B2C"/>
    <w:rsid w:val="005978A7"/>
    <w:rsid w:val="005E3C6B"/>
    <w:rsid w:val="006312C1"/>
    <w:rsid w:val="00632A4C"/>
    <w:rsid w:val="006361A8"/>
    <w:rsid w:val="00636CA4"/>
    <w:rsid w:val="00651043"/>
    <w:rsid w:val="00653AE4"/>
    <w:rsid w:val="00683CC0"/>
    <w:rsid w:val="0069767D"/>
    <w:rsid w:val="006A7FF8"/>
    <w:rsid w:val="006B2104"/>
    <w:rsid w:val="006B37EA"/>
    <w:rsid w:val="006B5B41"/>
    <w:rsid w:val="006D0007"/>
    <w:rsid w:val="006D3444"/>
    <w:rsid w:val="006E05F0"/>
    <w:rsid w:val="006F566C"/>
    <w:rsid w:val="00717071"/>
    <w:rsid w:val="00747071"/>
    <w:rsid w:val="00750E69"/>
    <w:rsid w:val="007A775D"/>
    <w:rsid w:val="007B1018"/>
    <w:rsid w:val="007B6045"/>
    <w:rsid w:val="007C01A6"/>
    <w:rsid w:val="00810044"/>
    <w:rsid w:val="00856077"/>
    <w:rsid w:val="00872BFA"/>
    <w:rsid w:val="00884FBA"/>
    <w:rsid w:val="00887503"/>
    <w:rsid w:val="008912CF"/>
    <w:rsid w:val="008A519D"/>
    <w:rsid w:val="008A5FA5"/>
    <w:rsid w:val="008B5AF9"/>
    <w:rsid w:val="008D726B"/>
    <w:rsid w:val="00916E33"/>
    <w:rsid w:val="00927733"/>
    <w:rsid w:val="009555E0"/>
    <w:rsid w:val="00956C3E"/>
    <w:rsid w:val="009A2297"/>
    <w:rsid w:val="009D2D55"/>
    <w:rsid w:val="009F748F"/>
    <w:rsid w:val="00A274A1"/>
    <w:rsid w:val="00A351BF"/>
    <w:rsid w:val="00A64EF1"/>
    <w:rsid w:val="00A74C8D"/>
    <w:rsid w:val="00AA624C"/>
    <w:rsid w:val="00AB5CF7"/>
    <w:rsid w:val="00AC18E7"/>
    <w:rsid w:val="00AD03D1"/>
    <w:rsid w:val="00AD46FB"/>
    <w:rsid w:val="00AE0904"/>
    <w:rsid w:val="00AF68D6"/>
    <w:rsid w:val="00B018F8"/>
    <w:rsid w:val="00B31282"/>
    <w:rsid w:val="00C32F32"/>
    <w:rsid w:val="00C479A9"/>
    <w:rsid w:val="00C728EB"/>
    <w:rsid w:val="00C75358"/>
    <w:rsid w:val="00CA3797"/>
    <w:rsid w:val="00CF08DF"/>
    <w:rsid w:val="00D3347E"/>
    <w:rsid w:val="00D73532"/>
    <w:rsid w:val="00D868E3"/>
    <w:rsid w:val="00D9197B"/>
    <w:rsid w:val="00DD33CB"/>
    <w:rsid w:val="00DE64E9"/>
    <w:rsid w:val="00E46441"/>
    <w:rsid w:val="00E47ED9"/>
    <w:rsid w:val="00E63BB3"/>
    <w:rsid w:val="00E67ABD"/>
    <w:rsid w:val="00E744B9"/>
    <w:rsid w:val="00E91399"/>
    <w:rsid w:val="00EA2FBF"/>
    <w:rsid w:val="00EA36A3"/>
    <w:rsid w:val="00EB3D14"/>
    <w:rsid w:val="00F068E9"/>
    <w:rsid w:val="00F148FF"/>
    <w:rsid w:val="00F1722C"/>
    <w:rsid w:val="00F27A77"/>
    <w:rsid w:val="00F3196B"/>
    <w:rsid w:val="00F43C33"/>
    <w:rsid w:val="00F635EB"/>
    <w:rsid w:val="00FB6C6E"/>
    <w:rsid w:val="00FD578C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24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rsid w:val="00202440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202440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202440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202440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202440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rsid w:val="00202440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02440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202440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810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0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04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04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044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 Borman 2008.docx.docx</vt:lpstr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 Borman 2008.docx.docx</dc:title>
  <dc:creator>Kathryn Mueller</dc:creator>
  <cp:lastModifiedBy>Admin</cp:lastModifiedBy>
  <cp:revision>7</cp:revision>
  <dcterms:created xsi:type="dcterms:W3CDTF">2013-03-26T16:05:00Z</dcterms:created>
  <dcterms:modified xsi:type="dcterms:W3CDTF">2013-04-18T17:21:00Z</dcterms:modified>
</cp:coreProperties>
</file>