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0205" w:rsidRPr="00EF0205" w:rsidRDefault="00EF0205" w:rsidP="009D7EC5">
      <w:pPr>
        <w:autoSpaceDE w:val="0"/>
        <w:autoSpaceDN w:val="0"/>
        <w:adjustRightInd w:val="0"/>
        <w:ind w:left="0"/>
        <w:rPr>
          <w:b/>
          <w:szCs w:val="24"/>
        </w:rPr>
      </w:pPr>
      <w:proofErr w:type="spellStart"/>
      <w:proofErr w:type="gramStart"/>
      <w:r>
        <w:rPr>
          <w:b/>
          <w:szCs w:val="24"/>
        </w:rPr>
        <w:t>Ozden</w:t>
      </w:r>
      <w:proofErr w:type="spellEnd"/>
      <w:r>
        <w:rPr>
          <w:b/>
          <w:szCs w:val="24"/>
        </w:rPr>
        <w:t xml:space="preserve"> R, </w:t>
      </w:r>
      <w:proofErr w:type="spellStart"/>
      <w:r>
        <w:rPr>
          <w:b/>
          <w:szCs w:val="24"/>
        </w:rPr>
        <w:t>Uruc</w:t>
      </w:r>
      <w:proofErr w:type="spellEnd"/>
      <w:r>
        <w:rPr>
          <w:b/>
          <w:szCs w:val="24"/>
        </w:rPr>
        <w:t xml:space="preserve"> V, </w:t>
      </w:r>
      <w:proofErr w:type="spellStart"/>
      <w:r>
        <w:rPr>
          <w:b/>
          <w:szCs w:val="24"/>
        </w:rPr>
        <w:t>Dogramaci</w:t>
      </w:r>
      <w:proofErr w:type="spellEnd"/>
      <w:r>
        <w:rPr>
          <w:b/>
          <w:szCs w:val="24"/>
        </w:rPr>
        <w:t xml:space="preserve"> Y, and et al. Management of tennis elbow with topical glyceryl trinitrate.</w:t>
      </w:r>
      <w:proofErr w:type="gramEnd"/>
      <w:r>
        <w:rPr>
          <w:b/>
          <w:szCs w:val="24"/>
        </w:rPr>
        <w:t xml:space="preserve"> </w:t>
      </w:r>
      <w:proofErr w:type="spellStart"/>
      <w:r>
        <w:rPr>
          <w:b/>
          <w:i/>
          <w:szCs w:val="24"/>
        </w:rPr>
        <w:t>Acta</w:t>
      </w:r>
      <w:proofErr w:type="spellEnd"/>
      <w:r>
        <w:rPr>
          <w:b/>
          <w:i/>
          <w:szCs w:val="24"/>
        </w:rPr>
        <w:t xml:space="preserve"> </w:t>
      </w:r>
      <w:proofErr w:type="spellStart"/>
      <w:r>
        <w:rPr>
          <w:b/>
          <w:i/>
          <w:szCs w:val="24"/>
        </w:rPr>
        <w:t>Orthop</w:t>
      </w:r>
      <w:proofErr w:type="spellEnd"/>
      <w:r>
        <w:rPr>
          <w:b/>
          <w:i/>
          <w:szCs w:val="24"/>
        </w:rPr>
        <w:t xml:space="preserve"> </w:t>
      </w:r>
      <w:proofErr w:type="spellStart"/>
      <w:r>
        <w:rPr>
          <w:b/>
          <w:i/>
          <w:szCs w:val="24"/>
        </w:rPr>
        <w:t>Traumatol</w:t>
      </w:r>
      <w:proofErr w:type="spellEnd"/>
      <w:r>
        <w:rPr>
          <w:b/>
          <w:i/>
          <w:szCs w:val="24"/>
        </w:rPr>
        <w:t xml:space="preserve"> </w:t>
      </w:r>
      <w:proofErr w:type="spellStart"/>
      <w:r>
        <w:rPr>
          <w:b/>
          <w:i/>
          <w:szCs w:val="24"/>
        </w:rPr>
        <w:t>Turc</w:t>
      </w:r>
      <w:proofErr w:type="spellEnd"/>
      <w:r>
        <w:rPr>
          <w:b/>
          <w:i/>
          <w:szCs w:val="24"/>
        </w:rPr>
        <w:t xml:space="preserve"> </w:t>
      </w:r>
      <w:r>
        <w:rPr>
          <w:b/>
          <w:szCs w:val="24"/>
        </w:rPr>
        <w:t>2014; 48(2):175-180.</w:t>
      </w:r>
    </w:p>
    <w:p w:rsidR="00EF0205" w:rsidRDefault="00EF0205" w:rsidP="009D7EC5">
      <w:pPr>
        <w:autoSpaceDE w:val="0"/>
        <w:autoSpaceDN w:val="0"/>
        <w:adjustRightInd w:val="0"/>
        <w:ind w:left="0"/>
        <w:rPr>
          <w:b/>
          <w:szCs w:val="24"/>
        </w:rPr>
      </w:pPr>
      <w:r>
        <w:rPr>
          <w:b/>
          <w:szCs w:val="24"/>
        </w:rPr>
        <w:t>PMID: 24747626</w:t>
      </w:r>
    </w:p>
    <w:p w:rsidR="00EF0205" w:rsidRPr="009D7EC5" w:rsidRDefault="00EF0205" w:rsidP="009D7EC5">
      <w:pPr>
        <w:autoSpaceDE w:val="0"/>
        <w:autoSpaceDN w:val="0"/>
        <w:adjustRightInd w:val="0"/>
        <w:ind w:left="0"/>
        <w:rPr>
          <w:b/>
          <w:szCs w:val="24"/>
        </w:rPr>
      </w:pPr>
    </w:p>
    <w:p w:rsidR="00FB5DBF" w:rsidRDefault="00AA32EF" w:rsidP="008A3029">
      <w:pPr>
        <w:ind w:left="0"/>
        <w:rPr>
          <w:szCs w:val="24"/>
        </w:rPr>
      </w:pPr>
      <w:r w:rsidRPr="00673CDB">
        <w:rPr>
          <w:b/>
          <w:szCs w:val="24"/>
        </w:rPr>
        <w:t xml:space="preserve">Critique author: </w:t>
      </w:r>
      <w:r w:rsidRPr="00673CDB">
        <w:rPr>
          <w:szCs w:val="24"/>
        </w:rPr>
        <w:t>Linda Metzger</w:t>
      </w:r>
      <w:r w:rsidR="00C5280C">
        <w:rPr>
          <w:szCs w:val="24"/>
        </w:rPr>
        <w:t xml:space="preserve"> </w:t>
      </w:r>
    </w:p>
    <w:p w:rsidR="00D32346" w:rsidRPr="00673CDB" w:rsidRDefault="00FB5DBF" w:rsidP="000E294B">
      <w:pPr>
        <w:ind w:left="0"/>
        <w:rPr>
          <w:szCs w:val="24"/>
        </w:rPr>
      </w:pPr>
      <w:r w:rsidRPr="00FB5DBF">
        <w:rPr>
          <w:b/>
          <w:szCs w:val="24"/>
        </w:rPr>
        <w:t>Date:</w:t>
      </w:r>
      <w:r>
        <w:rPr>
          <w:szCs w:val="24"/>
        </w:rPr>
        <w:t xml:space="preserve"> </w:t>
      </w:r>
      <w:r w:rsidR="00EF0205">
        <w:rPr>
          <w:szCs w:val="24"/>
        </w:rPr>
        <w:t>4-29</w:t>
      </w:r>
      <w:r w:rsidR="00507EB9">
        <w:rPr>
          <w:szCs w:val="24"/>
        </w:rPr>
        <w:t>-</w:t>
      </w:r>
      <w:r w:rsidR="00C01B1E">
        <w:rPr>
          <w:szCs w:val="24"/>
        </w:rPr>
        <w:t>16</w:t>
      </w:r>
    </w:p>
    <w:p w:rsidR="00A44500" w:rsidRDefault="00E22BE4" w:rsidP="008A3029">
      <w:pPr>
        <w:ind w:left="0"/>
        <w:rPr>
          <w:szCs w:val="24"/>
        </w:rPr>
      </w:pPr>
      <w:r w:rsidRPr="00673CDB">
        <w:rPr>
          <w:b/>
          <w:szCs w:val="24"/>
        </w:rPr>
        <w:t>Design:</w:t>
      </w:r>
      <w:r w:rsidR="00883422">
        <w:rPr>
          <w:szCs w:val="24"/>
        </w:rPr>
        <w:t xml:space="preserve"> Randomized </w:t>
      </w:r>
      <w:r w:rsidR="00C01B1E" w:rsidRPr="00C01B1E">
        <w:rPr>
          <w:szCs w:val="24"/>
        </w:rPr>
        <w:t>controlled</w:t>
      </w:r>
      <w:r w:rsidR="00C624BF">
        <w:rPr>
          <w:szCs w:val="24"/>
        </w:rPr>
        <w:t xml:space="preserve"> </w:t>
      </w:r>
      <w:r w:rsidR="00C01B1E" w:rsidRPr="00C01B1E">
        <w:rPr>
          <w:szCs w:val="24"/>
        </w:rPr>
        <w:t>trial</w:t>
      </w:r>
    </w:p>
    <w:p w:rsidR="00D32346" w:rsidRPr="00673CDB" w:rsidRDefault="00D32346" w:rsidP="00BF684B">
      <w:pPr>
        <w:rPr>
          <w:szCs w:val="24"/>
        </w:rPr>
      </w:pPr>
    </w:p>
    <w:p w:rsidR="001E7C69" w:rsidRDefault="002362F1" w:rsidP="00240351">
      <w:pPr>
        <w:autoSpaceDE w:val="0"/>
        <w:autoSpaceDN w:val="0"/>
        <w:adjustRightInd w:val="0"/>
        <w:ind w:left="0"/>
        <w:rPr>
          <w:szCs w:val="24"/>
        </w:rPr>
      </w:pPr>
      <w:r w:rsidRPr="00673CDB">
        <w:rPr>
          <w:b/>
          <w:szCs w:val="24"/>
        </w:rPr>
        <w:t xml:space="preserve">Objective: </w:t>
      </w:r>
      <w:r w:rsidR="00B64DFE">
        <w:rPr>
          <w:szCs w:val="24"/>
        </w:rPr>
        <w:t>T</w:t>
      </w:r>
      <w:r w:rsidR="00B64DFE" w:rsidRPr="001E7C69">
        <w:rPr>
          <w:szCs w:val="24"/>
        </w:rPr>
        <w:t xml:space="preserve">o </w:t>
      </w:r>
      <w:r w:rsidR="00B64DFE">
        <w:rPr>
          <w:szCs w:val="24"/>
        </w:rPr>
        <w:t xml:space="preserve">investigate </w:t>
      </w:r>
      <w:r w:rsidR="00B64DFE" w:rsidRPr="001E7C69">
        <w:rPr>
          <w:szCs w:val="24"/>
        </w:rPr>
        <w:t xml:space="preserve">the </w:t>
      </w:r>
      <w:r w:rsidR="00B64DFE">
        <w:rPr>
          <w:szCs w:val="24"/>
        </w:rPr>
        <w:t>effectiveness</w:t>
      </w:r>
      <w:r w:rsidR="00B64DFE" w:rsidRPr="00B964C7">
        <w:rPr>
          <w:szCs w:val="24"/>
        </w:rPr>
        <w:t xml:space="preserve"> </w:t>
      </w:r>
      <w:r w:rsidR="00B64DFE" w:rsidRPr="001E7C69">
        <w:rPr>
          <w:szCs w:val="24"/>
        </w:rPr>
        <w:t xml:space="preserve">of </w:t>
      </w:r>
      <w:r w:rsidR="0081300E">
        <w:rPr>
          <w:szCs w:val="24"/>
        </w:rPr>
        <w:t xml:space="preserve">topical glyceryl trinitrate (GTN) </w:t>
      </w:r>
      <w:r w:rsidR="00B64DFE" w:rsidRPr="001E7C69">
        <w:rPr>
          <w:szCs w:val="24"/>
        </w:rPr>
        <w:t xml:space="preserve">on </w:t>
      </w:r>
      <w:r w:rsidR="0081300E" w:rsidRPr="001E7C69">
        <w:rPr>
          <w:szCs w:val="24"/>
        </w:rPr>
        <w:t xml:space="preserve">pain </w:t>
      </w:r>
      <w:r w:rsidR="0081300E">
        <w:rPr>
          <w:szCs w:val="24"/>
        </w:rPr>
        <w:t xml:space="preserve">relief and </w:t>
      </w:r>
      <w:r w:rsidR="00B64DFE" w:rsidRPr="001E7C69">
        <w:rPr>
          <w:szCs w:val="24"/>
        </w:rPr>
        <w:t xml:space="preserve">functional </w:t>
      </w:r>
      <w:r w:rsidR="0081300E">
        <w:rPr>
          <w:szCs w:val="24"/>
        </w:rPr>
        <w:t>improvement for the treatment of lateral epicondylitis</w:t>
      </w:r>
      <w:r w:rsidR="00AC434F">
        <w:rPr>
          <w:szCs w:val="24"/>
        </w:rPr>
        <w:t xml:space="preserve"> (LE)</w:t>
      </w:r>
      <w:r w:rsidR="00B64DFE" w:rsidRPr="001E7C69">
        <w:rPr>
          <w:szCs w:val="24"/>
        </w:rPr>
        <w:t>.</w:t>
      </w:r>
    </w:p>
    <w:p w:rsidR="00B64DFE" w:rsidRDefault="00B64DFE" w:rsidP="00240351">
      <w:pPr>
        <w:autoSpaceDE w:val="0"/>
        <w:autoSpaceDN w:val="0"/>
        <w:adjustRightInd w:val="0"/>
        <w:ind w:left="0"/>
        <w:rPr>
          <w:szCs w:val="24"/>
        </w:rPr>
      </w:pPr>
    </w:p>
    <w:p w:rsidR="008D264D" w:rsidRPr="00240351" w:rsidRDefault="00053CA3" w:rsidP="008A3029">
      <w:pPr>
        <w:autoSpaceDE w:val="0"/>
        <w:autoSpaceDN w:val="0"/>
        <w:adjustRightInd w:val="0"/>
        <w:ind w:left="0"/>
        <w:rPr>
          <w:szCs w:val="24"/>
        </w:rPr>
      </w:pPr>
      <w:r>
        <w:rPr>
          <w:b/>
          <w:szCs w:val="24"/>
        </w:rPr>
        <w:t>Population /sample size/setting:</w:t>
      </w:r>
    </w:p>
    <w:p w:rsidR="00053CA3" w:rsidRPr="008934D9" w:rsidRDefault="00053CA3" w:rsidP="008A3029">
      <w:pPr>
        <w:autoSpaceDE w:val="0"/>
        <w:autoSpaceDN w:val="0"/>
        <w:adjustRightInd w:val="0"/>
        <w:ind w:left="0"/>
        <w:rPr>
          <w:b/>
          <w:szCs w:val="24"/>
        </w:rPr>
      </w:pPr>
    </w:p>
    <w:p w:rsidR="001A76C1" w:rsidRPr="001A76C1" w:rsidRDefault="009423EE" w:rsidP="00285BD2">
      <w:pPr>
        <w:pStyle w:val="ListParagraph"/>
        <w:numPr>
          <w:ilvl w:val="0"/>
          <w:numId w:val="7"/>
        </w:numPr>
        <w:rPr>
          <w:szCs w:val="24"/>
        </w:rPr>
      </w:pPr>
      <w:r w:rsidRPr="001A76C1">
        <w:rPr>
          <w:szCs w:val="24"/>
        </w:rPr>
        <w:t xml:space="preserve">A total of </w:t>
      </w:r>
      <w:r w:rsidR="001A76C1" w:rsidRPr="001A76C1">
        <w:rPr>
          <w:szCs w:val="24"/>
        </w:rPr>
        <w:t>40</w:t>
      </w:r>
      <w:r w:rsidR="00C921F0" w:rsidRPr="001A76C1">
        <w:rPr>
          <w:szCs w:val="24"/>
        </w:rPr>
        <w:t xml:space="preserve"> </w:t>
      </w:r>
      <w:r w:rsidR="003F07BB" w:rsidRPr="001A76C1">
        <w:rPr>
          <w:szCs w:val="24"/>
        </w:rPr>
        <w:t>partici</w:t>
      </w:r>
      <w:r w:rsidR="001A76C1" w:rsidRPr="001A76C1">
        <w:rPr>
          <w:szCs w:val="24"/>
        </w:rPr>
        <w:t>pants including 12 females and 2</w:t>
      </w:r>
      <w:r w:rsidR="003F07BB" w:rsidRPr="001A76C1">
        <w:rPr>
          <w:szCs w:val="24"/>
        </w:rPr>
        <w:t>8</w:t>
      </w:r>
      <w:r w:rsidR="004226C3" w:rsidRPr="001A76C1">
        <w:rPr>
          <w:szCs w:val="24"/>
        </w:rPr>
        <w:t xml:space="preserve"> males</w:t>
      </w:r>
      <w:r w:rsidR="0002604B" w:rsidRPr="001A76C1">
        <w:rPr>
          <w:szCs w:val="24"/>
        </w:rPr>
        <w:t>,</w:t>
      </w:r>
      <w:r w:rsidR="004226C3" w:rsidRPr="001A76C1">
        <w:rPr>
          <w:szCs w:val="24"/>
        </w:rPr>
        <w:t xml:space="preserve"> </w:t>
      </w:r>
      <w:r w:rsidR="00305931" w:rsidRPr="001A76C1">
        <w:rPr>
          <w:szCs w:val="24"/>
        </w:rPr>
        <w:t>(</w:t>
      </w:r>
      <w:r w:rsidRPr="001A76C1">
        <w:rPr>
          <w:bCs/>
        </w:rPr>
        <w:t xml:space="preserve">mean age </w:t>
      </w:r>
      <w:r w:rsidR="001A76C1" w:rsidRPr="001A76C1">
        <w:rPr>
          <w:bCs/>
        </w:rPr>
        <w:t>43.2</w:t>
      </w:r>
      <w:r w:rsidR="0093743D" w:rsidRPr="001A76C1">
        <w:rPr>
          <w:bCs/>
        </w:rPr>
        <w:t xml:space="preserve"> </w:t>
      </w:r>
      <w:r w:rsidR="00305931" w:rsidRPr="001A76C1">
        <w:rPr>
          <w:bCs/>
        </w:rPr>
        <w:t>years)</w:t>
      </w:r>
      <w:r w:rsidR="00305931" w:rsidRPr="001A76C1">
        <w:rPr>
          <w:szCs w:val="24"/>
        </w:rPr>
        <w:t xml:space="preserve"> with </w:t>
      </w:r>
      <w:r w:rsidR="001A76C1" w:rsidRPr="001A76C1">
        <w:rPr>
          <w:szCs w:val="24"/>
        </w:rPr>
        <w:t xml:space="preserve">a diagnosis </w:t>
      </w:r>
      <w:r w:rsidR="00305931" w:rsidRPr="001A76C1">
        <w:rPr>
          <w:szCs w:val="24"/>
        </w:rPr>
        <w:t xml:space="preserve">of </w:t>
      </w:r>
      <w:r w:rsidR="0093743D" w:rsidRPr="001A76C1">
        <w:rPr>
          <w:szCs w:val="24"/>
        </w:rPr>
        <w:t xml:space="preserve">lateral epicondylitis </w:t>
      </w:r>
      <w:r w:rsidR="00305931" w:rsidRPr="001A76C1">
        <w:rPr>
          <w:szCs w:val="24"/>
        </w:rPr>
        <w:t xml:space="preserve">were </w:t>
      </w:r>
      <w:r w:rsidR="001A76C1" w:rsidRPr="001A76C1">
        <w:rPr>
          <w:szCs w:val="24"/>
        </w:rPr>
        <w:t xml:space="preserve">selected </w:t>
      </w:r>
      <w:r w:rsidR="00860A2D">
        <w:rPr>
          <w:szCs w:val="24"/>
        </w:rPr>
        <w:t xml:space="preserve">based on the presence of tenderness, pain, and positive pain stimulating maneuvers </w:t>
      </w:r>
      <w:r w:rsidR="001A76C1" w:rsidRPr="001A76C1">
        <w:rPr>
          <w:szCs w:val="24"/>
        </w:rPr>
        <w:t>between 2009 and 2011.</w:t>
      </w:r>
    </w:p>
    <w:p w:rsidR="00305931" w:rsidRPr="00EC2FD4" w:rsidRDefault="0086052B" w:rsidP="00285BD2">
      <w:pPr>
        <w:pStyle w:val="ListParagraph"/>
        <w:numPr>
          <w:ilvl w:val="0"/>
          <w:numId w:val="7"/>
        </w:numPr>
        <w:rPr>
          <w:szCs w:val="24"/>
        </w:rPr>
      </w:pPr>
      <w:r w:rsidRPr="00EC2FD4">
        <w:rPr>
          <w:szCs w:val="24"/>
        </w:rPr>
        <w:t xml:space="preserve">The </w:t>
      </w:r>
      <w:r w:rsidR="001A76C1" w:rsidRPr="00EC2FD4">
        <w:rPr>
          <w:szCs w:val="24"/>
        </w:rPr>
        <w:t>40</w:t>
      </w:r>
      <w:r w:rsidR="00053CA3" w:rsidRPr="00EC2FD4">
        <w:rPr>
          <w:szCs w:val="24"/>
        </w:rPr>
        <w:t xml:space="preserve"> </w:t>
      </w:r>
      <w:r w:rsidR="00305931" w:rsidRPr="00EC2FD4">
        <w:rPr>
          <w:szCs w:val="24"/>
        </w:rPr>
        <w:t xml:space="preserve">patients were randomly assigned </w:t>
      </w:r>
      <w:r w:rsidR="001A76C1" w:rsidRPr="00EC2FD4">
        <w:rPr>
          <w:szCs w:val="24"/>
        </w:rPr>
        <w:t>in</w:t>
      </w:r>
      <w:r w:rsidR="00305931" w:rsidRPr="00EC2FD4">
        <w:rPr>
          <w:szCs w:val="24"/>
        </w:rPr>
        <w:t>to one of</w:t>
      </w:r>
      <w:r w:rsidR="0093743D" w:rsidRPr="00EC2FD4">
        <w:rPr>
          <w:szCs w:val="24"/>
        </w:rPr>
        <w:t xml:space="preserve"> 2</w:t>
      </w:r>
      <w:r w:rsidRPr="00EC2FD4">
        <w:rPr>
          <w:szCs w:val="24"/>
        </w:rPr>
        <w:t xml:space="preserve"> </w:t>
      </w:r>
      <w:r w:rsidR="0031308E" w:rsidRPr="00EC2FD4">
        <w:rPr>
          <w:szCs w:val="24"/>
        </w:rPr>
        <w:t>groups.</w:t>
      </w:r>
      <w:r w:rsidR="00730FDE" w:rsidRPr="00EC2FD4">
        <w:rPr>
          <w:szCs w:val="24"/>
        </w:rPr>
        <w:t xml:space="preserve"> </w:t>
      </w:r>
      <w:r w:rsidR="0031308E" w:rsidRPr="00EC2FD4">
        <w:rPr>
          <w:szCs w:val="24"/>
        </w:rPr>
        <w:t xml:space="preserve">The </w:t>
      </w:r>
      <w:r w:rsidR="001A76C1" w:rsidRPr="00EC2FD4">
        <w:rPr>
          <w:szCs w:val="24"/>
        </w:rPr>
        <w:t xml:space="preserve">topical glyceryl trinitrate (GTN) </w:t>
      </w:r>
      <w:r w:rsidR="0002604B" w:rsidRPr="00EC2FD4">
        <w:rPr>
          <w:szCs w:val="24"/>
        </w:rPr>
        <w:t xml:space="preserve">group </w:t>
      </w:r>
      <w:r w:rsidR="0031308E" w:rsidRPr="00EC2FD4">
        <w:rPr>
          <w:szCs w:val="24"/>
        </w:rPr>
        <w:t>(n = 20</w:t>
      </w:r>
      <w:r w:rsidR="00730FDE" w:rsidRPr="00EC2FD4">
        <w:rPr>
          <w:szCs w:val="24"/>
        </w:rPr>
        <w:t>)</w:t>
      </w:r>
      <w:r w:rsidR="001A76C1" w:rsidRPr="00EC2FD4">
        <w:rPr>
          <w:szCs w:val="24"/>
        </w:rPr>
        <w:t xml:space="preserve"> received GTN transdermal patches that delivered 1.25 mg </w:t>
      </w:r>
      <w:r w:rsidR="00EC2FD4" w:rsidRPr="00EC2FD4">
        <w:rPr>
          <w:szCs w:val="24"/>
        </w:rPr>
        <w:t xml:space="preserve">of </w:t>
      </w:r>
      <w:r w:rsidR="001A76C1" w:rsidRPr="00EC2FD4">
        <w:rPr>
          <w:szCs w:val="24"/>
        </w:rPr>
        <w:t>GTN every 24 hours.</w:t>
      </w:r>
      <w:r w:rsidR="0031308E" w:rsidRPr="00EC2FD4">
        <w:rPr>
          <w:szCs w:val="24"/>
        </w:rPr>
        <w:t xml:space="preserve"> The control group </w:t>
      </w:r>
      <w:r w:rsidR="00285BD2" w:rsidRPr="00EC2FD4">
        <w:rPr>
          <w:szCs w:val="24"/>
        </w:rPr>
        <w:t>(n=2</w:t>
      </w:r>
      <w:r w:rsidR="001A76C1" w:rsidRPr="00EC2FD4">
        <w:rPr>
          <w:szCs w:val="24"/>
        </w:rPr>
        <w:t>0</w:t>
      </w:r>
      <w:r w:rsidR="0031308E" w:rsidRPr="00EC2FD4">
        <w:rPr>
          <w:szCs w:val="24"/>
        </w:rPr>
        <w:t>)</w:t>
      </w:r>
      <w:r w:rsidR="00285BD2" w:rsidRPr="00EC2FD4">
        <w:rPr>
          <w:szCs w:val="24"/>
        </w:rPr>
        <w:t xml:space="preserve"> </w:t>
      </w:r>
      <w:r w:rsidR="00EC2FD4" w:rsidRPr="00EC2FD4">
        <w:rPr>
          <w:szCs w:val="24"/>
        </w:rPr>
        <w:t xml:space="preserve">received placebo patches </w:t>
      </w:r>
      <w:r w:rsidR="0031308E" w:rsidRPr="00EC2FD4">
        <w:rPr>
          <w:szCs w:val="24"/>
        </w:rPr>
        <w:t xml:space="preserve">without </w:t>
      </w:r>
      <w:r w:rsidR="00EC2FD4" w:rsidRPr="00EC2FD4">
        <w:rPr>
          <w:szCs w:val="24"/>
        </w:rPr>
        <w:t>GTN.</w:t>
      </w:r>
    </w:p>
    <w:p w:rsidR="00EC2FD4" w:rsidRPr="00EC2FD4" w:rsidRDefault="002D31E6" w:rsidP="00285BD2">
      <w:pPr>
        <w:pStyle w:val="ListParagraph"/>
        <w:numPr>
          <w:ilvl w:val="0"/>
          <w:numId w:val="1"/>
        </w:numPr>
        <w:spacing w:after="200"/>
        <w:rPr>
          <w:szCs w:val="24"/>
        </w:rPr>
      </w:pPr>
      <w:r w:rsidRPr="00EC2FD4">
        <w:rPr>
          <w:szCs w:val="24"/>
        </w:rPr>
        <w:t xml:space="preserve">Inclusion criteria included </w:t>
      </w:r>
      <w:r w:rsidR="00EC2FD4" w:rsidRPr="00EC2FD4">
        <w:rPr>
          <w:szCs w:val="24"/>
        </w:rPr>
        <w:t xml:space="preserve">symptoms of more than 3 months, resisted wrist extension, tenderness and </w:t>
      </w:r>
      <w:r w:rsidR="00285BD2" w:rsidRPr="00EC2FD4">
        <w:rPr>
          <w:szCs w:val="24"/>
        </w:rPr>
        <w:t>pain around the lateral epicondyle</w:t>
      </w:r>
      <w:r w:rsidR="00EC2FD4" w:rsidRPr="00EC2FD4">
        <w:rPr>
          <w:szCs w:val="24"/>
        </w:rPr>
        <w:t>,</w:t>
      </w:r>
      <w:r w:rsidR="00285BD2" w:rsidRPr="00EC2FD4">
        <w:rPr>
          <w:szCs w:val="24"/>
        </w:rPr>
        <w:t xml:space="preserve"> </w:t>
      </w:r>
      <w:r w:rsidR="00EC2FD4" w:rsidRPr="00EC2FD4">
        <w:rPr>
          <w:szCs w:val="24"/>
        </w:rPr>
        <w:t xml:space="preserve">positive tennis elbow pain test (Mill’s Sign), and positive chair lift test. </w:t>
      </w:r>
    </w:p>
    <w:p w:rsidR="00860A2D" w:rsidRDefault="00F60CAF" w:rsidP="00860A2D">
      <w:pPr>
        <w:pStyle w:val="ListParagraph"/>
        <w:numPr>
          <w:ilvl w:val="0"/>
          <w:numId w:val="1"/>
        </w:numPr>
        <w:spacing w:after="200"/>
        <w:rPr>
          <w:szCs w:val="24"/>
        </w:rPr>
      </w:pPr>
      <w:r w:rsidRPr="00EC2FD4">
        <w:rPr>
          <w:szCs w:val="24"/>
        </w:rPr>
        <w:t>Exclusion criteria included</w:t>
      </w:r>
      <w:r w:rsidR="00FD40C4" w:rsidRPr="00EC2FD4">
        <w:rPr>
          <w:szCs w:val="24"/>
        </w:rPr>
        <w:t xml:space="preserve"> </w:t>
      </w:r>
      <w:r w:rsidR="00860A2D">
        <w:rPr>
          <w:szCs w:val="24"/>
        </w:rPr>
        <w:t xml:space="preserve">inconclusive diagnosis of LE, neurologic deficits, coexisting arthritis, medial epicondylitis, </w:t>
      </w:r>
      <w:r w:rsidR="00EC2FD4">
        <w:rPr>
          <w:szCs w:val="24"/>
        </w:rPr>
        <w:t xml:space="preserve">effusion of the elbow, radiculopathy from the cervical spine, </w:t>
      </w:r>
      <w:r w:rsidR="00285BD2" w:rsidRPr="00EC2FD4">
        <w:rPr>
          <w:szCs w:val="24"/>
        </w:rPr>
        <w:t>previous surgery</w:t>
      </w:r>
      <w:r w:rsidR="00EC2FD4">
        <w:rPr>
          <w:szCs w:val="24"/>
        </w:rPr>
        <w:t xml:space="preserve"> </w:t>
      </w:r>
      <w:r w:rsidR="00860A2D">
        <w:rPr>
          <w:szCs w:val="24"/>
        </w:rPr>
        <w:t xml:space="preserve">for LE, </w:t>
      </w:r>
      <w:r w:rsidR="00285BD2" w:rsidRPr="00EC2FD4">
        <w:rPr>
          <w:szCs w:val="24"/>
        </w:rPr>
        <w:t xml:space="preserve">entrapment of </w:t>
      </w:r>
      <w:r w:rsidR="00EC2FD4">
        <w:rPr>
          <w:szCs w:val="24"/>
        </w:rPr>
        <w:t>the ulnar nerve, periarticular fracture, infection, abnormal erythrocyte sedimentat</w:t>
      </w:r>
      <w:r w:rsidR="00860A2D">
        <w:rPr>
          <w:szCs w:val="24"/>
        </w:rPr>
        <w:t>ion rate, and  previous injections.</w:t>
      </w:r>
    </w:p>
    <w:p w:rsidR="00285BD2" w:rsidRPr="00285BD2" w:rsidRDefault="00860A2D" w:rsidP="00860A2D">
      <w:pPr>
        <w:pStyle w:val="ListParagraph"/>
        <w:spacing w:after="200"/>
        <w:ind w:left="720"/>
        <w:rPr>
          <w:szCs w:val="24"/>
        </w:rPr>
      </w:pPr>
      <w:r w:rsidRPr="00285BD2">
        <w:rPr>
          <w:szCs w:val="24"/>
        </w:rPr>
        <w:t xml:space="preserve"> </w:t>
      </w:r>
    </w:p>
    <w:p w:rsidR="00756C4C" w:rsidRDefault="00FB5DBF" w:rsidP="001D7B91">
      <w:pPr>
        <w:pStyle w:val="ListParagraph"/>
        <w:spacing w:after="200"/>
        <w:ind w:left="0"/>
        <w:rPr>
          <w:rFonts w:cs="Times New Roman"/>
          <w:b/>
          <w:szCs w:val="24"/>
        </w:rPr>
      </w:pPr>
      <w:r w:rsidRPr="001D7B91">
        <w:rPr>
          <w:rFonts w:cs="Times New Roman"/>
          <w:b/>
          <w:szCs w:val="24"/>
        </w:rPr>
        <w:t>Methods</w:t>
      </w:r>
      <w:r>
        <w:rPr>
          <w:rFonts w:cs="Times New Roman"/>
          <w:b/>
          <w:szCs w:val="24"/>
        </w:rPr>
        <w:t>/</w:t>
      </w:r>
      <w:r w:rsidR="002A0E04" w:rsidRPr="001D7B91">
        <w:rPr>
          <w:rFonts w:cs="Times New Roman"/>
          <w:b/>
          <w:szCs w:val="24"/>
        </w:rPr>
        <w:t>Interventions</w:t>
      </w:r>
      <w:r w:rsidR="000B76E6" w:rsidRPr="001D7B91">
        <w:rPr>
          <w:rFonts w:cs="Times New Roman"/>
          <w:b/>
          <w:szCs w:val="24"/>
        </w:rPr>
        <w:t>/</w:t>
      </w:r>
      <w:r>
        <w:rPr>
          <w:rFonts w:cs="Times New Roman"/>
          <w:b/>
          <w:szCs w:val="24"/>
        </w:rPr>
        <w:t>Outcome Measures</w:t>
      </w:r>
      <w:r w:rsidR="002A0E04" w:rsidRPr="001D7B91">
        <w:rPr>
          <w:rFonts w:cs="Times New Roman"/>
          <w:b/>
          <w:szCs w:val="24"/>
        </w:rPr>
        <w:t>:</w:t>
      </w:r>
    </w:p>
    <w:p w:rsidR="00DD1E46" w:rsidRDefault="00DD1E46" w:rsidP="001D7B91">
      <w:pPr>
        <w:pStyle w:val="ListParagraph"/>
        <w:spacing w:after="200"/>
        <w:ind w:left="0"/>
        <w:rPr>
          <w:rFonts w:cs="Times New Roman"/>
          <w:b/>
          <w:szCs w:val="24"/>
        </w:rPr>
      </w:pPr>
    </w:p>
    <w:p w:rsidR="00AD6585" w:rsidRDefault="00DD1E46" w:rsidP="00315686">
      <w:pPr>
        <w:pStyle w:val="ListParagraph"/>
        <w:numPr>
          <w:ilvl w:val="0"/>
          <w:numId w:val="2"/>
        </w:numPr>
        <w:spacing w:after="200"/>
        <w:rPr>
          <w:rFonts w:cs="Times New Roman"/>
          <w:szCs w:val="24"/>
        </w:rPr>
      </w:pPr>
      <w:r w:rsidRPr="00F45B9C">
        <w:rPr>
          <w:rFonts w:cs="Times New Roman"/>
          <w:szCs w:val="24"/>
        </w:rPr>
        <w:t xml:space="preserve">Study design was a randomized, </w:t>
      </w:r>
      <w:r w:rsidR="00F45B9C" w:rsidRPr="00F45B9C">
        <w:rPr>
          <w:rFonts w:cs="Times New Roman"/>
          <w:szCs w:val="24"/>
        </w:rPr>
        <w:t>double</w:t>
      </w:r>
      <w:r w:rsidRPr="00F45B9C">
        <w:rPr>
          <w:rFonts w:cs="Times New Roman"/>
          <w:szCs w:val="24"/>
        </w:rPr>
        <w:t>-blind study</w:t>
      </w:r>
      <w:r w:rsidR="00C15BB2" w:rsidRPr="00F45B9C">
        <w:rPr>
          <w:rFonts w:cs="Times New Roman"/>
          <w:szCs w:val="24"/>
        </w:rPr>
        <w:t xml:space="preserve"> with 6</w:t>
      </w:r>
      <w:r w:rsidR="008D3D58" w:rsidRPr="00F45B9C">
        <w:rPr>
          <w:rFonts w:cs="Times New Roman"/>
          <w:szCs w:val="24"/>
        </w:rPr>
        <w:t xml:space="preserve"> </w:t>
      </w:r>
      <w:r w:rsidR="00F45B9C" w:rsidRPr="00F45B9C">
        <w:rPr>
          <w:rFonts w:cs="Times New Roman"/>
          <w:szCs w:val="24"/>
        </w:rPr>
        <w:t>month</w:t>
      </w:r>
      <w:r w:rsidR="008D3D58" w:rsidRPr="00F45B9C">
        <w:rPr>
          <w:rFonts w:cs="Times New Roman"/>
          <w:szCs w:val="24"/>
        </w:rPr>
        <w:t>s of follow-up</w:t>
      </w:r>
      <w:r w:rsidRPr="00F45B9C">
        <w:rPr>
          <w:rFonts w:cs="Times New Roman"/>
          <w:szCs w:val="24"/>
        </w:rPr>
        <w:t xml:space="preserve">. </w:t>
      </w:r>
      <w:r w:rsidR="00F45B9C">
        <w:rPr>
          <w:rFonts w:cs="Times New Roman"/>
          <w:szCs w:val="24"/>
        </w:rPr>
        <w:t>Investigators and patients were blinded to which patch was given to the patient.</w:t>
      </w:r>
    </w:p>
    <w:p w:rsidR="00F45B9C" w:rsidRPr="008A5FD6" w:rsidRDefault="00F45B9C" w:rsidP="00315686">
      <w:pPr>
        <w:pStyle w:val="ListParagraph"/>
        <w:numPr>
          <w:ilvl w:val="0"/>
          <w:numId w:val="2"/>
        </w:numPr>
        <w:spacing w:after="200"/>
        <w:rPr>
          <w:rFonts w:cs="Times New Roman"/>
          <w:szCs w:val="24"/>
        </w:rPr>
      </w:pPr>
      <w:r>
        <w:rPr>
          <w:rFonts w:cs="Times New Roman"/>
          <w:szCs w:val="24"/>
        </w:rPr>
        <w:t xml:space="preserve">The GTN group received GTN transdermal patches that delivered 1.25 mg of GTN every 24 hours that were applied to the area of maximal tenderness once a day. </w:t>
      </w:r>
      <w:r w:rsidR="008A5FD6">
        <w:rPr>
          <w:rFonts w:cs="Times New Roman"/>
          <w:szCs w:val="24"/>
        </w:rPr>
        <w:t xml:space="preserve">The control group received placebo patches that were applied in the same manner. Patches were worn until the symptoms subsided or until the study ended at 6 </w:t>
      </w:r>
      <w:r w:rsidR="008A5FD6" w:rsidRPr="008A5FD6">
        <w:rPr>
          <w:rFonts w:cs="Times New Roman"/>
          <w:szCs w:val="24"/>
        </w:rPr>
        <w:t>months. Subjects were also instructed to avoid activities that increased their pain.</w:t>
      </w:r>
    </w:p>
    <w:p w:rsidR="00F45B9C" w:rsidRPr="003F748C" w:rsidRDefault="00F45B9C" w:rsidP="00315686">
      <w:pPr>
        <w:pStyle w:val="ListParagraph"/>
        <w:numPr>
          <w:ilvl w:val="0"/>
          <w:numId w:val="2"/>
        </w:numPr>
        <w:spacing w:after="200"/>
        <w:rPr>
          <w:rFonts w:cs="Times New Roman"/>
          <w:szCs w:val="24"/>
        </w:rPr>
      </w:pPr>
      <w:r>
        <w:rPr>
          <w:rFonts w:cs="Times New Roman"/>
          <w:szCs w:val="24"/>
        </w:rPr>
        <w:t xml:space="preserve">Both groups were instructed to perform a standard </w:t>
      </w:r>
      <w:r w:rsidRPr="003F748C">
        <w:rPr>
          <w:rFonts w:cs="Times New Roman"/>
          <w:szCs w:val="24"/>
        </w:rPr>
        <w:t>tendon rehabilitation program.</w:t>
      </w:r>
    </w:p>
    <w:p w:rsidR="008A5FD6" w:rsidRDefault="008A5FD6" w:rsidP="00315686">
      <w:pPr>
        <w:pStyle w:val="ListParagraph"/>
        <w:numPr>
          <w:ilvl w:val="0"/>
          <w:numId w:val="2"/>
        </w:numPr>
        <w:spacing w:after="200"/>
        <w:rPr>
          <w:rFonts w:cs="Times New Roman"/>
          <w:szCs w:val="24"/>
        </w:rPr>
      </w:pPr>
      <w:r w:rsidRPr="003F748C">
        <w:rPr>
          <w:rFonts w:cs="Times New Roman"/>
          <w:szCs w:val="24"/>
        </w:rPr>
        <w:t xml:space="preserve">Clinical history and physical examination were performed </w:t>
      </w:r>
      <w:r w:rsidR="003F748C" w:rsidRPr="003F748C">
        <w:rPr>
          <w:rFonts w:cs="Times New Roman"/>
          <w:szCs w:val="24"/>
        </w:rPr>
        <w:t xml:space="preserve">before treatment </w:t>
      </w:r>
      <w:r w:rsidRPr="003F748C">
        <w:rPr>
          <w:rFonts w:cs="Times New Roman"/>
          <w:szCs w:val="24"/>
        </w:rPr>
        <w:t>at baseline</w:t>
      </w:r>
      <w:r>
        <w:rPr>
          <w:rFonts w:cs="Times New Roman"/>
          <w:szCs w:val="24"/>
        </w:rPr>
        <w:t>. The primary outcome measure was the visual analog</w:t>
      </w:r>
      <w:r w:rsidR="003F748C">
        <w:rPr>
          <w:rFonts w:cs="Times New Roman"/>
          <w:szCs w:val="24"/>
        </w:rPr>
        <w:t>ue</w:t>
      </w:r>
      <w:r>
        <w:rPr>
          <w:rFonts w:cs="Times New Roman"/>
          <w:szCs w:val="24"/>
        </w:rPr>
        <w:t xml:space="preserve"> scale (VAS)</w:t>
      </w:r>
      <w:r w:rsidR="003F748C">
        <w:rPr>
          <w:rFonts w:cs="Times New Roman"/>
          <w:szCs w:val="24"/>
        </w:rPr>
        <w:t>,</w:t>
      </w:r>
      <w:r>
        <w:rPr>
          <w:rFonts w:cs="Times New Roman"/>
          <w:szCs w:val="24"/>
        </w:rPr>
        <w:t xml:space="preserve"> a 10 point scale assessed at baseline and at 3 weeks and 6 month follow-ups. Secondary outcomes include</w:t>
      </w:r>
      <w:r w:rsidR="00A77E4D">
        <w:rPr>
          <w:rFonts w:cs="Times New Roman"/>
          <w:szCs w:val="24"/>
        </w:rPr>
        <w:t>d</w:t>
      </w:r>
      <w:r>
        <w:rPr>
          <w:rFonts w:cs="Times New Roman"/>
          <w:szCs w:val="24"/>
        </w:rPr>
        <w:t xml:space="preserve"> grip strength and </w:t>
      </w:r>
      <w:r w:rsidR="00A77E4D">
        <w:rPr>
          <w:rFonts w:cs="Times New Roman"/>
          <w:szCs w:val="24"/>
        </w:rPr>
        <w:t>treatment success. Treatment success was subjectively rated by the patient as excellent, good, fair, or poor. Treatment was considered successful when the patient had an excellent or good score.</w:t>
      </w:r>
    </w:p>
    <w:p w:rsidR="00A77E4D" w:rsidRPr="003F748C" w:rsidRDefault="003F748C" w:rsidP="00315686">
      <w:pPr>
        <w:pStyle w:val="ListParagraph"/>
        <w:numPr>
          <w:ilvl w:val="0"/>
          <w:numId w:val="2"/>
        </w:numPr>
        <w:spacing w:after="200"/>
        <w:rPr>
          <w:rFonts w:cs="Times New Roman"/>
          <w:szCs w:val="24"/>
        </w:rPr>
      </w:pPr>
      <w:r>
        <w:rPr>
          <w:rFonts w:cs="Times New Roman"/>
          <w:szCs w:val="24"/>
        </w:rPr>
        <w:t xml:space="preserve">Sample size was based on a power calculation that showed that 20 patients per group were necessary to achieve 80% power with a </w:t>
      </w:r>
      <w:r w:rsidRPr="003F748C">
        <w:rPr>
          <w:rFonts w:cs="Times New Roman"/>
          <w:szCs w:val="24"/>
        </w:rPr>
        <w:t xml:space="preserve">significance level of P </w:t>
      </w:r>
      <w:r w:rsidRPr="003F748C">
        <w:rPr>
          <w:rFonts w:cs="Times New Roman"/>
          <w:szCs w:val="24"/>
          <w:u w:val="single"/>
        </w:rPr>
        <w:t>&lt;</w:t>
      </w:r>
      <w:r w:rsidRPr="003F748C">
        <w:rPr>
          <w:rFonts w:cs="Times New Roman"/>
          <w:szCs w:val="24"/>
        </w:rPr>
        <w:t xml:space="preserve"> 0.05.</w:t>
      </w:r>
    </w:p>
    <w:p w:rsidR="00315686" w:rsidRPr="00753994" w:rsidRDefault="000A6DB0" w:rsidP="00315686">
      <w:pPr>
        <w:spacing w:after="200"/>
        <w:ind w:left="0"/>
        <w:rPr>
          <w:rFonts w:cs="Times New Roman"/>
          <w:b/>
          <w:color w:val="auto"/>
          <w:szCs w:val="24"/>
        </w:rPr>
      </w:pPr>
      <w:r w:rsidRPr="00753994">
        <w:rPr>
          <w:rFonts w:cs="Times New Roman"/>
          <w:b/>
          <w:szCs w:val="24"/>
        </w:rPr>
        <w:lastRenderedPageBreak/>
        <w:t>Results</w:t>
      </w:r>
      <w:r w:rsidR="00C57626" w:rsidRPr="00753994">
        <w:rPr>
          <w:rFonts w:cs="Times New Roman"/>
          <w:b/>
          <w:szCs w:val="24"/>
        </w:rPr>
        <w:t>:</w:t>
      </w:r>
    </w:p>
    <w:p w:rsidR="00753994" w:rsidRDefault="00315686" w:rsidP="00315686">
      <w:pPr>
        <w:pStyle w:val="ListParagraph"/>
        <w:numPr>
          <w:ilvl w:val="0"/>
          <w:numId w:val="8"/>
        </w:numPr>
        <w:rPr>
          <w:rFonts w:cs="Times New Roman"/>
          <w:color w:val="auto"/>
          <w:szCs w:val="24"/>
        </w:rPr>
      </w:pPr>
      <w:r w:rsidRPr="007A2677">
        <w:rPr>
          <w:rFonts w:cs="Times New Roman"/>
          <w:color w:val="auto"/>
          <w:szCs w:val="24"/>
        </w:rPr>
        <w:t xml:space="preserve">No significant differences </w:t>
      </w:r>
      <w:r w:rsidR="00696239" w:rsidRPr="007A2677">
        <w:rPr>
          <w:rFonts w:cs="Times New Roman"/>
          <w:color w:val="auto"/>
          <w:szCs w:val="24"/>
        </w:rPr>
        <w:t xml:space="preserve">or clinically meaningful differences </w:t>
      </w:r>
      <w:r w:rsidRPr="007A2677">
        <w:rPr>
          <w:rFonts w:cs="Times New Roman"/>
          <w:color w:val="auto"/>
          <w:szCs w:val="24"/>
        </w:rPr>
        <w:t xml:space="preserve">were observed between the </w:t>
      </w:r>
      <w:r w:rsidR="00696239" w:rsidRPr="007A2677">
        <w:rPr>
          <w:rFonts w:cs="Times New Roman"/>
          <w:color w:val="auto"/>
          <w:szCs w:val="24"/>
        </w:rPr>
        <w:t xml:space="preserve">2 </w:t>
      </w:r>
      <w:r w:rsidRPr="007A2677">
        <w:rPr>
          <w:rFonts w:cs="Times New Roman"/>
          <w:color w:val="auto"/>
          <w:szCs w:val="24"/>
        </w:rPr>
        <w:t xml:space="preserve">groups </w:t>
      </w:r>
      <w:r w:rsidR="00696239" w:rsidRPr="007A2677">
        <w:rPr>
          <w:rFonts w:cs="Times New Roman"/>
          <w:color w:val="auto"/>
          <w:szCs w:val="24"/>
        </w:rPr>
        <w:t xml:space="preserve">at baseline </w:t>
      </w:r>
      <w:r w:rsidRPr="007A2677">
        <w:rPr>
          <w:rFonts w:cs="Times New Roman"/>
          <w:color w:val="auto"/>
          <w:szCs w:val="24"/>
        </w:rPr>
        <w:t>for</w:t>
      </w:r>
      <w:r w:rsidR="007A2677" w:rsidRPr="007A2677">
        <w:rPr>
          <w:rFonts w:cs="Times New Roman"/>
          <w:color w:val="auto"/>
          <w:szCs w:val="24"/>
        </w:rPr>
        <w:t xml:space="preserve"> gender, mean age, dominant extremity, duration of symptoms, or VAS score</w:t>
      </w:r>
      <w:r w:rsidRPr="007A2677">
        <w:rPr>
          <w:rFonts w:cs="Times New Roman"/>
          <w:color w:val="auto"/>
          <w:szCs w:val="24"/>
        </w:rPr>
        <w:t xml:space="preserve">. </w:t>
      </w:r>
    </w:p>
    <w:p w:rsidR="007A2677" w:rsidRDefault="007A2677" w:rsidP="00315686">
      <w:pPr>
        <w:pStyle w:val="ListParagraph"/>
        <w:numPr>
          <w:ilvl w:val="0"/>
          <w:numId w:val="8"/>
        </w:numPr>
        <w:rPr>
          <w:rFonts w:cs="Times New Roman"/>
          <w:color w:val="auto"/>
          <w:szCs w:val="24"/>
        </w:rPr>
      </w:pPr>
      <w:r>
        <w:rPr>
          <w:rFonts w:cs="Times New Roman"/>
          <w:color w:val="auto"/>
          <w:szCs w:val="24"/>
        </w:rPr>
        <w:t>For within group comparisons, patients in both groups had significantly lower VAS scores and reduced elbow pain at the 3 week follow-up compared to baseline VAS scores. VAS scores in the GTN group decreas</w:t>
      </w:r>
      <w:r w:rsidR="008D3982">
        <w:rPr>
          <w:rFonts w:cs="Times New Roman"/>
          <w:color w:val="auto"/>
          <w:szCs w:val="24"/>
        </w:rPr>
        <w:t>ed from 8.05 to 3.15 and in the control group from 8.80 to 6.45. VAS scores continued to decrease in both groups at the 6 month follow-up. The GTN group decreased further to 0.70 and the control group to 4.85.</w:t>
      </w:r>
    </w:p>
    <w:p w:rsidR="0009532E" w:rsidRDefault="005E1416" w:rsidP="00315686">
      <w:pPr>
        <w:pStyle w:val="ListParagraph"/>
        <w:numPr>
          <w:ilvl w:val="0"/>
          <w:numId w:val="8"/>
        </w:numPr>
        <w:rPr>
          <w:rFonts w:cs="Times New Roman"/>
          <w:color w:val="auto"/>
          <w:szCs w:val="24"/>
        </w:rPr>
      </w:pPr>
      <w:r>
        <w:rPr>
          <w:rFonts w:cs="Times New Roman"/>
          <w:color w:val="auto"/>
          <w:szCs w:val="24"/>
        </w:rPr>
        <w:t xml:space="preserve">For between group comparisons, </w:t>
      </w:r>
      <w:r w:rsidR="001B7A61">
        <w:rPr>
          <w:rFonts w:cs="Times New Roman"/>
          <w:color w:val="auto"/>
          <w:szCs w:val="24"/>
        </w:rPr>
        <w:t>patients in the GTN group exhibited significantly less pain at both follow-ups compared to patients in the control group. T</w:t>
      </w:r>
      <w:r>
        <w:rPr>
          <w:rFonts w:cs="Times New Roman"/>
          <w:color w:val="auto"/>
          <w:szCs w:val="24"/>
        </w:rPr>
        <w:t xml:space="preserve">here were statistically significant differences in </w:t>
      </w:r>
      <w:r w:rsidR="001B7A61">
        <w:rPr>
          <w:rFonts w:cs="Times New Roman"/>
          <w:color w:val="auto"/>
          <w:szCs w:val="24"/>
        </w:rPr>
        <w:t xml:space="preserve">mean </w:t>
      </w:r>
      <w:r>
        <w:rPr>
          <w:rFonts w:cs="Times New Roman"/>
          <w:color w:val="auto"/>
          <w:szCs w:val="24"/>
        </w:rPr>
        <w:t>VAS scores between the GTN group and the control group</w:t>
      </w:r>
      <w:r w:rsidR="001B7A61">
        <w:rPr>
          <w:rFonts w:cs="Times New Roman"/>
          <w:color w:val="auto"/>
          <w:szCs w:val="24"/>
        </w:rPr>
        <w:t xml:space="preserve"> at both the 3 week follow-up (3.15 vs 6.45, P= 0.001) and the 6 month follow-up (0.70 vs 4.85, P=0.001).</w:t>
      </w:r>
    </w:p>
    <w:p w:rsidR="008D3982" w:rsidRDefault="002D6D1C" w:rsidP="00315686">
      <w:pPr>
        <w:pStyle w:val="ListParagraph"/>
        <w:numPr>
          <w:ilvl w:val="0"/>
          <w:numId w:val="8"/>
        </w:numPr>
        <w:rPr>
          <w:rFonts w:cs="Times New Roman"/>
          <w:color w:val="auto"/>
          <w:szCs w:val="24"/>
        </w:rPr>
      </w:pPr>
      <w:r>
        <w:rPr>
          <w:rFonts w:cs="Times New Roman"/>
          <w:color w:val="auto"/>
          <w:szCs w:val="24"/>
        </w:rPr>
        <w:t>At the 3 week follow-up, no successful treatment (excellent, good) was reported in the control group. Successful treatment was reported by 18 (90%) patients in the GTN group. At the 6 month follow-up, successful treatment was reported by 3 (15%) patients in the control group, and by 19 (95%) patients in the treatment group.</w:t>
      </w:r>
    </w:p>
    <w:p w:rsidR="003E54AF" w:rsidRPr="007A2677" w:rsidRDefault="003E54AF" w:rsidP="00315686">
      <w:pPr>
        <w:pStyle w:val="ListParagraph"/>
        <w:numPr>
          <w:ilvl w:val="0"/>
          <w:numId w:val="8"/>
        </w:numPr>
        <w:rPr>
          <w:rFonts w:cs="Times New Roman"/>
          <w:color w:val="auto"/>
          <w:szCs w:val="24"/>
        </w:rPr>
      </w:pPr>
      <w:r>
        <w:rPr>
          <w:rFonts w:cs="Times New Roman"/>
          <w:color w:val="auto"/>
          <w:szCs w:val="24"/>
        </w:rPr>
        <w:t>Two patients in the control group and one patient in the GTN group were affected by headache, but no one terminated treatment due to headache. No other adverse effects were reported.</w:t>
      </w:r>
    </w:p>
    <w:p w:rsidR="00666CF8" w:rsidRPr="00146BBA" w:rsidRDefault="00666CF8" w:rsidP="00666CF8">
      <w:pPr>
        <w:pStyle w:val="ListParagraph"/>
        <w:ind w:left="720"/>
        <w:rPr>
          <w:rFonts w:cs="Times New Roman"/>
          <w:szCs w:val="24"/>
          <w:highlight w:val="yellow"/>
        </w:rPr>
      </w:pPr>
    </w:p>
    <w:p w:rsidR="005F4A8C" w:rsidRDefault="00113473" w:rsidP="00535BE1">
      <w:pPr>
        <w:ind w:left="0"/>
        <w:rPr>
          <w:rFonts w:cs="Times New Roman"/>
          <w:b/>
          <w:szCs w:val="24"/>
        </w:rPr>
      </w:pPr>
      <w:r w:rsidRPr="00AC434F">
        <w:rPr>
          <w:rFonts w:cs="Times New Roman"/>
          <w:b/>
          <w:szCs w:val="24"/>
        </w:rPr>
        <w:t>Authors’ conclusions:</w:t>
      </w:r>
    </w:p>
    <w:p w:rsidR="00B71CE4" w:rsidRDefault="00B71CE4" w:rsidP="00535BE1">
      <w:pPr>
        <w:ind w:left="0"/>
        <w:rPr>
          <w:rFonts w:cs="Times New Roman"/>
          <w:b/>
          <w:szCs w:val="24"/>
        </w:rPr>
      </w:pPr>
    </w:p>
    <w:p w:rsidR="00AC434F" w:rsidRPr="00701305" w:rsidRDefault="006F4EE2" w:rsidP="00B71CE4">
      <w:pPr>
        <w:pStyle w:val="ListParagraph"/>
        <w:numPr>
          <w:ilvl w:val="0"/>
          <w:numId w:val="22"/>
        </w:numPr>
        <w:rPr>
          <w:rFonts w:cs="Times New Roman"/>
          <w:b/>
          <w:szCs w:val="24"/>
        </w:rPr>
      </w:pPr>
      <w:r>
        <w:rPr>
          <w:rFonts w:cs="Times New Roman"/>
          <w:szCs w:val="24"/>
        </w:rPr>
        <w:t>This study showed</w:t>
      </w:r>
      <w:r w:rsidR="006A1C85">
        <w:rPr>
          <w:rFonts w:cs="Times New Roman"/>
          <w:szCs w:val="24"/>
        </w:rPr>
        <w:t xml:space="preserve"> that nitric oxide delivery via a topical patch containing glyceryl trinitrate placed directly over an area of tendinopathy is effective in improving clinical recovery and </w:t>
      </w:r>
      <w:r w:rsidR="007E2178">
        <w:rPr>
          <w:rFonts w:cs="Times New Roman"/>
          <w:szCs w:val="24"/>
        </w:rPr>
        <w:t xml:space="preserve">enhancing </w:t>
      </w:r>
      <w:r w:rsidR="006A1C85">
        <w:rPr>
          <w:rFonts w:cs="Times New Roman"/>
          <w:szCs w:val="24"/>
        </w:rPr>
        <w:t>healing of LE in patients through a reduction of pain and increased strength.</w:t>
      </w:r>
      <w:r w:rsidR="00701305">
        <w:rPr>
          <w:rFonts w:cs="Times New Roman"/>
          <w:szCs w:val="24"/>
        </w:rPr>
        <w:t xml:space="preserve"> The treatment of tennis elbow with GTN reduces pain more rapidly.</w:t>
      </w:r>
    </w:p>
    <w:p w:rsidR="00701305" w:rsidRPr="007E2178" w:rsidRDefault="00701305" w:rsidP="00B71CE4">
      <w:pPr>
        <w:pStyle w:val="ListParagraph"/>
        <w:numPr>
          <w:ilvl w:val="0"/>
          <w:numId w:val="22"/>
        </w:numPr>
        <w:rPr>
          <w:rFonts w:cs="Times New Roman"/>
          <w:b/>
          <w:szCs w:val="24"/>
        </w:rPr>
      </w:pPr>
      <w:r>
        <w:rPr>
          <w:rFonts w:cs="Times New Roman"/>
          <w:szCs w:val="24"/>
        </w:rPr>
        <w:t xml:space="preserve">Both groups exhibited improvement </w:t>
      </w:r>
      <w:r w:rsidR="007E2178">
        <w:rPr>
          <w:rFonts w:cs="Times New Roman"/>
          <w:szCs w:val="24"/>
        </w:rPr>
        <w:t xml:space="preserve">in terms of pain reduction </w:t>
      </w:r>
      <w:r>
        <w:rPr>
          <w:rFonts w:cs="Times New Roman"/>
          <w:szCs w:val="24"/>
        </w:rPr>
        <w:t xml:space="preserve">over the 6 months, but a statistically significant difference in mean VAS scores between groups </w:t>
      </w:r>
      <w:r w:rsidR="007E2178">
        <w:rPr>
          <w:rFonts w:cs="Times New Roman"/>
          <w:szCs w:val="24"/>
        </w:rPr>
        <w:t xml:space="preserve">was also found </w:t>
      </w:r>
      <w:r>
        <w:rPr>
          <w:rFonts w:cs="Times New Roman"/>
          <w:szCs w:val="24"/>
        </w:rPr>
        <w:t>at 6 months in favor of the GTN group.</w:t>
      </w:r>
    </w:p>
    <w:p w:rsidR="007E2178" w:rsidRPr="00B71CE4" w:rsidRDefault="007E2178" w:rsidP="00B71CE4">
      <w:pPr>
        <w:pStyle w:val="ListParagraph"/>
        <w:numPr>
          <w:ilvl w:val="0"/>
          <w:numId w:val="22"/>
        </w:numPr>
        <w:rPr>
          <w:rFonts w:cs="Times New Roman"/>
          <w:b/>
          <w:szCs w:val="24"/>
        </w:rPr>
      </w:pPr>
      <w:r>
        <w:rPr>
          <w:rFonts w:cs="Times New Roman"/>
          <w:szCs w:val="24"/>
        </w:rPr>
        <w:t>Application of topical nitric oxide improved functional outcomes and treatment results in terms of pain relief in patients with LE.</w:t>
      </w:r>
    </w:p>
    <w:p w:rsidR="00C05933" w:rsidRPr="00CD2AD7" w:rsidRDefault="00C05933" w:rsidP="00C05933">
      <w:pPr>
        <w:pStyle w:val="ListParagraph"/>
        <w:ind w:left="720"/>
        <w:rPr>
          <w:rFonts w:cs="Times New Roman"/>
          <w:szCs w:val="24"/>
          <w:highlight w:val="yellow"/>
        </w:rPr>
      </w:pPr>
    </w:p>
    <w:p w:rsidR="00991F49" w:rsidRDefault="00991F49" w:rsidP="008A3029">
      <w:pPr>
        <w:ind w:left="0"/>
        <w:rPr>
          <w:rFonts w:cs="Times New Roman"/>
          <w:b/>
          <w:szCs w:val="24"/>
        </w:rPr>
      </w:pPr>
      <w:r w:rsidRPr="006F4EE2">
        <w:rPr>
          <w:rFonts w:cs="Times New Roman"/>
          <w:b/>
          <w:szCs w:val="24"/>
        </w:rPr>
        <w:t>Comments:</w:t>
      </w:r>
    </w:p>
    <w:p w:rsidR="006F4EE2" w:rsidRPr="006F4EE2" w:rsidRDefault="006F4EE2" w:rsidP="008A3029">
      <w:pPr>
        <w:ind w:left="0"/>
        <w:rPr>
          <w:rFonts w:cs="Times New Roman"/>
          <w:szCs w:val="24"/>
        </w:rPr>
      </w:pPr>
    </w:p>
    <w:p w:rsidR="00C370F8" w:rsidRPr="0030675B" w:rsidRDefault="00C370F8" w:rsidP="0083229E">
      <w:pPr>
        <w:pStyle w:val="ListParagraph"/>
        <w:numPr>
          <w:ilvl w:val="0"/>
          <w:numId w:val="18"/>
        </w:numPr>
        <w:rPr>
          <w:rFonts w:cs="Times New Roman"/>
          <w:szCs w:val="24"/>
        </w:rPr>
      </w:pPr>
      <w:r w:rsidRPr="0030675B">
        <w:rPr>
          <w:rFonts w:cs="Times New Roman"/>
          <w:szCs w:val="24"/>
        </w:rPr>
        <w:t xml:space="preserve">This study supports the conclusion that </w:t>
      </w:r>
      <w:r w:rsidR="00167233">
        <w:rPr>
          <w:rFonts w:cs="Times New Roman"/>
          <w:szCs w:val="24"/>
        </w:rPr>
        <w:t xml:space="preserve">a </w:t>
      </w:r>
      <w:r w:rsidR="00167233" w:rsidRPr="00167233">
        <w:rPr>
          <w:rFonts w:cs="Times New Roman"/>
          <w:szCs w:val="24"/>
        </w:rPr>
        <w:t xml:space="preserve">topical patch </w:t>
      </w:r>
      <w:r w:rsidR="00167233">
        <w:rPr>
          <w:rFonts w:cs="Times New Roman"/>
          <w:szCs w:val="24"/>
        </w:rPr>
        <w:t xml:space="preserve">of </w:t>
      </w:r>
      <w:r w:rsidR="00167233" w:rsidRPr="00167233">
        <w:rPr>
          <w:rFonts w:cs="Times New Roman"/>
          <w:szCs w:val="24"/>
        </w:rPr>
        <w:t>glyceryl trinitrate placed directly over an area of tendinopathy</w:t>
      </w:r>
      <w:r w:rsidR="0030675B" w:rsidRPr="0030675B">
        <w:rPr>
          <w:rFonts w:cs="Times New Roman"/>
          <w:szCs w:val="24"/>
        </w:rPr>
        <w:t xml:space="preserve"> </w:t>
      </w:r>
      <w:r w:rsidR="0083229E" w:rsidRPr="0030675B">
        <w:rPr>
          <w:rFonts w:cs="Times New Roman"/>
          <w:szCs w:val="24"/>
        </w:rPr>
        <w:t xml:space="preserve">is </w:t>
      </w:r>
      <w:r w:rsidR="00C05933" w:rsidRPr="0030675B">
        <w:rPr>
          <w:rFonts w:cs="Times New Roman"/>
          <w:szCs w:val="24"/>
        </w:rPr>
        <w:t xml:space="preserve">effective in </w:t>
      </w:r>
      <w:r w:rsidR="0030675B" w:rsidRPr="0030675B">
        <w:rPr>
          <w:rFonts w:cs="Times New Roman"/>
          <w:szCs w:val="24"/>
        </w:rPr>
        <w:t>de</w:t>
      </w:r>
      <w:r w:rsidR="00C05933" w:rsidRPr="0030675B">
        <w:rPr>
          <w:rFonts w:cs="Times New Roman"/>
          <w:szCs w:val="24"/>
        </w:rPr>
        <w:t>creasing</w:t>
      </w:r>
      <w:r w:rsidR="0083229E" w:rsidRPr="0030675B">
        <w:rPr>
          <w:rFonts w:cs="Times New Roman"/>
          <w:szCs w:val="24"/>
        </w:rPr>
        <w:t xml:space="preserve"> </w:t>
      </w:r>
      <w:r w:rsidR="00C05933" w:rsidRPr="0030675B">
        <w:rPr>
          <w:rFonts w:cs="Times New Roman"/>
          <w:szCs w:val="24"/>
        </w:rPr>
        <w:t>pain</w:t>
      </w:r>
      <w:r w:rsidR="0030675B" w:rsidRPr="0030675B">
        <w:rPr>
          <w:rFonts w:cs="Times New Roman"/>
          <w:szCs w:val="24"/>
        </w:rPr>
        <w:t xml:space="preserve"> in patients with </w:t>
      </w:r>
      <w:r w:rsidR="00C05933" w:rsidRPr="0030675B">
        <w:rPr>
          <w:rFonts w:cs="Times New Roman"/>
          <w:szCs w:val="24"/>
        </w:rPr>
        <w:t>lateral epicondyl</w:t>
      </w:r>
      <w:r w:rsidR="0030675B" w:rsidRPr="0030675B">
        <w:rPr>
          <w:rFonts w:cs="Times New Roman"/>
          <w:szCs w:val="24"/>
        </w:rPr>
        <w:t>itis</w:t>
      </w:r>
      <w:r w:rsidR="00C05933" w:rsidRPr="0030675B">
        <w:rPr>
          <w:rFonts w:cs="Times New Roman"/>
          <w:szCs w:val="24"/>
        </w:rPr>
        <w:t xml:space="preserve"> over a period of 6</w:t>
      </w:r>
      <w:r w:rsidR="0030675B" w:rsidRPr="0030675B">
        <w:rPr>
          <w:rFonts w:cs="Times New Roman"/>
          <w:szCs w:val="24"/>
        </w:rPr>
        <w:t xml:space="preserve"> months</w:t>
      </w:r>
      <w:r w:rsidR="00C05933" w:rsidRPr="0030675B">
        <w:rPr>
          <w:rFonts w:cs="Times New Roman"/>
          <w:szCs w:val="24"/>
        </w:rPr>
        <w:t>.</w:t>
      </w:r>
      <w:r w:rsidR="0083229E" w:rsidRPr="0030675B">
        <w:rPr>
          <w:rFonts w:cs="Times New Roman"/>
          <w:szCs w:val="24"/>
        </w:rPr>
        <w:t xml:space="preserve"> </w:t>
      </w:r>
    </w:p>
    <w:p w:rsidR="00C370F8" w:rsidRDefault="00C370F8" w:rsidP="00C370F8">
      <w:pPr>
        <w:pStyle w:val="ListParagraph"/>
        <w:numPr>
          <w:ilvl w:val="0"/>
          <w:numId w:val="18"/>
        </w:numPr>
        <w:rPr>
          <w:rFonts w:cs="Times New Roman"/>
          <w:szCs w:val="24"/>
        </w:rPr>
      </w:pPr>
      <w:r w:rsidRPr="00167233">
        <w:rPr>
          <w:rFonts w:cs="Times New Roman"/>
          <w:szCs w:val="24"/>
        </w:rPr>
        <w:t xml:space="preserve">Strengths of this study included </w:t>
      </w:r>
      <w:r w:rsidR="0083229E" w:rsidRPr="00167233">
        <w:rPr>
          <w:rFonts w:cs="Times New Roman"/>
          <w:szCs w:val="24"/>
        </w:rPr>
        <w:t xml:space="preserve">subject </w:t>
      </w:r>
      <w:r w:rsidR="00167233" w:rsidRPr="00167233">
        <w:rPr>
          <w:rFonts w:cs="Times New Roman"/>
          <w:szCs w:val="24"/>
        </w:rPr>
        <w:t xml:space="preserve">and investigator </w:t>
      </w:r>
      <w:r w:rsidRPr="00167233">
        <w:rPr>
          <w:rFonts w:cs="Times New Roman"/>
          <w:szCs w:val="24"/>
        </w:rPr>
        <w:t>bl</w:t>
      </w:r>
      <w:r w:rsidR="00167233" w:rsidRPr="00167233">
        <w:rPr>
          <w:rFonts w:cs="Times New Roman"/>
          <w:szCs w:val="24"/>
        </w:rPr>
        <w:t>inding,</w:t>
      </w:r>
      <w:r w:rsidR="0083229E" w:rsidRPr="00167233">
        <w:rPr>
          <w:rFonts w:cs="Times New Roman"/>
          <w:szCs w:val="24"/>
        </w:rPr>
        <w:t xml:space="preserve"> </w:t>
      </w:r>
      <w:r w:rsidRPr="00167233">
        <w:rPr>
          <w:rFonts w:cs="Times New Roman"/>
          <w:szCs w:val="24"/>
        </w:rPr>
        <w:t xml:space="preserve">the inclusion of a </w:t>
      </w:r>
      <w:r w:rsidR="0083229E" w:rsidRPr="00167233">
        <w:rPr>
          <w:rFonts w:cs="Times New Roman"/>
          <w:szCs w:val="24"/>
        </w:rPr>
        <w:t xml:space="preserve">comparable </w:t>
      </w:r>
      <w:r w:rsidRPr="00167233">
        <w:rPr>
          <w:rFonts w:cs="Times New Roman"/>
          <w:szCs w:val="24"/>
        </w:rPr>
        <w:t xml:space="preserve">control group, a mid-term follow-up time, </w:t>
      </w:r>
      <w:r w:rsidR="00AC540D">
        <w:rPr>
          <w:rFonts w:cs="Times New Roman"/>
          <w:szCs w:val="24"/>
        </w:rPr>
        <w:t xml:space="preserve">a sample size calculation, </w:t>
      </w:r>
      <w:r w:rsidR="0083229E" w:rsidRPr="00167233">
        <w:rPr>
          <w:rFonts w:cs="Times New Roman"/>
          <w:szCs w:val="24"/>
        </w:rPr>
        <w:t xml:space="preserve">and </w:t>
      </w:r>
      <w:r w:rsidR="00167233" w:rsidRPr="00167233">
        <w:rPr>
          <w:rFonts w:cs="Times New Roman"/>
          <w:szCs w:val="24"/>
        </w:rPr>
        <w:t xml:space="preserve">a </w:t>
      </w:r>
      <w:r w:rsidRPr="00167233">
        <w:rPr>
          <w:rFonts w:cs="Times New Roman"/>
          <w:szCs w:val="24"/>
        </w:rPr>
        <w:t>clearly designated primary outcome.</w:t>
      </w:r>
    </w:p>
    <w:p w:rsidR="00AC540D" w:rsidRPr="004A5112" w:rsidRDefault="00AC540D" w:rsidP="00AC540D">
      <w:pPr>
        <w:pStyle w:val="ListParagraph"/>
        <w:numPr>
          <w:ilvl w:val="0"/>
          <w:numId w:val="18"/>
        </w:numPr>
        <w:rPr>
          <w:rFonts w:cs="Times New Roman"/>
          <w:szCs w:val="24"/>
        </w:rPr>
      </w:pPr>
      <w:r>
        <w:rPr>
          <w:rFonts w:cs="Times New Roman"/>
          <w:szCs w:val="24"/>
        </w:rPr>
        <w:t xml:space="preserve">The authors failed to report the results of grip strength or any real functional outcome measure. </w:t>
      </w:r>
      <w:r w:rsidRPr="004A5112">
        <w:rPr>
          <w:rFonts w:cs="Times New Roman"/>
          <w:szCs w:val="24"/>
        </w:rPr>
        <w:t>The secondary outcome of</w:t>
      </w:r>
      <w:r>
        <w:rPr>
          <w:rFonts w:cs="Times New Roman"/>
          <w:szCs w:val="24"/>
        </w:rPr>
        <w:t xml:space="preserve"> </w:t>
      </w:r>
      <w:r w:rsidRPr="004A5112">
        <w:rPr>
          <w:rFonts w:cs="Times New Roman"/>
          <w:szCs w:val="24"/>
        </w:rPr>
        <w:t xml:space="preserve">treatment success vaguely included grip strength as a </w:t>
      </w:r>
      <w:r>
        <w:rPr>
          <w:rFonts w:cs="Times New Roman"/>
          <w:szCs w:val="24"/>
        </w:rPr>
        <w:t xml:space="preserve">functional component of this </w:t>
      </w:r>
      <w:r w:rsidRPr="004A5112">
        <w:rPr>
          <w:rFonts w:cs="Times New Roman"/>
          <w:szCs w:val="24"/>
        </w:rPr>
        <w:t>outcome</w:t>
      </w:r>
      <w:r w:rsidRPr="0030675B">
        <w:rPr>
          <w:rFonts w:cs="Times New Roman"/>
          <w:szCs w:val="24"/>
        </w:rPr>
        <w:t xml:space="preserve"> </w:t>
      </w:r>
      <w:r w:rsidRPr="004A5112">
        <w:rPr>
          <w:rFonts w:cs="Times New Roman"/>
          <w:szCs w:val="24"/>
        </w:rPr>
        <w:t>measure.</w:t>
      </w:r>
      <w:r>
        <w:rPr>
          <w:rFonts w:cs="Times New Roman"/>
          <w:szCs w:val="24"/>
        </w:rPr>
        <w:t xml:space="preserve"> This study lacked a distinct, objective </w:t>
      </w:r>
      <w:r>
        <w:rPr>
          <w:rFonts w:cs="Times New Roman"/>
          <w:szCs w:val="24"/>
        </w:rPr>
        <w:lastRenderedPageBreak/>
        <w:t>functional outcome measure used to monitor progress in LE and assessed at all follow-up points.</w:t>
      </w:r>
    </w:p>
    <w:p w:rsidR="005410FB" w:rsidRPr="00E8624E" w:rsidRDefault="00167233" w:rsidP="00E8624E">
      <w:pPr>
        <w:pStyle w:val="ListParagraph"/>
        <w:numPr>
          <w:ilvl w:val="0"/>
          <w:numId w:val="18"/>
        </w:numPr>
        <w:rPr>
          <w:rFonts w:cs="Times New Roman"/>
          <w:szCs w:val="24"/>
        </w:rPr>
      </w:pPr>
      <w:r w:rsidRPr="007B3EC9">
        <w:rPr>
          <w:rFonts w:cs="Times New Roman"/>
          <w:szCs w:val="24"/>
        </w:rPr>
        <w:t>L</w:t>
      </w:r>
      <w:r w:rsidRPr="007B3EC9">
        <w:rPr>
          <w:rFonts w:cs="Times New Roman"/>
          <w:szCs w:val="24"/>
        </w:rPr>
        <w:t>imitation</w:t>
      </w:r>
      <w:r w:rsidRPr="007B3EC9">
        <w:rPr>
          <w:rFonts w:cs="Times New Roman"/>
          <w:szCs w:val="24"/>
        </w:rPr>
        <w:t>s</w:t>
      </w:r>
      <w:r w:rsidRPr="007B3EC9">
        <w:rPr>
          <w:rFonts w:cs="Times New Roman"/>
          <w:szCs w:val="24"/>
        </w:rPr>
        <w:t xml:space="preserve"> of this trial </w:t>
      </w:r>
      <w:r w:rsidRPr="007B3EC9">
        <w:rPr>
          <w:rFonts w:cs="Times New Roman"/>
          <w:szCs w:val="24"/>
        </w:rPr>
        <w:t>include</w:t>
      </w:r>
      <w:r w:rsidR="007B3EC9">
        <w:rPr>
          <w:rFonts w:cs="Times New Roman"/>
          <w:szCs w:val="24"/>
        </w:rPr>
        <w:t>d</w:t>
      </w:r>
      <w:r w:rsidRPr="007B3EC9">
        <w:rPr>
          <w:rFonts w:cs="Times New Roman"/>
          <w:szCs w:val="24"/>
        </w:rPr>
        <w:t xml:space="preserve"> failure to describe the </w:t>
      </w:r>
      <w:r w:rsidRPr="007B3EC9">
        <w:rPr>
          <w:rFonts w:cs="Times New Roman"/>
          <w:szCs w:val="24"/>
        </w:rPr>
        <w:t xml:space="preserve">randomization </w:t>
      </w:r>
      <w:r w:rsidRPr="007B3EC9">
        <w:rPr>
          <w:rFonts w:cs="Times New Roman"/>
          <w:szCs w:val="24"/>
        </w:rPr>
        <w:t xml:space="preserve">process, no mention of allocation concealment, lack of </w:t>
      </w:r>
      <w:r w:rsidRPr="007B3EC9">
        <w:rPr>
          <w:rFonts w:cs="Times New Roman"/>
          <w:szCs w:val="24"/>
        </w:rPr>
        <w:t>an</w:t>
      </w:r>
      <w:r w:rsidRPr="007B3EC9">
        <w:rPr>
          <w:rFonts w:cs="Times New Roman"/>
          <w:szCs w:val="24"/>
        </w:rPr>
        <w:t>y</w:t>
      </w:r>
      <w:r w:rsidRPr="007B3EC9">
        <w:rPr>
          <w:rFonts w:cs="Times New Roman"/>
          <w:szCs w:val="24"/>
        </w:rPr>
        <w:t xml:space="preserve"> description of the </w:t>
      </w:r>
      <w:r w:rsidRPr="007B3EC9">
        <w:rPr>
          <w:rFonts w:cs="Times New Roman"/>
          <w:szCs w:val="24"/>
        </w:rPr>
        <w:t xml:space="preserve">“standard tendon rehabilitation program”, </w:t>
      </w:r>
      <w:r w:rsidRPr="007B3EC9">
        <w:rPr>
          <w:rFonts w:cs="Times New Roman"/>
          <w:szCs w:val="24"/>
        </w:rPr>
        <w:t>no functional outcome measure</w:t>
      </w:r>
      <w:r w:rsidRPr="007B3EC9">
        <w:rPr>
          <w:rFonts w:cs="Times New Roman"/>
          <w:szCs w:val="24"/>
        </w:rPr>
        <w:t xml:space="preserve">, </w:t>
      </w:r>
      <w:r w:rsidR="007B3EC9" w:rsidRPr="007B3EC9">
        <w:rPr>
          <w:rFonts w:cs="Times New Roman"/>
          <w:szCs w:val="24"/>
        </w:rPr>
        <w:t>and no information on participant drop-outs, if any.</w:t>
      </w:r>
    </w:p>
    <w:p w:rsidR="00DF32A3" w:rsidRPr="00E8624E" w:rsidRDefault="00AA2B75" w:rsidP="00654456">
      <w:pPr>
        <w:pStyle w:val="ListParagraph"/>
        <w:numPr>
          <w:ilvl w:val="0"/>
          <w:numId w:val="18"/>
        </w:numPr>
        <w:rPr>
          <w:rFonts w:cs="Times New Roman"/>
          <w:szCs w:val="24"/>
        </w:rPr>
      </w:pPr>
      <w:r>
        <w:rPr>
          <w:rFonts w:cs="Times New Roman"/>
          <w:szCs w:val="24"/>
        </w:rPr>
        <w:t>S</w:t>
      </w:r>
      <w:r w:rsidRPr="00E8624E">
        <w:rPr>
          <w:rFonts w:cs="Times New Roman"/>
          <w:szCs w:val="24"/>
        </w:rPr>
        <w:t xml:space="preserve">tandard deviations </w:t>
      </w:r>
      <w:r>
        <w:rPr>
          <w:rFonts w:cs="Times New Roman"/>
          <w:szCs w:val="24"/>
        </w:rPr>
        <w:t xml:space="preserve">and P values </w:t>
      </w:r>
      <w:r w:rsidRPr="00E8624E">
        <w:rPr>
          <w:rFonts w:cs="Times New Roman"/>
          <w:szCs w:val="24"/>
        </w:rPr>
        <w:t xml:space="preserve">were </w:t>
      </w:r>
      <w:r>
        <w:rPr>
          <w:rFonts w:cs="Times New Roman"/>
          <w:szCs w:val="24"/>
        </w:rPr>
        <w:t>reported which are not the most informative data</w:t>
      </w:r>
      <w:r w:rsidRPr="00E8624E">
        <w:rPr>
          <w:rFonts w:cs="Times New Roman"/>
          <w:szCs w:val="24"/>
        </w:rPr>
        <w:t xml:space="preserve">. </w:t>
      </w:r>
      <w:r w:rsidR="00DF32A3" w:rsidRPr="00E8624E">
        <w:rPr>
          <w:rFonts w:cs="Times New Roman"/>
          <w:szCs w:val="24"/>
        </w:rPr>
        <w:t xml:space="preserve">The authors </w:t>
      </w:r>
      <w:r w:rsidR="000E21D8">
        <w:rPr>
          <w:rFonts w:cs="Times New Roman"/>
          <w:szCs w:val="24"/>
        </w:rPr>
        <w:t xml:space="preserve">did not </w:t>
      </w:r>
      <w:r w:rsidR="00DF32A3" w:rsidRPr="00E8624E">
        <w:rPr>
          <w:rFonts w:cs="Times New Roman"/>
          <w:szCs w:val="24"/>
        </w:rPr>
        <w:t xml:space="preserve">provide </w:t>
      </w:r>
      <w:r w:rsidR="00AC540D">
        <w:rPr>
          <w:rFonts w:cs="Times New Roman"/>
          <w:szCs w:val="24"/>
        </w:rPr>
        <w:t xml:space="preserve">mean differences with </w:t>
      </w:r>
      <w:r w:rsidR="00DF32A3" w:rsidRPr="00E8624E">
        <w:rPr>
          <w:rFonts w:cs="Times New Roman"/>
          <w:szCs w:val="24"/>
        </w:rPr>
        <w:t xml:space="preserve">confidence intervals and effect sizes for </w:t>
      </w:r>
      <w:r w:rsidR="00AC540D">
        <w:rPr>
          <w:rFonts w:cs="Times New Roman"/>
          <w:szCs w:val="24"/>
        </w:rPr>
        <w:t xml:space="preserve">between </w:t>
      </w:r>
      <w:r w:rsidR="00DF32A3" w:rsidRPr="00E8624E">
        <w:rPr>
          <w:rFonts w:cs="Times New Roman"/>
          <w:szCs w:val="24"/>
        </w:rPr>
        <w:t>group</w:t>
      </w:r>
      <w:r w:rsidR="00AC540D">
        <w:rPr>
          <w:rFonts w:cs="Times New Roman"/>
          <w:szCs w:val="24"/>
        </w:rPr>
        <w:t xml:space="preserve"> results</w:t>
      </w:r>
      <w:r w:rsidR="000E21D8">
        <w:rPr>
          <w:rFonts w:cs="Times New Roman"/>
          <w:szCs w:val="24"/>
        </w:rPr>
        <w:t>, because they analyzed the VAS scores using the Mann-</w:t>
      </w:r>
      <w:r w:rsidR="00150107">
        <w:rPr>
          <w:rFonts w:cs="Times New Roman"/>
          <w:szCs w:val="24"/>
        </w:rPr>
        <w:t xml:space="preserve">Whitney U-test. This </w:t>
      </w:r>
      <w:r w:rsidR="00150107">
        <w:rPr>
          <w:rFonts w:cs="Times New Roman"/>
          <w:szCs w:val="24"/>
        </w:rPr>
        <w:t xml:space="preserve">nonparametric test </w:t>
      </w:r>
      <w:r w:rsidR="000E21D8">
        <w:rPr>
          <w:rFonts w:cs="Times New Roman"/>
          <w:szCs w:val="24"/>
        </w:rPr>
        <w:t>does not report those results</w:t>
      </w:r>
      <w:r w:rsidR="00150107">
        <w:rPr>
          <w:rFonts w:cs="Times New Roman"/>
          <w:szCs w:val="24"/>
        </w:rPr>
        <w:t xml:space="preserve">, and so this is not a limitation of the study. </w:t>
      </w:r>
      <w:r w:rsidR="00CE6079" w:rsidRPr="00E8624E">
        <w:rPr>
          <w:rFonts w:cs="Times New Roman"/>
          <w:szCs w:val="24"/>
        </w:rPr>
        <w:t xml:space="preserve">A between group effect size </w:t>
      </w:r>
      <w:r w:rsidR="00150107">
        <w:rPr>
          <w:rFonts w:cs="Times New Roman"/>
          <w:szCs w:val="24"/>
        </w:rPr>
        <w:t>would have been</w:t>
      </w:r>
      <w:r w:rsidR="007B3EC9" w:rsidRPr="00E8624E">
        <w:rPr>
          <w:rFonts w:cs="Times New Roman"/>
          <w:szCs w:val="24"/>
        </w:rPr>
        <w:t xml:space="preserve"> helpful </w:t>
      </w:r>
      <w:r w:rsidR="007B3EC9" w:rsidRPr="00E8624E">
        <w:rPr>
          <w:rFonts w:cs="Times New Roman"/>
          <w:szCs w:val="24"/>
        </w:rPr>
        <w:t xml:space="preserve">in </w:t>
      </w:r>
      <w:r w:rsidR="00E8624E" w:rsidRPr="00E8624E">
        <w:rPr>
          <w:rFonts w:cs="Times New Roman"/>
          <w:szCs w:val="24"/>
        </w:rPr>
        <w:t>judging</w:t>
      </w:r>
      <w:r w:rsidR="007B3EC9" w:rsidRPr="00E8624E">
        <w:rPr>
          <w:rFonts w:cs="Times New Roman"/>
          <w:szCs w:val="24"/>
        </w:rPr>
        <w:t xml:space="preserve"> the magnitude of the intervention. </w:t>
      </w:r>
      <w:r w:rsidR="00150107">
        <w:rPr>
          <w:rFonts w:cs="Times New Roman"/>
          <w:szCs w:val="24"/>
        </w:rPr>
        <w:t xml:space="preserve">The mean difference in the VAS scores (not reported) between the groups at 6 months </w:t>
      </w:r>
      <w:r>
        <w:rPr>
          <w:rFonts w:cs="Times New Roman"/>
          <w:szCs w:val="24"/>
        </w:rPr>
        <w:t>wa</w:t>
      </w:r>
      <w:r w:rsidR="00150107">
        <w:rPr>
          <w:rFonts w:cs="Times New Roman"/>
          <w:szCs w:val="24"/>
        </w:rPr>
        <w:t xml:space="preserve">s 4.15 which </w:t>
      </w:r>
      <w:proofErr w:type="gramStart"/>
      <w:r w:rsidR="00150107">
        <w:rPr>
          <w:rFonts w:cs="Times New Roman"/>
          <w:szCs w:val="24"/>
        </w:rPr>
        <w:t>is</w:t>
      </w:r>
      <w:proofErr w:type="gramEnd"/>
      <w:r w:rsidR="00150107">
        <w:rPr>
          <w:rFonts w:cs="Times New Roman"/>
          <w:szCs w:val="24"/>
        </w:rPr>
        <w:t xml:space="preserve"> clearly clinically significant. This result is corroborated by a 95% treatment success rate in the GTN group </w:t>
      </w:r>
      <w:r>
        <w:rPr>
          <w:rFonts w:cs="Times New Roman"/>
          <w:szCs w:val="24"/>
        </w:rPr>
        <w:t>compared to only a 15% treatment success rate in the control group.</w:t>
      </w:r>
    </w:p>
    <w:p w:rsidR="00B36FD6" w:rsidRPr="00E8624E" w:rsidRDefault="00B36FD6" w:rsidP="00B36FD6">
      <w:pPr>
        <w:pStyle w:val="ListParagraph"/>
        <w:numPr>
          <w:ilvl w:val="0"/>
          <w:numId w:val="18"/>
        </w:numPr>
        <w:rPr>
          <w:rFonts w:cs="Times New Roman"/>
          <w:szCs w:val="24"/>
        </w:rPr>
      </w:pPr>
      <w:r w:rsidRPr="00E8624E">
        <w:rPr>
          <w:rFonts w:cs="Times New Roman"/>
          <w:szCs w:val="24"/>
        </w:rPr>
        <w:t xml:space="preserve">Recommendations during the study to not provoke pain during daily activities may have led to an overall reduction of such perceived pain </w:t>
      </w:r>
      <w:r w:rsidR="00E8624E" w:rsidRPr="00E8624E">
        <w:rPr>
          <w:rFonts w:cs="Times New Roman"/>
          <w:szCs w:val="24"/>
        </w:rPr>
        <w:t xml:space="preserve">as </w:t>
      </w:r>
      <w:r w:rsidRPr="00E8624E">
        <w:rPr>
          <w:rFonts w:cs="Times New Roman"/>
          <w:szCs w:val="24"/>
        </w:rPr>
        <w:t xml:space="preserve">seen in both groups, and </w:t>
      </w:r>
      <w:r w:rsidR="00E8624E" w:rsidRPr="00E8624E">
        <w:rPr>
          <w:rFonts w:cs="Times New Roman"/>
          <w:szCs w:val="24"/>
        </w:rPr>
        <w:t>this may partially explain the improvement in pain reduction observed in both groups</w:t>
      </w:r>
      <w:r w:rsidR="00E8624E">
        <w:rPr>
          <w:rFonts w:cs="Times New Roman"/>
          <w:szCs w:val="24"/>
        </w:rPr>
        <w:t xml:space="preserve"> over time</w:t>
      </w:r>
      <w:r w:rsidRPr="00E8624E">
        <w:rPr>
          <w:rFonts w:cs="Times New Roman"/>
          <w:szCs w:val="24"/>
        </w:rPr>
        <w:t>.</w:t>
      </w:r>
    </w:p>
    <w:p w:rsidR="005B46B7" w:rsidRPr="00CD2AD7" w:rsidRDefault="00AA2B75" w:rsidP="00AD5C3F">
      <w:pPr>
        <w:pStyle w:val="ListParagraph"/>
        <w:ind w:left="720"/>
        <w:rPr>
          <w:rFonts w:cs="Times New Roman"/>
          <w:szCs w:val="24"/>
          <w:highlight w:val="yellow"/>
        </w:rPr>
      </w:pPr>
    </w:p>
    <w:p w:rsidR="00C705EC" w:rsidRPr="00915B20" w:rsidRDefault="00A21533" w:rsidP="00915B20">
      <w:pPr>
        <w:ind w:left="0"/>
        <w:rPr>
          <w:rFonts w:cs="Times New Roman"/>
          <w:b/>
          <w:i/>
          <w:szCs w:val="24"/>
        </w:rPr>
      </w:pPr>
      <w:r w:rsidRPr="00915B20">
        <w:rPr>
          <w:rFonts w:cs="Times New Roman"/>
          <w:b/>
          <w:szCs w:val="24"/>
        </w:rPr>
        <w:t>Assessment</w:t>
      </w:r>
      <w:r w:rsidRPr="00915B20">
        <w:rPr>
          <w:rFonts w:cs="Times New Roman"/>
          <w:b/>
          <w:i/>
          <w:szCs w:val="24"/>
        </w:rPr>
        <w:t>:</w:t>
      </w:r>
    </w:p>
    <w:p w:rsidR="006C70AC" w:rsidRPr="000E294B" w:rsidRDefault="006C70AC" w:rsidP="00AC55B6">
      <w:pPr>
        <w:pStyle w:val="ListParagraph"/>
        <w:ind w:left="0"/>
        <w:rPr>
          <w:rFonts w:cs="Times New Roman"/>
          <w:b/>
          <w:i/>
          <w:szCs w:val="24"/>
        </w:rPr>
      </w:pPr>
    </w:p>
    <w:p w:rsidR="00B36FD6" w:rsidRDefault="00B41B6E" w:rsidP="00A41936">
      <w:pPr>
        <w:pStyle w:val="Default"/>
        <w:rPr>
          <w:rFonts w:ascii="Times New Roman" w:hAnsi="Times New Roman" w:cs="Times New Roman"/>
          <w:color w:val="auto"/>
        </w:rPr>
      </w:pPr>
      <w:r w:rsidRPr="000F5E09">
        <w:rPr>
          <w:rFonts w:ascii="Times New Roman" w:hAnsi="Times New Roman" w:cs="Times New Roman"/>
          <w:color w:val="auto"/>
        </w:rPr>
        <w:t xml:space="preserve">This adequate study provides some evidence that </w:t>
      </w:r>
      <w:r w:rsidR="000F5E09" w:rsidRPr="000F5E09">
        <w:rPr>
          <w:rFonts w:ascii="Times New Roman" w:hAnsi="Times New Roman" w:cs="Times New Roman"/>
          <w:color w:val="auto"/>
        </w:rPr>
        <w:t xml:space="preserve">wearing a topical patch containing glyceryl </w:t>
      </w:r>
      <w:r w:rsidR="000F5E09" w:rsidRPr="000F5E09">
        <w:rPr>
          <w:rFonts w:ascii="Times New Roman" w:hAnsi="Times New Roman" w:cs="Times New Roman"/>
          <w:color w:val="auto"/>
        </w:rPr>
        <w:t>trinitrate</w:t>
      </w:r>
      <w:r w:rsidR="000F5E09">
        <w:rPr>
          <w:rFonts w:ascii="Times New Roman" w:hAnsi="Times New Roman" w:cs="Times New Roman"/>
          <w:color w:val="auto"/>
        </w:rPr>
        <w:t xml:space="preserve"> over an area of tendinopathy </w:t>
      </w:r>
      <w:r w:rsidR="005F1E34" w:rsidRPr="000F5E09">
        <w:rPr>
          <w:rFonts w:ascii="Times New Roman" w:hAnsi="Times New Roman" w:cs="Times New Roman"/>
          <w:color w:val="auto"/>
        </w:rPr>
        <w:t xml:space="preserve">is </w:t>
      </w:r>
      <w:r w:rsidR="000F5E09">
        <w:rPr>
          <w:rFonts w:ascii="Times New Roman" w:hAnsi="Times New Roman" w:cs="Times New Roman"/>
          <w:color w:val="auto"/>
        </w:rPr>
        <w:t xml:space="preserve">more </w:t>
      </w:r>
      <w:r w:rsidR="005F1E34" w:rsidRPr="000F5E09">
        <w:rPr>
          <w:rFonts w:ascii="Times New Roman" w:hAnsi="Times New Roman" w:cs="Times New Roman"/>
          <w:color w:val="auto"/>
        </w:rPr>
        <w:t xml:space="preserve">effective </w:t>
      </w:r>
      <w:r w:rsidR="000F5E09">
        <w:rPr>
          <w:rFonts w:ascii="Times New Roman" w:hAnsi="Times New Roman" w:cs="Times New Roman"/>
          <w:color w:val="auto"/>
        </w:rPr>
        <w:t xml:space="preserve">than a placebo patch </w:t>
      </w:r>
      <w:r w:rsidR="00B36FD6" w:rsidRPr="000F5E09">
        <w:rPr>
          <w:rFonts w:ascii="Times New Roman" w:hAnsi="Times New Roman" w:cs="Times New Roman"/>
          <w:color w:val="auto"/>
        </w:rPr>
        <w:t xml:space="preserve">in </w:t>
      </w:r>
      <w:r w:rsidR="00AC540D" w:rsidRPr="000F5E09">
        <w:rPr>
          <w:rFonts w:ascii="Times New Roman" w:hAnsi="Times New Roman" w:cs="Times New Roman"/>
          <w:color w:val="auto"/>
        </w:rPr>
        <w:t xml:space="preserve">reducing </w:t>
      </w:r>
      <w:r w:rsidR="00B36FD6" w:rsidRPr="000F5E09">
        <w:rPr>
          <w:rFonts w:ascii="Times New Roman" w:hAnsi="Times New Roman" w:cs="Times New Roman"/>
          <w:color w:val="auto"/>
        </w:rPr>
        <w:t>pain</w:t>
      </w:r>
      <w:r w:rsidR="00AC540D" w:rsidRPr="000F5E09">
        <w:rPr>
          <w:rFonts w:ascii="Times New Roman" w:hAnsi="Times New Roman" w:cs="Times New Roman"/>
          <w:color w:val="auto"/>
        </w:rPr>
        <w:t xml:space="preserve"> </w:t>
      </w:r>
      <w:r w:rsidR="00AA2B75">
        <w:rPr>
          <w:rFonts w:ascii="Times New Roman" w:hAnsi="Times New Roman" w:cs="Times New Roman"/>
          <w:color w:val="auto"/>
        </w:rPr>
        <w:t>and</w:t>
      </w:r>
      <w:bookmarkStart w:id="0" w:name="_GoBack"/>
      <w:bookmarkEnd w:id="0"/>
      <w:r w:rsidR="000E21D8">
        <w:rPr>
          <w:rFonts w:ascii="Times New Roman" w:hAnsi="Times New Roman" w:cs="Times New Roman"/>
          <w:color w:val="auto"/>
        </w:rPr>
        <w:t xml:space="preserve"> improving overall clinical </w:t>
      </w:r>
      <w:r w:rsidR="00AA2B75">
        <w:rPr>
          <w:rFonts w:ascii="Times New Roman" w:hAnsi="Times New Roman" w:cs="Times New Roman"/>
          <w:color w:val="auto"/>
        </w:rPr>
        <w:t>recovery</w:t>
      </w:r>
      <w:r w:rsidR="000E21D8">
        <w:rPr>
          <w:rFonts w:ascii="Times New Roman" w:hAnsi="Times New Roman" w:cs="Times New Roman"/>
          <w:color w:val="auto"/>
        </w:rPr>
        <w:t xml:space="preserve"> </w:t>
      </w:r>
      <w:r w:rsidR="00A41936" w:rsidRPr="000F5E09">
        <w:rPr>
          <w:rFonts w:ascii="Times New Roman" w:hAnsi="Times New Roman" w:cs="Times New Roman"/>
          <w:color w:val="auto"/>
        </w:rPr>
        <w:t xml:space="preserve">in subjects with </w:t>
      </w:r>
      <w:r w:rsidR="00AC540D" w:rsidRPr="000F5E09">
        <w:rPr>
          <w:rFonts w:ascii="Times New Roman" w:hAnsi="Times New Roman" w:cs="Times New Roman"/>
          <w:color w:val="auto"/>
        </w:rPr>
        <w:t>lateral epicondylitis</w:t>
      </w:r>
      <w:r w:rsidR="00A41936" w:rsidRPr="000F5E09">
        <w:rPr>
          <w:rFonts w:ascii="Times New Roman" w:hAnsi="Times New Roman" w:cs="Times New Roman"/>
          <w:color w:val="auto"/>
        </w:rPr>
        <w:t xml:space="preserve"> over a period of 6</w:t>
      </w:r>
      <w:r w:rsidR="000F5E09" w:rsidRPr="000F5E09">
        <w:rPr>
          <w:rFonts w:ascii="Times New Roman" w:hAnsi="Times New Roman" w:cs="Times New Roman"/>
          <w:color w:val="auto"/>
        </w:rPr>
        <w:t xml:space="preserve"> months</w:t>
      </w:r>
      <w:r w:rsidR="00B36FD6" w:rsidRPr="000F5E09">
        <w:rPr>
          <w:rFonts w:ascii="Times New Roman" w:hAnsi="Times New Roman" w:cs="Times New Roman"/>
          <w:color w:val="auto"/>
        </w:rPr>
        <w:t>.</w:t>
      </w:r>
    </w:p>
    <w:p w:rsidR="00B36FD6" w:rsidRDefault="00B36FD6" w:rsidP="00E47D45">
      <w:pPr>
        <w:pStyle w:val="Default"/>
        <w:rPr>
          <w:rFonts w:ascii="Times New Roman" w:hAnsi="Times New Roman" w:cs="Times New Roman"/>
          <w:color w:val="auto"/>
        </w:rPr>
      </w:pPr>
    </w:p>
    <w:sectPr w:rsidR="00B36F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3F77" w:rsidRDefault="00953F77" w:rsidP="00953F77">
      <w:r>
        <w:separator/>
      </w:r>
    </w:p>
  </w:endnote>
  <w:endnote w:type="continuationSeparator" w:id="0">
    <w:p w:rsidR="00953F77" w:rsidRDefault="00953F77" w:rsidP="00953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illerText RomanSC">
    <w:altName w:val="MillerText RomanSC"/>
    <w:panose1 w:val="00000000000000000000"/>
    <w:charset w:val="00"/>
    <w:family w:val="roman"/>
    <w:notTrueType/>
    <w:pitch w:val="default"/>
    <w:sig w:usb0="00000003" w:usb1="00000000" w:usb2="00000000" w:usb3="00000000" w:csb0="00000001" w:csb1="00000000"/>
  </w:font>
  <w:font w:name="MillerText Roman">
    <w:altName w:val="MillerText Roman"/>
    <w:panose1 w:val="00000000000000000000"/>
    <w:charset w:val="00"/>
    <w:family w:val="roman"/>
    <w:notTrueType/>
    <w:pitch w:val="default"/>
    <w:sig w:usb0="00000003" w:usb1="00000000" w:usb2="00000000" w:usb3="00000000" w:csb0="00000001" w:csb1="00000000"/>
  </w:font>
  <w:font w:name="BentonGothicCond Bold">
    <w:altName w:val="BentonGothicCond Bold"/>
    <w:panose1 w:val="00000000000000000000"/>
    <w:charset w:val="00"/>
    <w:family w:val="swiss"/>
    <w:notTrueType/>
    <w:pitch w:val="default"/>
    <w:sig w:usb0="00000003" w:usb1="00000000" w:usb2="00000000" w:usb3="00000000" w:csb0="00000001" w:csb1="00000000"/>
  </w:font>
  <w:font w:name="BentonGothicCond Regular">
    <w:altName w:val="BentonGothicCond Regular"/>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3F77" w:rsidRDefault="00953F77" w:rsidP="00953F77">
      <w:r>
        <w:separator/>
      </w:r>
    </w:p>
  </w:footnote>
  <w:footnote w:type="continuationSeparator" w:id="0">
    <w:p w:rsidR="00953F77" w:rsidRDefault="00953F77" w:rsidP="00953F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36816"/>
    <w:multiLevelType w:val="hybridMultilevel"/>
    <w:tmpl w:val="BD2A6DC8"/>
    <w:lvl w:ilvl="0" w:tplc="3232F9D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11214DF"/>
    <w:multiLevelType w:val="hybridMultilevel"/>
    <w:tmpl w:val="B2863D02"/>
    <w:lvl w:ilvl="0" w:tplc="3232F9D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4C028D"/>
    <w:multiLevelType w:val="hybridMultilevel"/>
    <w:tmpl w:val="0C821128"/>
    <w:lvl w:ilvl="0" w:tplc="3232F9D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8025BE"/>
    <w:multiLevelType w:val="hybridMultilevel"/>
    <w:tmpl w:val="42B21892"/>
    <w:lvl w:ilvl="0" w:tplc="6D70D07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A3217F"/>
    <w:multiLevelType w:val="hybridMultilevel"/>
    <w:tmpl w:val="8AA41662"/>
    <w:lvl w:ilvl="0" w:tplc="6D70D07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5A7139"/>
    <w:multiLevelType w:val="hybridMultilevel"/>
    <w:tmpl w:val="F006C88C"/>
    <w:lvl w:ilvl="0" w:tplc="62B64736">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F7F0A19"/>
    <w:multiLevelType w:val="hybridMultilevel"/>
    <w:tmpl w:val="24788C28"/>
    <w:lvl w:ilvl="0" w:tplc="62B6473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3B459A9"/>
    <w:multiLevelType w:val="hybridMultilevel"/>
    <w:tmpl w:val="BE568590"/>
    <w:lvl w:ilvl="0" w:tplc="3232F9D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D112DF"/>
    <w:multiLevelType w:val="hybridMultilevel"/>
    <w:tmpl w:val="7608A074"/>
    <w:lvl w:ilvl="0" w:tplc="3232F9D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93140EC"/>
    <w:multiLevelType w:val="hybridMultilevel"/>
    <w:tmpl w:val="98A0DED8"/>
    <w:lvl w:ilvl="0" w:tplc="62B6473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BC64BC7"/>
    <w:multiLevelType w:val="hybridMultilevel"/>
    <w:tmpl w:val="9AFC63E6"/>
    <w:lvl w:ilvl="0" w:tplc="3232F9D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5C96026"/>
    <w:multiLevelType w:val="hybridMultilevel"/>
    <w:tmpl w:val="A260DD06"/>
    <w:lvl w:ilvl="0" w:tplc="62B6473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C483A97"/>
    <w:multiLevelType w:val="hybridMultilevel"/>
    <w:tmpl w:val="E1901150"/>
    <w:lvl w:ilvl="0" w:tplc="6D70D07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0AB7953"/>
    <w:multiLevelType w:val="hybridMultilevel"/>
    <w:tmpl w:val="88F83410"/>
    <w:lvl w:ilvl="0" w:tplc="3232F9D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4EE722B"/>
    <w:multiLevelType w:val="hybridMultilevel"/>
    <w:tmpl w:val="529A67FA"/>
    <w:lvl w:ilvl="0" w:tplc="62B6473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7517482"/>
    <w:multiLevelType w:val="hybridMultilevel"/>
    <w:tmpl w:val="D4FA3B7A"/>
    <w:lvl w:ilvl="0" w:tplc="6D70D07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86565D0"/>
    <w:multiLevelType w:val="hybridMultilevel"/>
    <w:tmpl w:val="C8B8DD88"/>
    <w:lvl w:ilvl="0" w:tplc="3232F9D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44F74E2"/>
    <w:multiLevelType w:val="hybridMultilevel"/>
    <w:tmpl w:val="B87AC2F8"/>
    <w:lvl w:ilvl="0" w:tplc="3232F9D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64F023C4"/>
    <w:multiLevelType w:val="hybridMultilevel"/>
    <w:tmpl w:val="9C4C81FA"/>
    <w:lvl w:ilvl="0" w:tplc="3232F9D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65812E0"/>
    <w:multiLevelType w:val="hybridMultilevel"/>
    <w:tmpl w:val="7B700950"/>
    <w:lvl w:ilvl="0" w:tplc="3232F9D2">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6A452AA8"/>
    <w:multiLevelType w:val="hybridMultilevel"/>
    <w:tmpl w:val="5EB4B2A6"/>
    <w:lvl w:ilvl="0" w:tplc="6D70D07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1713C50"/>
    <w:multiLevelType w:val="multilevel"/>
    <w:tmpl w:val="30627EF6"/>
    <w:lvl w:ilvl="0">
      <w:numFmt w:val="bullet"/>
      <w:lvlText w:val="-"/>
      <w:lvlJc w:val="left"/>
      <w:pPr>
        <w:ind w:left="720" w:hanging="360"/>
      </w:pPr>
      <w:rPr>
        <w:rFonts w:ascii="Times New Roman" w:eastAsiaTheme="minorHAnsi" w:hAnsi="Times New Roman" w:cs="Times New Roman" w:hint="default"/>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nsid w:val="734C71BB"/>
    <w:multiLevelType w:val="hybridMultilevel"/>
    <w:tmpl w:val="B878690C"/>
    <w:lvl w:ilvl="0" w:tplc="D3027A2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1"/>
  </w:num>
  <w:num w:numId="2">
    <w:abstractNumId w:val="16"/>
  </w:num>
  <w:num w:numId="3">
    <w:abstractNumId w:val="1"/>
  </w:num>
  <w:num w:numId="4">
    <w:abstractNumId w:val="2"/>
  </w:num>
  <w:num w:numId="5">
    <w:abstractNumId w:val="3"/>
  </w:num>
  <w:num w:numId="6">
    <w:abstractNumId w:val="18"/>
  </w:num>
  <w:num w:numId="7">
    <w:abstractNumId w:val="20"/>
  </w:num>
  <w:num w:numId="8">
    <w:abstractNumId w:val="14"/>
  </w:num>
  <w:num w:numId="9">
    <w:abstractNumId w:val="4"/>
  </w:num>
  <w:num w:numId="10">
    <w:abstractNumId w:val="7"/>
  </w:num>
  <w:num w:numId="11">
    <w:abstractNumId w:val="10"/>
  </w:num>
  <w:num w:numId="12">
    <w:abstractNumId w:val="13"/>
  </w:num>
  <w:num w:numId="13">
    <w:abstractNumId w:val="8"/>
  </w:num>
  <w:num w:numId="14">
    <w:abstractNumId w:val="22"/>
  </w:num>
  <w:num w:numId="15">
    <w:abstractNumId w:val="19"/>
  </w:num>
  <w:num w:numId="16">
    <w:abstractNumId w:val="0"/>
  </w:num>
  <w:num w:numId="17">
    <w:abstractNumId w:val="17"/>
  </w:num>
  <w:num w:numId="18">
    <w:abstractNumId w:val="12"/>
  </w:num>
  <w:num w:numId="19">
    <w:abstractNumId w:val="15"/>
  </w:num>
  <w:num w:numId="20">
    <w:abstractNumId w:val="5"/>
  </w:num>
  <w:num w:numId="21">
    <w:abstractNumId w:val="6"/>
  </w:num>
  <w:num w:numId="22">
    <w:abstractNumId w:val="9"/>
  </w:num>
  <w:num w:numId="23">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BE4"/>
    <w:rsid w:val="00000E3F"/>
    <w:rsid w:val="00003229"/>
    <w:rsid w:val="0000327D"/>
    <w:rsid w:val="00003409"/>
    <w:rsid w:val="00005670"/>
    <w:rsid w:val="000154D1"/>
    <w:rsid w:val="0001776B"/>
    <w:rsid w:val="00020B0C"/>
    <w:rsid w:val="00021D84"/>
    <w:rsid w:val="000247A8"/>
    <w:rsid w:val="0002491F"/>
    <w:rsid w:val="0002604B"/>
    <w:rsid w:val="00026811"/>
    <w:rsid w:val="00030C5A"/>
    <w:rsid w:val="000368AE"/>
    <w:rsid w:val="00037D4F"/>
    <w:rsid w:val="00053CA3"/>
    <w:rsid w:val="00054D9A"/>
    <w:rsid w:val="000566CC"/>
    <w:rsid w:val="00067CA9"/>
    <w:rsid w:val="00072FF4"/>
    <w:rsid w:val="0007303B"/>
    <w:rsid w:val="00076EBE"/>
    <w:rsid w:val="000865CA"/>
    <w:rsid w:val="000932C2"/>
    <w:rsid w:val="0009532E"/>
    <w:rsid w:val="0009600D"/>
    <w:rsid w:val="00097921"/>
    <w:rsid w:val="000A1CD5"/>
    <w:rsid w:val="000A221C"/>
    <w:rsid w:val="000A50B6"/>
    <w:rsid w:val="000A6DB0"/>
    <w:rsid w:val="000A7A76"/>
    <w:rsid w:val="000B15B1"/>
    <w:rsid w:val="000B62E0"/>
    <w:rsid w:val="000B67FB"/>
    <w:rsid w:val="000B76E6"/>
    <w:rsid w:val="000C4FC2"/>
    <w:rsid w:val="000C6334"/>
    <w:rsid w:val="000D0134"/>
    <w:rsid w:val="000D044F"/>
    <w:rsid w:val="000E21D8"/>
    <w:rsid w:val="000E294B"/>
    <w:rsid w:val="000E4446"/>
    <w:rsid w:val="000F01BF"/>
    <w:rsid w:val="000F1426"/>
    <w:rsid w:val="000F2E6E"/>
    <w:rsid w:val="000F5E09"/>
    <w:rsid w:val="00105D09"/>
    <w:rsid w:val="00106B4C"/>
    <w:rsid w:val="001075DA"/>
    <w:rsid w:val="00112D23"/>
    <w:rsid w:val="00113473"/>
    <w:rsid w:val="0011358F"/>
    <w:rsid w:val="00114DAF"/>
    <w:rsid w:val="001179A7"/>
    <w:rsid w:val="00117BF6"/>
    <w:rsid w:val="0012019A"/>
    <w:rsid w:val="00123438"/>
    <w:rsid w:val="001239E0"/>
    <w:rsid w:val="00124546"/>
    <w:rsid w:val="00130A9C"/>
    <w:rsid w:val="001322F7"/>
    <w:rsid w:val="00134E24"/>
    <w:rsid w:val="00137167"/>
    <w:rsid w:val="001379BA"/>
    <w:rsid w:val="001402BE"/>
    <w:rsid w:val="00141CC0"/>
    <w:rsid w:val="00146BBA"/>
    <w:rsid w:val="00146D9E"/>
    <w:rsid w:val="00146F51"/>
    <w:rsid w:val="00150107"/>
    <w:rsid w:val="00156C33"/>
    <w:rsid w:val="001612BF"/>
    <w:rsid w:val="00162CEF"/>
    <w:rsid w:val="001631AC"/>
    <w:rsid w:val="001652D9"/>
    <w:rsid w:val="0016622F"/>
    <w:rsid w:val="001671A8"/>
    <w:rsid w:val="00167233"/>
    <w:rsid w:val="0017334C"/>
    <w:rsid w:val="00173C26"/>
    <w:rsid w:val="001755BF"/>
    <w:rsid w:val="00183CB5"/>
    <w:rsid w:val="00185B7D"/>
    <w:rsid w:val="00186557"/>
    <w:rsid w:val="00190A66"/>
    <w:rsid w:val="00192AD1"/>
    <w:rsid w:val="00193BBB"/>
    <w:rsid w:val="001A30CA"/>
    <w:rsid w:val="001A3190"/>
    <w:rsid w:val="001A40A4"/>
    <w:rsid w:val="001A76C1"/>
    <w:rsid w:val="001B514F"/>
    <w:rsid w:val="001B799D"/>
    <w:rsid w:val="001B799E"/>
    <w:rsid w:val="001B7A61"/>
    <w:rsid w:val="001C1EE7"/>
    <w:rsid w:val="001C3D47"/>
    <w:rsid w:val="001C5323"/>
    <w:rsid w:val="001C60CE"/>
    <w:rsid w:val="001C71E7"/>
    <w:rsid w:val="001C7F1D"/>
    <w:rsid w:val="001D051B"/>
    <w:rsid w:val="001D7B91"/>
    <w:rsid w:val="001E161E"/>
    <w:rsid w:val="001E245C"/>
    <w:rsid w:val="001E4B6F"/>
    <w:rsid w:val="001E5322"/>
    <w:rsid w:val="001E7100"/>
    <w:rsid w:val="001E7C69"/>
    <w:rsid w:val="001F29EF"/>
    <w:rsid w:val="001F62DB"/>
    <w:rsid w:val="001F7F9F"/>
    <w:rsid w:val="00201E4A"/>
    <w:rsid w:val="00202041"/>
    <w:rsid w:val="00203DEC"/>
    <w:rsid w:val="00204475"/>
    <w:rsid w:val="00206053"/>
    <w:rsid w:val="00207378"/>
    <w:rsid w:val="002100EF"/>
    <w:rsid w:val="00210AD5"/>
    <w:rsid w:val="00210CAB"/>
    <w:rsid w:val="002210BF"/>
    <w:rsid w:val="0022236C"/>
    <w:rsid w:val="002239B5"/>
    <w:rsid w:val="002252EC"/>
    <w:rsid w:val="002256F4"/>
    <w:rsid w:val="00225707"/>
    <w:rsid w:val="00226B21"/>
    <w:rsid w:val="002310AC"/>
    <w:rsid w:val="00232F12"/>
    <w:rsid w:val="00233AEC"/>
    <w:rsid w:val="002355C4"/>
    <w:rsid w:val="00235C1F"/>
    <w:rsid w:val="002362F1"/>
    <w:rsid w:val="00236665"/>
    <w:rsid w:val="00237E68"/>
    <w:rsid w:val="00240351"/>
    <w:rsid w:val="0024294B"/>
    <w:rsid w:val="00245165"/>
    <w:rsid w:val="002463CD"/>
    <w:rsid w:val="0024640A"/>
    <w:rsid w:val="00247792"/>
    <w:rsid w:val="0025385E"/>
    <w:rsid w:val="00254238"/>
    <w:rsid w:val="00261C1E"/>
    <w:rsid w:val="0026538D"/>
    <w:rsid w:val="00273DE4"/>
    <w:rsid w:val="00277135"/>
    <w:rsid w:val="00280F31"/>
    <w:rsid w:val="002818BA"/>
    <w:rsid w:val="00282963"/>
    <w:rsid w:val="00284637"/>
    <w:rsid w:val="00285BD2"/>
    <w:rsid w:val="00285FEB"/>
    <w:rsid w:val="0029056E"/>
    <w:rsid w:val="0029329D"/>
    <w:rsid w:val="00295E1C"/>
    <w:rsid w:val="0029623C"/>
    <w:rsid w:val="002977A9"/>
    <w:rsid w:val="002A0E04"/>
    <w:rsid w:val="002A339C"/>
    <w:rsid w:val="002A3661"/>
    <w:rsid w:val="002A44C2"/>
    <w:rsid w:val="002A77B9"/>
    <w:rsid w:val="002B3233"/>
    <w:rsid w:val="002B3483"/>
    <w:rsid w:val="002B4A76"/>
    <w:rsid w:val="002B5EAE"/>
    <w:rsid w:val="002B751C"/>
    <w:rsid w:val="002C32E8"/>
    <w:rsid w:val="002D0637"/>
    <w:rsid w:val="002D1DB0"/>
    <w:rsid w:val="002D28BF"/>
    <w:rsid w:val="002D31E6"/>
    <w:rsid w:val="002D54E3"/>
    <w:rsid w:val="002D59B1"/>
    <w:rsid w:val="002D6D1C"/>
    <w:rsid w:val="002E0E37"/>
    <w:rsid w:val="002E16DD"/>
    <w:rsid w:val="002E27B0"/>
    <w:rsid w:val="002E3789"/>
    <w:rsid w:val="002E3E5C"/>
    <w:rsid w:val="002E4252"/>
    <w:rsid w:val="002E479B"/>
    <w:rsid w:val="002E7108"/>
    <w:rsid w:val="002F15E1"/>
    <w:rsid w:val="002F4C65"/>
    <w:rsid w:val="002F6BF6"/>
    <w:rsid w:val="00305931"/>
    <w:rsid w:val="0030675B"/>
    <w:rsid w:val="00311D2A"/>
    <w:rsid w:val="00312D92"/>
    <w:rsid w:val="0031308E"/>
    <w:rsid w:val="003148D1"/>
    <w:rsid w:val="00315686"/>
    <w:rsid w:val="003162CF"/>
    <w:rsid w:val="00316A0E"/>
    <w:rsid w:val="00317CF0"/>
    <w:rsid w:val="00320444"/>
    <w:rsid w:val="00324ABC"/>
    <w:rsid w:val="0032565B"/>
    <w:rsid w:val="00326A12"/>
    <w:rsid w:val="00326ADD"/>
    <w:rsid w:val="0032702E"/>
    <w:rsid w:val="00327FBF"/>
    <w:rsid w:val="00330957"/>
    <w:rsid w:val="0033415D"/>
    <w:rsid w:val="00340EEF"/>
    <w:rsid w:val="00342A70"/>
    <w:rsid w:val="00342DF5"/>
    <w:rsid w:val="00352D9D"/>
    <w:rsid w:val="003562F4"/>
    <w:rsid w:val="00356E1E"/>
    <w:rsid w:val="00357DCB"/>
    <w:rsid w:val="0036020B"/>
    <w:rsid w:val="003617BD"/>
    <w:rsid w:val="00361BA7"/>
    <w:rsid w:val="003620F0"/>
    <w:rsid w:val="0036394B"/>
    <w:rsid w:val="00364255"/>
    <w:rsid w:val="00364C45"/>
    <w:rsid w:val="00365A45"/>
    <w:rsid w:val="003665BE"/>
    <w:rsid w:val="00367227"/>
    <w:rsid w:val="00367C04"/>
    <w:rsid w:val="00374CBC"/>
    <w:rsid w:val="00374DF9"/>
    <w:rsid w:val="003761FE"/>
    <w:rsid w:val="00376536"/>
    <w:rsid w:val="0037742F"/>
    <w:rsid w:val="0038056F"/>
    <w:rsid w:val="003875C2"/>
    <w:rsid w:val="003926D0"/>
    <w:rsid w:val="00393824"/>
    <w:rsid w:val="00393F08"/>
    <w:rsid w:val="00394877"/>
    <w:rsid w:val="003962C6"/>
    <w:rsid w:val="00396D1A"/>
    <w:rsid w:val="003A1337"/>
    <w:rsid w:val="003A1A39"/>
    <w:rsid w:val="003A6E98"/>
    <w:rsid w:val="003A7F1C"/>
    <w:rsid w:val="003B000A"/>
    <w:rsid w:val="003B102B"/>
    <w:rsid w:val="003B43B1"/>
    <w:rsid w:val="003B46E2"/>
    <w:rsid w:val="003B4887"/>
    <w:rsid w:val="003B587A"/>
    <w:rsid w:val="003B59E1"/>
    <w:rsid w:val="003C2D3E"/>
    <w:rsid w:val="003C2DD4"/>
    <w:rsid w:val="003C2F54"/>
    <w:rsid w:val="003C5BC9"/>
    <w:rsid w:val="003C63EA"/>
    <w:rsid w:val="003C6FAD"/>
    <w:rsid w:val="003C752F"/>
    <w:rsid w:val="003C78DC"/>
    <w:rsid w:val="003D0C39"/>
    <w:rsid w:val="003D5C5E"/>
    <w:rsid w:val="003E35D7"/>
    <w:rsid w:val="003E3EE6"/>
    <w:rsid w:val="003E4A0C"/>
    <w:rsid w:val="003E50C1"/>
    <w:rsid w:val="003E54AF"/>
    <w:rsid w:val="003E679F"/>
    <w:rsid w:val="003E7006"/>
    <w:rsid w:val="003F07BB"/>
    <w:rsid w:val="003F22A7"/>
    <w:rsid w:val="003F676E"/>
    <w:rsid w:val="003F748C"/>
    <w:rsid w:val="003F7668"/>
    <w:rsid w:val="004007E9"/>
    <w:rsid w:val="00400A4F"/>
    <w:rsid w:val="004038ED"/>
    <w:rsid w:val="0041033D"/>
    <w:rsid w:val="00411BE8"/>
    <w:rsid w:val="0041508D"/>
    <w:rsid w:val="00417739"/>
    <w:rsid w:val="004226C3"/>
    <w:rsid w:val="00422A5B"/>
    <w:rsid w:val="004240A0"/>
    <w:rsid w:val="0042475D"/>
    <w:rsid w:val="00424C17"/>
    <w:rsid w:val="00425E3A"/>
    <w:rsid w:val="00426C3A"/>
    <w:rsid w:val="0042746D"/>
    <w:rsid w:val="00430CA1"/>
    <w:rsid w:val="004332BC"/>
    <w:rsid w:val="004337DF"/>
    <w:rsid w:val="00436D33"/>
    <w:rsid w:val="00442D27"/>
    <w:rsid w:val="00443BB9"/>
    <w:rsid w:val="00446110"/>
    <w:rsid w:val="00447312"/>
    <w:rsid w:val="0044792D"/>
    <w:rsid w:val="00450CAD"/>
    <w:rsid w:val="00452611"/>
    <w:rsid w:val="0045408D"/>
    <w:rsid w:val="00454579"/>
    <w:rsid w:val="00457D2A"/>
    <w:rsid w:val="00462322"/>
    <w:rsid w:val="00464625"/>
    <w:rsid w:val="0046655E"/>
    <w:rsid w:val="00472443"/>
    <w:rsid w:val="00475C8A"/>
    <w:rsid w:val="00484D66"/>
    <w:rsid w:val="00490437"/>
    <w:rsid w:val="004916DF"/>
    <w:rsid w:val="00493432"/>
    <w:rsid w:val="0049584B"/>
    <w:rsid w:val="00497357"/>
    <w:rsid w:val="004A035F"/>
    <w:rsid w:val="004A05BE"/>
    <w:rsid w:val="004A088F"/>
    <w:rsid w:val="004A4E2A"/>
    <w:rsid w:val="004A5112"/>
    <w:rsid w:val="004B19DB"/>
    <w:rsid w:val="004B576E"/>
    <w:rsid w:val="004B71F0"/>
    <w:rsid w:val="004B7529"/>
    <w:rsid w:val="004C0125"/>
    <w:rsid w:val="004C3F77"/>
    <w:rsid w:val="004C41B9"/>
    <w:rsid w:val="004C4EED"/>
    <w:rsid w:val="004C4F1B"/>
    <w:rsid w:val="004C6A60"/>
    <w:rsid w:val="004C7A27"/>
    <w:rsid w:val="004D0168"/>
    <w:rsid w:val="004D051A"/>
    <w:rsid w:val="004D3081"/>
    <w:rsid w:val="004D4B69"/>
    <w:rsid w:val="004D5790"/>
    <w:rsid w:val="004D5F0B"/>
    <w:rsid w:val="004D634A"/>
    <w:rsid w:val="004E00A0"/>
    <w:rsid w:val="004E06DC"/>
    <w:rsid w:val="004E19BC"/>
    <w:rsid w:val="004E19E4"/>
    <w:rsid w:val="004E1B1C"/>
    <w:rsid w:val="004E324D"/>
    <w:rsid w:val="004E45A0"/>
    <w:rsid w:val="004E482F"/>
    <w:rsid w:val="004F2CF1"/>
    <w:rsid w:val="004F4BE6"/>
    <w:rsid w:val="0050062A"/>
    <w:rsid w:val="00500A18"/>
    <w:rsid w:val="00502764"/>
    <w:rsid w:val="00504ACA"/>
    <w:rsid w:val="00505D22"/>
    <w:rsid w:val="0050615C"/>
    <w:rsid w:val="00507EB9"/>
    <w:rsid w:val="00510839"/>
    <w:rsid w:val="005116C2"/>
    <w:rsid w:val="005117A0"/>
    <w:rsid w:val="005144BE"/>
    <w:rsid w:val="00515215"/>
    <w:rsid w:val="00515794"/>
    <w:rsid w:val="0051606B"/>
    <w:rsid w:val="0051665A"/>
    <w:rsid w:val="00520993"/>
    <w:rsid w:val="005237BB"/>
    <w:rsid w:val="00523B45"/>
    <w:rsid w:val="00525E6E"/>
    <w:rsid w:val="005271CD"/>
    <w:rsid w:val="005319C1"/>
    <w:rsid w:val="00531B27"/>
    <w:rsid w:val="005356E8"/>
    <w:rsid w:val="00535BE1"/>
    <w:rsid w:val="00540A28"/>
    <w:rsid w:val="005410FB"/>
    <w:rsid w:val="00542768"/>
    <w:rsid w:val="005441DA"/>
    <w:rsid w:val="00544D06"/>
    <w:rsid w:val="00550F6C"/>
    <w:rsid w:val="00551AEF"/>
    <w:rsid w:val="005543FC"/>
    <w:rsid w:val="00555B3C"/>
    <w:rsid w:val="0055780B"/>
    <w:rsid w:val="005621EA"/>
    <w:rsid w:val="005648EF"/>
    <w:rsid w:val="0056633B"/>
    <w:rsid w:val="00581117"/>
    <w:rsid w:val="0058189A"/>
    <w:rsid w:val="0058598F"/>
    <w:rsid w:val="0059193C"/>
    <w:rsid w:val="00597B83"/>
    <w:rsid w:val="005A14AD"/>
    <w:rsid w:val="005A1705"/>
    <w:rsid w:val="005A1844"/>
    <w:rsid w:val="005A2AED"/>
    <w:rsid w:val="005B0A2D"/>
    <w:rsid w:val="005B1BDB"/>
    <w:rsid w:val="005B4A88"/>
    <w:rsid w:val="005B524E"/>
    <w:rsid w:val="005B740E"/>
    <w:rsid w:val="005C0C92"/>
    <w:rsid w:val="005C18C2"/>
    <w:rsid w:val="005C5385"/>
    <w:rsid w:val="005C5CBD"/>
    <w:rsid w:val="005D2104"/>
    <w:rsid w:val="005D7F0A"/>
    <w:rsid w:val="005E1416"/>
    <w:rsid w:val="005E51A2"/>
    <w:rsid w:val="005E5584"/>
    <w:rsid w:val="005E767C"/>
    <w:rsid w:val="005F1E34"/>
    <w:rsid w:val="005F4A8C"/>
    <w:rsid w:val="005F6820"/>
    <w:rsid w:val="00601BDE"/>
    <w:rsid w:val="00602DD6"/>
    <w:rsid w:val="00604865"/>
    <w:rsid w:val="006064D3"/>
    <w:rsid w:val="00607475"/>
    <w:rsid w:val="00607B6F"/>
    <w:rsid w:val="00611064"/>
    <w:rsid w:val="0061666B"/>
    <w:rsid w:val="00620BF6"/>
    <w:rsid w:val="00626417"/>
    <w:rsid w:val="006266D2"/>
    <w:rsid w:val="006271F5"/>
    <w:rsid w:val="00634029"/>
    <w:rsid w:val="00643667"/>
    <w:rsid w:val="006445DD"/>
    <w:rsid w:val="00646C82"/>
    <w:rsid w:val="006510CA"/>
    <w:rsid w:val="00654456"/>
    <w:rsid w:val="0065724D"/>
    <w:rsid w:val="0065746E"/>
    <w:rsid w:val="00661BE3"/>
    <w:rsid w:val="006632E9"/>
    <w:rsid w:val="00663604"/>
    <w:rsid w:val="00664944"/>
    <w:rsid w:val="00666CF8"/>
    <w:rsid w:val="006701D9"/>
    <w:rsid w:val="006708FB"/>
    <w:rsid w:val="00671173"/>
    <w:rsid w:val="00672BAD"/>
    <w:rsid w:val="00673218"/>
    <w:rsid w:val="00673CDB"/>
    <w:rsid w:val="00674593"/>
    <w:rsid w:val="00675998"/>
    <w:rsid w:val="00677EEC"/>
    <w:rsid w:val="0068124B"/>
    <w:rsid w:val="006907ED"/>
    <w:rsid w:val="00692CEE"/>
    <w:rsid w:val="00692F53"/>
    <w:rsid w:val="0069616B"/>
    <w:rsid w:val="00696239"/>
    <w:rsid w:val="006A087B"/>
    <w:rsid w:val="006A0B96"/>
    <w:rsid w:val="006A1C85"/>
    <w:rsid w:val="006A37CF"/>
    <w:rsid w:val="006A655F"/>
    <w:rsid w:val="006B7F3F"/>
    <w:rsid w:val="006C05FB"/>
    <w:rsid w:val="006C0715"/>
    <w:rsid w:val="006C193B"/>
    <w:rsid w:val="006C4F2A"/>
    <w:rsid w:val="006C5DAF"/>
    <w:rsid w:val="006C70AC"/>
    <w:rsid w:val="006C7930"/>
    <w:rsid w:val="006D10A0"/>
    <w:rsid w:val="006D1EF2"/>
    <w:rsid w:val="006D22D0"/>
    <w:rsid w:val="006D2941"/>
    <w:rsid w:val="006D48B9"/>
    <w:rsid w:val="006D619E"/>
    <w:rsid w:val="006D672B"/>
    <w:rsid w:val="006E129C"/>
    <w:rsid w:val="006E195A"/>
    <w:rsid w:val="006E55B1"/>
    <w:rsid w:val="006E59F7"/>
    <w:rsid w:val="006F29BA"/>
    <w:rsid w:val="006F2F22"/>
    <w:rsid w:val="006F48A5"/>
    <w:rsid w:val="006F4EE2"/>
    <w:rsid w:val="00700C84"/>
    <w:rsid w:val="00701305"/>
    <w:rsid w:val="00702468"/>
    <w:rsid w:val="007024E3"/>
    <w:rsid w:val="00702F27"/>
    <w:rsid w:val="00706FE7"/>
    <w:rsid w:val="00712483"/>
    <w:rsid w:val="00713CAA"/>
    <w:rsid w:val="007141D5"/>
    <w:rsid w:val="00717931"/>
    <w:rsid w:val="007179B8"/>
    <w:rsid w:val="00720495"/>
    <w:rsid w:val="0072247E"/>
    <w:rsid w:val="00724AA0"/>
    <w:rsid w:val="00725DBF"/>
    <w:rsid w:val="00730FDE"/>
    <w:rsid w:val="00732531"/>
    <w:rsid w:val="00734FEA"/>
    <w:rsid w:val="00735652"/>
    <w:rsid w:val="00736042"/>
    <w:rsid w:val="00736E82"/>
    <w:rsid w:val="00740553"/>
    <w:rsid w:val="00740CD1"/>
    <w:rsid w:val="00742AFE"/>
    <w:rsid w:val="00746116"/>
    <w:rsid w:val="007507C3"/>
    <w:rsid w:val="00751E2C"/>
    <w:rsid w:val="00752599"/>
    <w:rsid w:val="00752A63"/>
    <w:rsid w:val="007534CF"/>
    <w:rsid w:val="00753994"/>
    <w:rsid w:val="00755A14"/>
    <w:rsid w:val="00756C4C"/>
    <w:rsid w:val="00757153"/>
    <w:rsid w:val="00761F0D"/>
    <w:rsid w:val="00766762"/>
    <w:rsid w:val="00771734"/>
    <w:rsid w:val="007773E8"/>
    <w:rsid w:val="00782DC1"/>
    <w:rsid w:val="00784337"/>
    <w:rsid w:val="00790CD2"/>
    <w:rsid w:val="00790E94"/>
    <w:rsid w:val="00792151"/>
    <w:rsid w:val="00792B7B"/>
    <w:rsid w:val="00794BDB"/>
    <w:rsid w:val="0079579B"/>
    <w:rsid w:val="007A1C62"/>
    <w:rsid w:val="007A2677"/>
    <w:rsid w:val="007A28C1"/>
    <w:rsid w:val="007A4CA4"/>
    <w:rsid w:val="007B147A"/>
    <w:rsid w:val="007B3EC9"/>
    <w:rsid w:val="007B4BFC"/>
    <w:rsid w:val="007B5AE8"/>
    <w:rsid w:val="007B71C4"/>
    <w:rsid w:val="007B7CDE"/>
    <w:rsid w:val="007C0213"/>
    <w:rsid w:val="007C11C1"/>
    <w:rsid w:val="007C223C"/>
    <w:rsid w:val="007C4034"/>
    <w:rsid w:val="007C4303"/>
    <w:rsid w:val="007C53FE"/>
    <w:rsid w:val="007C57A3"/>
    <w:rsid w:val="007C5FAF"/>
    <w:rsid w:val="007C6DC1"/>
    <w:rsid w:val="007C71A4"/>
    <w:rsid w:val="007C73EF"/>
    <w:rsid w:val="007D29DB"/>
    <w:rsid w:val="007D2C06"/>
    <w:rsid w:val="007E2178"/>
    <w:rsid w:val="007E3FC7"/>
    <w:rsid w:val="007E4E5D"/>
    <w:rsid w:val="007E6C07"/>
    <w:rsid w:val="007E7C44"/>
    <w:rsid w:val="007F066E"/>
    <w:rsid w:val="007F148E"/>
    <w:rsid w:val="007F1F8C"/>
    <w:rsid w:val="007F2FAA"/>
    <w:rsid w:val="007F5A1A"/>
    <w:rsid w:val="007F647F"/>
    <w:rsid w:val="007F7743"/>
    <w:rsid w:val="0080204B"/>
    <w:rsid w:val="00805F2C"/>
    <w:rsid w:val="008079DA"/>
    <w:rsid w:val="00810238"/>
    <w:rsid w:val="0081300E"/>
    <w:rsid w:val="00820146"/>
    <w:rsid w:val="00820EB3"/>
    <w:rsid w:val="008217DF"/>
    <w:rsid w:val="008243D6"/>
    <w:rsid w:val="00824F44"/>
    <w:rsid w:val="0083229E"/>
    <w:rsid w:val="008335F6"/>
    <w:rsid w:val="008348A5"/>
    <w:rsid w:val="0083525D"/>
    <w:rsid w:val="00837627"/>
    <w:rsid w:val="0084138A"/>
    <w:rsid w:val="008414A9"/>
    <w:rsid w:val="008460F9"/>
    <w:rsid w:val="0084683D"/>
    <w:rsid w:val="00847919"/>
    <w:rsid w:val="008501EF"/>
    <w:rsid w:val="00855AF8"/>
    <w:rsid w:val="008603C7"/>
    <w:rsid w:val="0086052B"/>
    <w:rsid w:val="00860A2D"/>
    <w:rsid w:val="008637C5"/>
    <w:rsid w:val="00863B28"/>
    <w:rsid w:val="00865DD9"/>
    <w:rsid w:val="008667E6"/>
    <w:rsid w:val="00874367"/>
    <w:rsid w:val="008744B7"/>
    <w:rsid w:val="0087489D"/>
    <w:rsid w:val="0087550D"/>
    <w:rsid w:val="008756DC"/>
    <w:rsid w:val="00875E30"/>
    <w:rsid w:val="0087638E"/>
    <w:rsid w:val="00877FDD"/>
    <w:rsid w:val="00881F8C"/>
    <w:rsid w:val="008829F6"/>
    <w:rsid w:val="00883422"/>
    <w:rsid w:val="008934D9"/>
    <w:rsid w:val="008940C9"/>
    <w:rsid w:val="008A0571"/>
    <w:rsid w:val="008A1950"/>
    <w:rsid w:val="008A2877"/>
    <w:rsid w:val="008A3029"/>
    <w:rsid w:val="008A39DA"/>
    <w:rsid w:val="008A5FD6"/>
    <w:rsid w:val="008A6445"/>
    <w:rsid w:val="008B1EE4"/>
    <w:rsid w:val="008B311B"/>
    <w:rsid w:val="008B55C0"/>
    <w:rsid w:val="008B7304"/>
    <w:rsid w:val="008B7DD7"/>
    <w:rsid w:val="008C0AB5"/>
    <w:rsid w:val="008C1CC9"/>
    <w:rsid w:val="008C5B1A"/>
    <w:rsid w:val="008C6804"/>
    <w:rsid w:val="008D0FA9"/>
    <w:rsid w:val="008D11C3"/>
    <w:rsid w:val="008D264D"/>
    <w:rsid w:val="008D3982"/>
    <w:rsid w:val="008D3D58"/>
    <w:rsid w:val="008D669D"/>
    <w:rsid w:val="008D7925"/>
    <w:rsid w:val="008E2D48"/>
    <w:rsid w:val="008E3D23"/>
    <w:rsid w:val="008E4290"/>
    <w:rsid w:val="008E4A82"/>
    <w:rsid w:val="008E790D"/>
    <w:rsid w:val="008F1524"/>
    <w:rsid w:val="008F2422"/>
    <w:rsid w:val="008F39B7"/>
    <w:rsid w:val="008F5526"/>
    <w:rsid w:val="00900F3B"/>
    <w:rsid w:val="009015F1"/>
    <w:rsid w:val="009016D6"/>
    <w:rsid w:val="009070D4"/>
    <w:rsid w:val="0091119B"/>
    <w:rsid w:val="00915B20"/>
    <w:rsid w:val="00916C0E"/>
    <w:rsid w:val="00917123"/>
    <w:rsid w:val="009304B7"/>
    <w:rsid w:val="009361B4"/>
    <w:rsid w:val="0093660C"/>
    <w:rsid w:val="0093743D"/>
    <w:rsid w:val="00937522"/>
    <w:rsid w:val="009423EE"/>
    <w:rsid w:val="00942880"/>
    <w:rsid w:val="0095020D"/>
    <w:rsid w:val="009517A8"/>
    <w:rsid w:val="009529F1"/>
    <w:rsid w:val="00953B7E"/>
    <w:rsid w:val="00953F77"/>
    <w:rsid w:val="00960DA0"/>
    <w:rsid w:val="00960E29"/>
    <w:rsid w:val="00961746"/>
    <w:rsid w:val="00962745"/>
    <w:rsid w:val="00962EA7"/>
    <w:rsid w:val="00964621"/>
    <w:rsid w:val="00971540"/>
    <w:rsid w:val="009720CE"/>
    <w:rsid w:val="00975367"/>
    <w:rsid w:val="00976BAE"/>
    <w:rsid w:val="00976C0D"/>
    <w:rsid w:val="009772F6"/>
    <w:rsid w:val="009823D6"/>
    <w:rsid w:val="009844C7"/>
    <w:rsid w:val="009853DB"/>
    <w:rsid w:val="00986A06"/>
    <w:rsid w:val="00991F49"/>
    <w:rsid w:val="00993F5E"/>
    <w:rsid w:val="0099404B"/>
    <w:rsid w:val="009A331F"/>
    <w:rsid w:val="009A7293"/>
    <w:rsid w:val="009B2A24"/>
    <w:rsid w:val="009B4E35"/>
    <w:rsid w:val="009C276F"/>
    <w:rsid w:val="009C2BA1"/>
    <w:rsid w:val="009D0928"/>
    <w:rsid w:val="009D1814"/>
    <w:rsid w:val="009D2C02"/>
    <w:rsid w:val="009D4E8A"/>
    <w:rsid w:val="009D5517"/>
    <w:rsid w:val="009D67A9"/>
    <w:rsid w:val="009D7EC5"/>
    <w:rsid w:val="009E39DF"/>
    <w:rsid w:val="009E7137"/>
    <w:rsid w:val="009F0FCF"/>
    <w:rsid w:val="009F4A7A"/>
    <w:rsid w:val="009F4FA1"/>
    <w:rsid w:val="00A02798"/>
    <w:rsid w:val="00A02C5C"/>
    <w:rsid w:val="00A036A2"/>
    <w:rsid w:val="00A062D0"/>
    <w:rsid w:val="00A06F45"/>
    <w:rsid w:val="00A07132"/>
    <w:rsid w:val="00A10D41"/>
    <w:rsid w:val="00A125FE"/>
    <w:rsid w:val="00A12801"/>
    <w:rsid w:val="00A17346"/>
    <w:rsid w:val="00A206E6"/>
    <w:rsid w:val="00A21533"/>
    <w:rsid w:val="00A230A3"/>
    <w:rsid w:val="00A23863"/>
    <w:rsid w:val="00A23DA6"/>
    <w:rsid w:val="00A23E36"/>
    <w:rsid w:val="00A305B6"/>
    <w:rsid w:val="00A36337"/>
    <w:rsid w:val="00A41936"/>
    <w:rsid w:val="00A44500"/>
    <w:rsid w:val="00A44E78"/>
    <w:rsid w:val="00A44EA0"/>
    <w:rsid w:val="00A46DFE"/>
    <w:rsid w:val="00A569C8"/>
    <w:rsid w:val="00A6654C"/>
    <w:rsid w:val="00A671C3"/>
    <w:rsid w:val="00A71987"/>
    <w:rsid w:val="00A7594D"/>
    <w:rsid w:val="00A77E4D"/>
    <w:rsid w:val="00A81B93"/>
    <w:rsid w:val="00A81C2D"/>
    <w:rsid w:val="00A8295D"/>
    <w:rsid w:val="00A861BF"/>
    <w:rsid w:val="00A86FFE"/>
    <w:rsid w:val="00A91370"/>
    <w:rsid w:val="00A91D71"/>
    <w:rsid w:val="00A9321A"/>
    <w:rsid w:val="00A93620"/>
    <w:rsid w:val="00A93853"/>
    <w:rsid w:val="00A93D02"/>
    <w:rsid w:val="00A95447"/>
    <w:rsid w:val="00A9612B"/>
    <w:rsid w:val="00A961AA"/>
    <w:rsid w:val="00AA1AD3"/>
    <w:rsid w:val="00AA1F06"/>
    <w:rsid w:val="00AA2B75"/>
    <w:rsid w:val="00AA32EF"/>
    <w:rsid w:val="00AA7335"/>
    <w:rsid w:val="00AB0B64"/>
    <w:rsid w:val="00AB3D9D"/>
    <w:rsid w:val="00AB43E9"/>
    <w:rsid w:val="00AB6A64"/>
    <w:rsid w:val="00AB6DD6"/>
    <w:rsid w:val="00AB6ED5"/>
    <w:rsid w:val="00AB7E8D"/>
    <w:rsid w:val="00AB7F12"/>
    <w:rsid w:val="00AC0A15"/>
    <w:rsid w:val="00AC168F"/>
    <w:rsid w:val="00AC434F"/>
    <w:rsid w:val="00AC5047"/>
    <w:rsid w:val="00AC540D"/>
    <w:rsid w:val="00AC55B6"/>
    <w:rsid w:val="00AC6B1B"/>
    <w:rsid w:val="00AC6C4E"/>
    <w:rsid w:val="00AC7911"/>
    <w:rsid w:val="00AD5C3F"/>
    <w:rsid w:val="00AD6585"/>
    <w:rsid w:val="00AD665C"/>
    <w:rsid w:val="00AD6D40"/>
    <w:rsid w:val="00AE0F1D"/>
    <w:rsid w:val="00AE3C82"/>
    <w:rsid w:val="00AE45DB"/>
    <w:rsid w:val="00AE576A"/>
    <w:rsid w:val="00AF062E"/>
    <w:rsid w:val="00AF07C4"/>
    <w:rsid w:val="00AF26C9"/>
    <w:rsid w:val="00AF5DA6"/>
    <w:rsid w:val="00B0300F"/>
    <w:rsid w:val="00B068BD"/>
    <w:rsid w:val="00B07414"/>
    <w:rsid w:val="00B11E12"/>
    <w:rsid w:val="00B1421E"/>
    <w:rsid w:val="00B16E0E"/>
    <w:rsid w:val="00B16F74"/>
    <w:rsid w:val="00B33AD8"/>
    <w:rsid w:val="00B348CF"/>
    <w:rsid w:val="00B34B64"/>
    <w:rsid w:val="00B354DF"/>
    <w:rsid w:val="00B36CAF"/>
    <w:rsid w:val="00B36FD6"/>
    <w:rsid w:val="00B37717"/>
    <w:rsid w:val="00B41B6E"/>
    <w:rsid w:val="00B44C6E"/>
    <w:rsid w:val="00B45FEB"/>
    <w:rsid w:val="00B4678C"/>
    <w:rsid w:val="00B50301"/>
    <w:rsid w:val="00B51260"/>
    <w:rsid w:val="00B5643A"/>
    <w:rsid w:val="00B61204"/>
    <w:rsid w:val="00B63061"/>
    <w:rsid w:val="00B64DFE"/>
    <w:rsid w:val="00B65679"/>
    <w:rsid w:val="00B6712D"/>
    <w:rsid w:val="00B679E3"/>
    <w:rsid w:val="00B71CE4"/>
    <w:rsid w:val="00B74253"/>
    <w:rsid w:val="00B76A4F"/>
    <w:rsid w:val="00B77339"/>
    <w:rsid w:val="00B775D4"/>
    <w:rsid w:val="00B831EE"/>
    <w:rsid w:val="00B849FE"/>
    <w:rsid w:val="00B851C6"/>
    <w:rsid w:val="00B90951"/>
    <w:rsid w:val="00B94634"/>
    <w:rsid w:val="00B95BD8"/>
    <w:rsid w:val="00B964C7"/>
    <w:rsid w:val="00B974CE"/>
    <w:rsid w:val="00BA0F4A"/>
    <w:rsid w:val="00BA128C"/>
    <w:rsid w:val="00BA12FD"/>
    <w:rsid w:val="00BB3A5D"/>
    <w:rsid w:val="00BB3B96"/>
    <w:rsid w:val="00BB5EEB"/>
    <w:rsid w:val="00BC196C"/>
    <w:rsid w:val="00BC77CB"/>
    <w:rsid w:val="00BD321C"/>
    <w:rsid w:val="00BD45E5"/>
    <w:rsid w:val="00BE19BE"/>
    <w:rsid w:val="00BE4FF0"/>
    <w:rsid w:val="00BE5BAE"/>
    <w:rsid w:val="00BE6954"/>
    <w:rsid w:val="00BF194E"/>
    <w:rsid w:val="00BF3803"/>
    <w:rsid w:val="00BF423F"/>
    <w:rsid w:val="00BF529C"/>
    <w:rsid w:val="00BF5F75"/>
    <w:rsid w:val="00BF6515"/>
    <w:rsid w:val="00BF684B"/>
    <w:rsid w:val="00BF6BC7"/>
    <w:rsid w:val="00BF6CEE"/>
    <w:rsid w:val="00BF7023"/>
    <w:rsid w:val="00BF7703"/>
    <w:rsid w:val="00C00C14"/>
    <w:rsid w:val="00C01B1E"/>
    <w:rsid w:val="00C0242B"/>
    <w:rsid w:val="00C04F0F"/>
    <w:rsid w:val="00C05933"/>
    <w:rsid w:val="00C05CD8"/>
    <w:rsid w:val="00C10EB3"/>
    <w:rsid w:val="00C11C69"/>
    <w:rsid w:val="00C13D5C"/>
    <w:rsid w:val="00C152B8"/>
    <w:rsid w:val="00C15BB2"/>
    <w:rsid w:val="00C15D84"/>
    <w:rsid w:val="00C164FB"/>
    <w:rsid w:val="00C2126A"/>
    <w:rsid w:val="00C25DF3"/>
    <w:rsid w:val="00C26EBB"/>
    <w:rsid w:val="00C278B1"/>
    <w:rsid w:val="00C328D2"/>
    <w:rsid w:val="00C370F8"/>
    <w:rsid w:val="00C40BCF"/>
    <w:rsid w:val="00C4154D"/>
    <w:rsid w:val="00C435EB"/>
    <w:rsid w:val="00C45A18"/>
    <w:rsid w:val="00C5280C"/>
    <w:rsid w:val="00C5665E"/>
    <w:rsid w:val="00C56D65"/>
    <w:rsid w:val="00C57626"/>
    <w:rsid w:val="00C601D3"/>
    <w:rsid w:val="00C610A0"/>
    <w:rsid w:val="00C61819"/>
    <w:rsid w:val="00C624BF"/>
    <w:rsid w:val="00C6592B"/>
    <w:rsid w:val="00C674D5"/>
    <w:rsid w:val="00C705EC"/>
    <w:rsid w:val="00C70C7C"/>
    <w:rsid w:val="00C7472E"/>
    <w:rsid w:val="00C7547C"/>
    <w:rsid w:val="00C7588C"/>
    <w:rsid w:val="00C81470"/>
    <w:rsid w:val="00C876D8"/>
    <w:rsid w:val="00C8789B"/>
    <w:rsid w:val="00C9214F"/>
    <w:rsid w:val="00C921F0"/>
    <w:rsid w:val="00C92437"/>
    <w:rsid w:val="00C925D5"/>
    <w:rsid w:val="00C94931"/>
    <w:rsid w:val="00C95C80"/>
    <w:rsid w:val="00C96242"/>
    <w:rsid w:val="00CA0824"/>
    <w:rsid w:val="00CA0DC1"/>
    <w:rsid w:val="00CA447C"/>
    <w:rsid w:val="00CA6DF1"/>
    <w:rsid w:val="00CB203F"/>
    <w:rsid w:val="00CB3D2B"/>
    <w:rsid w:val="00CB6598"/>
    <w:rsid w:val="00CB673E"/>
    <w:rsid w:val="00CB7DF4"/>
    <w:rsid w:val="00CC02FC"/>
    <w:rsid w:val="00CC1437"/>
    <w:rsid w:val="00CC183E"/>
    <w:rsid w:val="00CC3086"/>
    <w:rsid w:val="00CC68A5"/>
    <w:rsid w:val="00CD151D"/>
    <w:rsid w:val="00CD17E4"/>
    <w:rsid w:val="00CD2AD7"/>
    <w:rsid w:val="00CD43C1"/>
    <w:rsid w:val="00CD611D"/>
    <w:rsid w:val="00CD6C9A"/>
    <w:rsid w:val="00CD743E"/>
    <w:rsid w:val="00CD7E73"/>
    <w:rsid w:val="00CE0972"/>
    <w:rsid w:val="00CE6079"/>
    <w:rsid w:val="00CE7555"/>
    <w:rsid w:val="00CE7D86"/>
    <w:rsid w:val="00CF0995"/>
    <w:rsid w:val="00CF1FBB"/>
    <w:rsid w:val="00CF38EB"/>
    <w:rsid w:val="00CF4517"/>
    <w:rsid w:val="00CF541C"/>
    <w:rsid w:val="00D00D5C"/>
    <w:rsid w:val="00D0358C"/>
    <w:rsid w:val="00D058EB"/>
    <w:rsid w:val="00D07458"/>
    <w:rsid w:val="00D11AB5"/>
    <w:rsid w:val="00D1465B"/>
    <w:rsid w:val="00D20ACD"/>
    <w:rsid w:val="00D22CD4"/>
    <w:rsid w:val="00D236A4"/>
    <w:rsid w:val="00D250DA"/>
    <w:rsid w:val="00D265BD"/>
    <w:rsid w:val="00D27109"/>
    <w:rsid w:val="00D2732E"/>
    <w:rsid w:val="00D27CD7"/>
    <w:rsid w:val="00D27CF9"/>
    <w:rsid w:val="00D27F8E"/>
    <w:rsid w:val="00D32346"/>
    <w:rsid w:val="00D325C3"/>
    <w:rsid w:val="00D35423"/>
    <w:rsid w:val="00D35545"/>
    <w:rsid w:val="00D36136"/>
    <w:rsid w:val="00D4140E"/>
    <w:rsid w:val="00D41BE3"/>
    <w:rsid w:val="00D421A0"/>
    <w:rsid w:val="00D4264D"/>
    <w:rsid w:val="00D42BE7"/>
    <w:rsid w:val="00D44326"/>
    <w:rsid w:val="00D47076"/>
    <w:rsid w:val="00D47253"/>
    <w:rsid w:val="00D50E60"/>
    <w:rsid w:val="00D56257"/>
    <w:rsid w:val="00D57FBE"/>
    <w:rsid w:val="00D649D5"/>
    <w:rsid w:val="00D6542A"/>
    <w:rsid w:val="00D65A96"/>
    <w:rsid w:val="00D7075C"/>
    <w:rsid w:val="00D70C26"/>
    <w:rsid w:val="00D72A1D"/>
    <w:rsid w:val="00D75E71"/>
    <w:rsid w:val="00D80FC0"/>
    <w:rsid w:val="00D81899"/>
    <w:rsid w:val="00D81FA4"/>
    <w:rsid w:val="00D82C55"/>
    <w:rsid w:val="00D833E2"/>
    <w:rsid w:val="00D8677D"/>
    <w:rsid w:val="00D96858"/>
    <w:rsid w:val="00DA542B"/>
    <w:rsid w:val="00DA5AB9"/>
    <w:rsid w:val="00DB1879"/>
    <w:rsid w:val="00DB2C52"/>
    <w:rsid w:val="00DB56E2"/>
    <w:rsid w:val="00DB5B8C"/>
    <w:rsid w:val="00DB6B6A"/>
    <w:rsid w:val="00DB707D"/>
    <w:rsid w:val="00DC0193"/>
    <w:rsid w:val="00DC10E9"/>
    <w:rsid w:val="00DC1379"/>
    <w:rsid w:val="00DC1787"/>
    <w:rsid w:val="00DC33A1"/>
    <w:rsid w:val="00DC4067"/>
    <w:rsid w:val="00DC540F"/>
    <w:rsid w:val="00DC558D"/>
    <w:rsid w:val="00DD17DB"/>
    <w:rsid w:val="00DD1E46"/>
    <w:rsid w:val="00DD7A32"/>
    <w:rsid w:val="00DF0D14"/>
    <w:rsid w:val="00DF123B"/>
    <w:rsid w:val="00DF32A3"/>
    <w:rsid w:val="00DF3CEF"/>
    <w:rsid w:val="00DF61EB"/>
    <w:rsid w:val="00E0113A"/>
    <w:rsid w:val="00E037D1"/>
    <w:rsid w:val="00E0460F"/>
    <w:rsid w:val="00E058AA"/>
    <w:rsid w:val="00E10BD3"/>
    <w:rsid w:val="00E10C4E"/>
    <w:rsid w:val="00E12D16"/>
    <w:rsid w:val="00E13945"/>
    <w:rsid w:val="00E14162"/>
    <w:rsid w:val="00E1447C"/>
    <w:rsid w:val="00E15D35"/>
    <w:rsid w:val="00E16106"/>
    <w:rsid w:val="00E162B2"/>
    <w:rsid w:val="00E2028C"/>
    <w:rsid w:val="00E211D9"/>
    <w:rsid w:val="00E22BE4"/>
    <w:rsid w:val="00E23BC8"/>
    <w:rsid w:val="00E34C2F"/>
    <w:rsid w:val="00E34C5C"/>
    <w:rsid w:val="00E35FF9"/>
    <w:rsid w:val="00E36583"/>
    <w:rsid w:val="00E40883"/>
    <w:rsid w:val="00E4275F"/>
    <w:rsid w:val="00E45DFC"/>
    <w:rsid w:val="00E4746C"/>
    <w:rsid w:val="00E47D45"/>
    <w:rsid w:val="00E526A9"/>
    <w:rsid w:val="00E5571C"/>
    <w:rsid w:val="00E60B53"/>
    <w:rsid w:val="00E6262E"/>
    <w:rsid w:val="00E636A4"/>
    <w:rsid w:val="00E65191"/>
    <w:rsid w:val="00E656BE"/>
    <w:rsid w:val="00E66492"/>
    <w:rsid w:val="00E7052D"/>
    <w:rsid w:val="00E71216"/>
    <w:rsid w:val="00E71FD1"/>
    <w:rsid w:val="00E73A4F"/>
    <w:rsid w:val="00E73BB2"/>
    <w:rsid w:val="00E745A3"/>
    <w:rsid w:val="00E76AAE"/>
    <w:rsid w:val="00E8624E"/>
    <w:rsid w:val="00E90B2C"/>
    <w:rsid w:val="00E90BB4"/>
    <w:rsid w:val="00E92A2B"/>
    <w:rsid w:val="00E92C20"/>
    <w:rsid w:val="00E97757"/>
    <w:rsid w:val="00EA0D81"/>
    <w:rsid w:val="00EA4567"/>
    <w:rsid w:val="00EA752F"/>
    <w:rsid w:val="00EB21FB"/>
    <w:rsid w:val="00EB3A4D"/>
    <w:rsid w:val="00EB44BE"/>
    <w:rsid w:val="00EB699E"/>
    <w:rsid w:val="00EC1A58"/>
    <w:rsid w:val="00EC2FD4"/>
    <w:rsid w:val="00EC334E"/>
    <w:rsid w:val="00EC4D96"/>
    <w:rsid w:val="00EC5A14"/>
    <w:rsid w:val="00ED15A1"/>
    <w:rsid w:val="00ED5E76"/>
    <w:rsid w:val="00ED6183"/>
    <w:rsid w:val="00EE22D8"/>
    <w:rsid w:val="00EE381F"/>
    <w:rsid w:val="00EE5DA2"/>
    <w:rsid w:val="00EE6CC0"/>
    <w:rsid w:val="00EF0205"/>
    <w:rsid w:val="00EF2605"/>
    <w:rsid w:val="00EF3C6D"/>
    <w:rsid w:val="00EF3D1A"/>
    <w:rsid w:val="00EF5EAC"/>
    <w:rsid w:val="00F040E6"/>
    <w:rsid w:val="00F12B61"/>
    <w:rsid w:val="00F1319F"/>
    <w:rsid w:val="00F14669"/>
    <w:rsid w:val="00F15A8D"/>
    <w:rsid w:val="00F204A1"/>
    <w:rsid w:val="00F21E4E"/>
    <w:rsid w:val="00F22925"/>
    <w:rsid w:val="00F2530E"/>
    <w:rsid w:val="00F25F89"/>
    <w:rsid w:val="00F26A2E"/>
    <w:rsid w:val="00F310C5"/>
    <w:rsid w:val="00F31659"/>
    <w:rsid w:val="00F331A6"/>
    <w:rsid w:val="00F34551"/>
    <w:rsid w:val="00F35372"/>
    <w:rsid w:val="00F4385D"/>
    <w:rsid w:val="00F4394A"/>
    <w:rsid w:val="00F45B9C"/>
    <w:rsid w:val="00F45C9B"/>
    <w:rsid w:val="00F47BB1"/>
    <w:rsid w:val="00F521FD"/>
    <w:rsid w:val="00F52AF4"/>
    <w:rsid w:val="00F53632"/>
    <w:rsid w:val="00F54B58"/>
    <w:rsid w:val="00F557A8"/>
    <w:rsid w:val="00F56F84"/>
    <w:rsid w:val="00F60CAF"/>
    <w:rsid w:val="00F60F83"/>
    <w:rsid w:val="00F6455B"/>
    <w:rsid w:val="00F65845"/>
    <w:rsid w:val="00F66C42"/>
    <w:rsid w:val="00F67FBD"/>
    <w:rsid w:val="00F706C7"/>
    <w:rsid w:val="00F732B7"/>
    <w:rsid w:val="00F75A71"/>
    <w:rsid w:val="00F76A69"/>
    <w:rsid w:val="00F82D85"/>
    <w:rsid w:val="00F84A9A"/>
    <w:rsid w:val="00F90844"/>
    <w:rsid w:val="00F95D14"/>
    <w:rsid w:val="00FA2A41"/>
    <w:rsid w:val="00FA370C"/>
    <w:rsid w:val="00FA40F1"/>
    <w:rsid w:val="00FA5060"/>
    <w:rsid w:val="00FB38E4"/>
    <w:rsid w:val="00FB5DBF"/>
    <w:rsid w:val="00FB7251"/>
    <w:rsid w:val="00FC2CAA"/>
    <w:rsid w:val="00FC3EF6"/>
    <w:rsid w:val="00FC42D8"/>
    <w:rsid w:val="00FD408F"/>
    <w:rsid w:val="00FD40C4"/>
    <w:rsid w:val="00FD5248"/>
    <w:rsid w:val="00FD6601"/>
    <w:rsid w:val="00FE1477"/>
    <w:rsid w:val="00FE428E"/>
    <w:rsid w:val="00FE45E4"/>
    <w:rsid w:val="00FE4EAC"/>
    <w:rsid w:val="00FE60FB"/>
    <w:rsid w:val="00FF0DA3"/>
    <w:rsid w:val="00FF13DF"/>
    <w:rsid w:val="00FF6C0C"/>
    <w:rsid w:val="00FF7B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HAnsi"/>
        <w:color w:val="231F20"/>
        <w:sz w:val="24"/>
        <w:szCs w:val="22"/>
        <w:lang w:val="en-US" w:eastAsia="en-US" w:bidi="ar-SA"/>
      </w:rPr>
    </w:rPrDefault>
    <w:pPrDefault>
      <w:pPr>
        <w:ind w:left="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1D3"/>
  </w:style>
  <w:style w:type="paragraph" w:styleId="Heading1">
    <w:name w:val="heading 1"/>
    <w:basedOn w:val="Normal"/>
    <w:next w:val="Normal"/>
    <w:link w:val="Heading1Char"/>
    <w:uiPriority w:val="9"/>
    <w:qFormat/>
    <w:rsid w:val="00C601D3"/>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C601D3"/>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C601D3"/>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C601D3"/>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C601D3"/>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C601D3"/>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C601D3"/>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C601D3"/>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C601D3"/>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01D3"/>
    <w:pPr>
      <w:contextualSpacing/>
    </w:pPr>
  </w:style>
  <w:style w:type="paragraph" w:styleId="Header">
    <w:name w:val="header"/>
    <w:basedOn w:val="Normal"/>
    <w:link w:val="HeaderChar"/>
    <w:uiPriority w:val="99"/>
    <w:unhideWhenUsed/>
    <w:rsid w:val="00953F77"/>
    <w:pPr>
      <w:tabs>
        <w:tab w:val="center" w:pos="4680"/>
        <w:tab w:val="right" w:pos="9360"/>
      </w:tabs>
    </w:pPr>
  </w:style>
  <w:style w:type="character" w:customStyle="1" w:styleId="HeaderChar">
    <w:name w:val="Header Char"/>
    <w:basedOn w:val="DefaultParagraphFont"/>
    <w:link w:val="Header"/>
    <w:uiPriority w:val="99"/>
    <w:rsid w:val="00953F77"/>
  </w:style>
  <w:style w:type="paragraph" w:styleId="Footer">
    <w:name w:val="footer"/>
    <w:basedOn w:val="Normal"/>
    <w:link w:val="FooterChar"/>
    <w:uiPriority w:val="99"/>
    <w:unhideWhenUsed/>
    <w:rsid w:val="00953F77"/>
    <w:pPr>
      <w:tabs>
        <w:tab w:val="center" w:pos="4680"/>
        <w:tab w:val="right" w:pos="9360"/>
      </w:tabs>
    </w:pPr>
  </w:style>
  <w:style w:type="character" w:customStyle="1" w:styleId="FooterChar">
    <w:name w:val="Footer Char"/>
    <w:basedOn w:val="DefaultParagraphFont"/>
    <w:link w:val="Footer"/>
    <w:uiPriority w:val="99"/>
    <w:rsid w:val="00953F77"/>
  </w:style>
  <w:style w:type="paragraph" w:customStyle="1" w:styleId="Default">
    <w:name w:val="Default"/>
    <w:rsid w:val="00EF3D1A"/>
    <w:pPr>
      <w:autoSpaceDE w:val="0"/>
      <w:autoSpaceDN w:val="0"/>
      <w:adjustRightInd w:val="0"/>
    </w:pPr>
    <w:rPr>
      <w:rFonts w:ascii="MillerText RomanSC" w:hAnsi="MillerText RomanSC" w:cs="MillerText RomanSC"/>
      <w:color w:val="000000"/>
      <w:szCs w:val="24"/>
    </w:rPr>
  </w:style>
  <w:style w:type="character" w:customStyle="1" w:styleId="A11">
    <w:name w:val="A1+1"/>
    <w:uiPriority w:val="99"/>
    <w:rsid w:val="00EF3D1A"/>
    <w:rPr>
      <w:rFonts w:cs="MillerText Roman"/>
      <w:color w:val="000000"/>
      <w:sz w:val="18"/>
      <w:szCs w:val="18"/>
    </w:rPr>
  </w:style>
  <w:style w:type="character" w:customStyle="1" w:styleId="A3">
    <w:name w:val="A3"/>
    <w:uiPriority w:val="99"/>
    <w:rsid w:val="00F67FBD"/>
    <w:rPr>
      <w:rFonts w:cs="MillerText Roman"/>
      <w:color w:val="000000"/>
      <w:sz w:val="10"/>
      <w:szCs w:val="10"/>
    </w:rPr>
  </w:style>
  <w:style w:type="character" w:customStyle="1" w:styleId="A4">
    <w:name w:val="A4"/>
    <w:uiPriority w:val="99"/>
    <w:rsid w:val="007507C3"/>
    <w:rPr>
      <w:rFonts w:ascii="BentonGothicCond Bold" w:hAnsi="BentonGothicCond Bold" w:cs="BentonGothicCond Bold"/>
      <w:b/>
      <w:bCs/>
      <w:color w:val="000000"/>
      <w:sz w:val="16"/>
      <w:szCs w:val="16"/>
    </w:rPr>
  </w:style>
  <w:style w:type="paragraph" w:customStyle="1" w:styleId="Pa6">
    <w:name w:val="Pa6"/>
    <w:basedOn w:val="Default"/>
    <w:next w:val="Default"/>
    <w:uiPriority w:val="99"/>
    <w:rsid w:val="007507C3"/>
    <w:pPr>
      <w:spacing w:line="151" w:lineRule="atLeast"/>
    </w:pPr>
    <w:rPr>
      <w:rFonts w:ascii="BentonGothicCond Regular" w:hAnsi="BentonGothicCond Regular" w:cstheme="minorBidi"/>
      <w:color w:val="auto"/>
    </w:rPr>
  </w:style>
  <w:style w:type="character" w:customStyle="1" w:styleId="A71">
    <w:name w:val="A7+1"/>
    <w:uiPriority w:val="99"/>
    <w:rsid w:val="007507C3"/>
    <w:rPr>
      <w:rFonts w:cs="BentonGothicCond Regular"/>
      <w:color w:val="000000"/>
      <w:sz w:val="8"/>
      <w:szCs w:val="8"/>
    </w:rPr>
  </w:style>
  <w:style w:type="character" w:customStyle="1" w:styleId="A01">
    <w:name w:val="A0+1"/>
    <w:uiPriority w:val="99"/>
    <w:rsid w:val="00DC10E9"/>
    <w:rPr>
      <w:rFonts w:cs="MillerText Roman"/>
      <w:color w:val="000000"/>
      <w:sz w:val="18"/>
      <w:szCs w:val="18"/>
    </w:rPr>
  </w:style>
  <w:style w:type="character" w:customStyle="1" w:styleId="A2">
    <w:name w:val="A2"/>
    <w:uiPriority w:val="99"/>
    <w:rsid w:val="00EE22D8"/>
    <w:rPr>
      <w:rFonts w:cs="MillerText Roman"/>
      <w:color w:val="000000"/>
      <w:sz w:val="10"/>
      <w:szCs w:val="10"/>
    </w:rPr>
  </w:style>
  <w:style w:type="character" w:customStyle="1" w:styleId="A62">
    <w:name w:val="A6+2"/>
    <w:uiPriority w:val="99"/>
    <w:rsid w:val="00FF13DF"/>
    <w:rPr>
      <w:rFonts w:ascii="BentonGothicCond Bold" w:hAnsi="BentonGothicCond Bold" w:cs="BentonGothicCond Bold"/>
      <w:b/>
      <w:bCs/>
      <w:color w:val="000000"/>
      <w:sz w:val="16"/>
      <w:szCs w:val="16"/>
    </w:rPr>
  </w:style>
  <w:style w:type="character" w:customStyle="1" w:styleId="A02">
    <w:name w:val="A0+2"/>
    <w:uiPriority w:val="99"/>
    <w:rsid w:val="002A3661"/>
    <w:rPr>
      <w:rFonts w:cs="MillerText Roman"/>
      <w:color w:val="000000"/>
      <w:sz w:val="18"/>
      <w:szCs w:val="18"/>
    </w:rPr>
  </w:style>
  <w:style w:type="character" w:customStyle="1" w:styleId="A63">
    <w:name w:val="A6+3"/>
    <w:uiPriority w:val="99"/>
    <w:rsid w:val="00A206E6"/>
    <w:rPr>
      <w:rFonts w:cs="MillerText Roman"/>
      <w:color w:val="000000"/>
      <w:sz w:val="10"/>
      <w:szCs w:val="10"/>
    </w:rPr>
  </w:style>
  <w:style w:type="character" w:customStyle="1" w:styleId="A13">
    <w:name w:val="A1+3"/>
    <w:uiPriority w:val="99"/>
    <w:rsid w:val="00771734"/>
    <w:rPr>
      <w:rFonts w:cs="MillerText Roman"/>
      <w:color w:val="000000"/>
      <w:sz w:val="18"/>
      <w:szCs w:val="18"/>
    </w:rPr>
  </w:style>
  <w:style w:type="character" w:customStyle="1" w:styleId="Heading1Char">
    <w:name w:val="Heading 1 Char"/>
    <w:basedOn w:val="DefaultParagraphFont"/>
    <w:link w:val="Heading1"/>
    <w:uiPriority w:val="9"/>
    <w:rsid w:val="00C601D3"/>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C601D3"/>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C601D3"/>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C601D3"/>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C601D3"/>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C601D3"/>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C601D3"/>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C601D3"/>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C601D3"/>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C601D3"/>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C601D3"/>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C601D3"/>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C601D3"/>
    <w:rPr>
      <w:rFonts w:asciiTheme="majorHAnsi" w:eastAsiaTheme="majorEastAsia" w:hAnsiTheme="majorHAnsi" w:cstheme="majorBidi"/>
      <w:i/>
      <w:iCs/>
      <w:spacing w:val="13"/>
      <w:sz w:val="24"/>
      <w:szCs w:val="24"/>
    </w:rPr>
  </w:style>
  <w:style w:type="character" w:styleId="Strong">
    <w:name w:val="Strong"/>
    <w:uiPriority w:val="22"/>
    <w:qFormat/>
    <w:rsid w:val="00C601D3"/>
    <w:rPr>
      <w:b/>
      <w:bCs/>
    </w:rPr>
  </w:style>
  <w:style w:type="character" w:styleId="Emphasis">
    <w:name w:val="Emphasis"/>
    <w:uiPriority w:val="20"/>
    <w:qFormat/>
    <w:rsid w:val="00C601D3"/>
    <w:rPr>
      <w:b/>
      <w:bCs/>
      <w:i/>
      <w:iCs/>
      <w:spacing w:val="10"/>
      <w:bdr w:val="none" w:sz="0" w:space="0" w:color="auto"/>
      <w:shd w:val="clear" w:color="auto" w:fill="auto"/>
    </w:rPr>
  </w:style>
  <w:style w:type="paragraph" w:styleId="NoSpacing">
    <w:name w:val="No Spacing"/>
    <w:basedOn w:val="Normal"/>
    <w:uiPriority w:val="1"/>
    <w:qFormat/>
    <w:rsid w:val="00C601D3"/>
  </w:style>
  <w:style w:type="paragraph" w:styleId="Quote">
    <w:name w:val="Quote"/>
    <w:basedOn w:val="Normal"/>
    <w:next w:val="Normal"/>
    <w:link w:val="QuoteChar"/>
    <w:uiPriority w:val="29"/>
    <w:qFormat/>
    <w:rsid w:val="00C601D3"/>
    <w:pPr>
      <w:spacing w:before="200"/>
      <w:ind w:right="360"/>
    </w:pPr>
    <w:rPr>
      <w:i/>
      <w:iCs/>
    </w:rPr>
  </w:style>
  <w:style w:type="character" w:customStyle="1" w:styleId="QuoteChar">
    <w:name w:val="Quote Char"/>
    <w:basedOn w:val="DefaultParagraphFont"/>
    <w:link w:val="Quote"/>
    <w:uiPriority w:val="29"/>
    <w:rsid w:val="00C601D3"/>
    <w:rPr>
      <w:i/>
      <w:iCs/>
    </w:rPr>
  </w:style>
  <w:style w:type="paragraph" w:styleId="IntenseQuote">
    <w:name w:val="Intense Quote"/>
    <w:basedOn w:val="Normal"/>
    <w:next w:val="Normal"/>
    <w:link w:val="IntenseQuoteChar"/>
    <w:uiPriority w:val="30"/>
    <w:qFormat/>
    <w:rsid w:val="00C601D3"/>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C601D3"/>
    <w:rPr>
      <w:b/>
      <w:bCs/>
      <w:i/>
      <w:iCs/>
    </w:rPr>
  </w:style>
  <w:style w:type="character" w:styleId="SubtleEmphasis">
    <w:name w:val="Subtle Emphasis"/>
    <w:uiPriority w:val="19"/>
    <w:qFormat/>
    <w:rsid w:val="00C601D3"/>
    <w:rPr>
      <w:i/>
      <w:iCs/>
    </w:rPr>
  </w:style>
  <w:style w:type="character" w:styleId="IntenseEmphasis">
    <w:name w:val="Intense Emphasis"/>
    <w:uiPriority w:val="21"/>
    <w:qFormat/>
    <w:rsid w:val="00C601D3"/>
    <w:rPr>
      <w:b/>
      <w:bCs/>
    </w:rPr>
  </w:style>
  <w:style w:type="character" w:styleId="SubtleReference">
    <w:name w:val="Subtle Reference"/>
    <w:uiPriority w:val="31"/>
    <w:qFormat/>
    <w:rsid w:val="00C601D3"/>
    <w:rPr>
      <w:smallCaps/>
    </w:rPr>
  </w:style>
  <w:style w:type="character" w:styleId="IntenseReference">
    <w:name w:val="Intense Reference"/>
    <w:uiPriority w:val="32"/>
    <w:qFormat/>
    <w:rsid w:val="00C601D3"/>
    <w:rPr>
      <w:smallCaps/>
      <w:spacing w:val="5"/>
      <w:u w:val="single"/>
    </w:rPr>
  </w:style>
  <w:style w:type="character" w:styleId="BookTitle">
    <w:name w:val="Book Title"/>
    <w:uiPriority w:val="33"/>
    <w:qFormat/>
    <w:rsid w:val="00C601D3"/>
    <w:rPr>
      <w:i/>
      <w:iCs/>
      <w:smallCaps/>
      <w:spacing w:val="5"/>
    </w:rPr>
  </w:style>
  <w:style w:type="paragraph" w:styleId="TOCHeading">
    <w:name w:val="TOC Heading"/>
    <w:basedOn w:val="Heading1"/>
    <w:next w:val="Normal"/>
    <w:uiPriority w:val="39"/>
    <w:semiHidden/>
    <w:unhideWhenUsed/>
    <w:qFormat/>
    <w:rsid w:val="00C601D3"/>
    <w:pPr>
      <w:outlineLvl w:val="9"/>
    </w:pPr>
    <w:rPr>
      <w:lang w:bidi="en-US"/>
    </w:rPr>
  </w:style>
  <w:style w:type="character" w:styleId="Hyperlink">
    <w:name w:val="Hyperlink"/>
    <w:basedOn w:val="DefaultParagraphFont"/>
    <w:uiPriority w:val="99"/>
    <w:unhideWhenUsed/>
    <w:rsid w:val="00E90BB4"/>
    <w:rPr>
      <w:color w:val="0000FF" w:themeColor="hyperlink"/>
      <w:u w:val="single"/>
    </w:rPr>
  </w:style>
  <w:style w:type="paragraph" w:styleId="BalloonText">
    <w:name w:val="Balloon Text"/>
    <w:basedOn w:val="Normal"/>
    <w:link w:val="BalloonTextChar"/>
    <w:uiPriority w:val="99"/>
    <w:semiHidden/>
    <w:unhideWhenUsed/>
    <w:rsid w:val="00AD5C3F"/>
    <w:rPr>
      <w:rFonts w:ascii="Tahoma" w:hAnsi="Tahoma" w:cs="Tahoma"/>
      <w:sz w:val="16"/>
      <w:szCs w:val="16"/>
    </w:rPr>
  </w:style>
  <w:style w:type="character" w:customStyle="1" w:styleId="BalloonTextChar">
    <w:name w:val="Balloon Text Char"/>
    <w:basedOn w:val="DefaultParagraphFont"/>
    <w:link w:val="BalloonText"/>
    <w:uiPriority w:val="99"/>
    <w:semiHidden/>
    <w:rsid w:val="00AD5C3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HAnsi"/>
        <w:color w:val="231F20"/>
        <w:sz w:val="24"/>
        <w:szCs w:val="22"/>
        <w:lang w:val="en-US" w:eastAsia="en-US" w:bidi="ar-SA"/>
      </w:rPr>
    </w:rPrDefault>
    <w:pPrDefault>
      <w:pPr>
        <w:ind w:left="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1D3"/>
  </w:style>
  <w:style w:type="paragraph" w:styleId="Heading1">
    <w:name w:val="heading 1"/>
    <w:basedOn w:val="Normal"/>
    <w:next w:val="Normal"/>
    <w:link w:val="Heading1Char"/>
    <w:uiPriority w:val="9"/>
    <w:qFormat/>
    <w:rsid w:val="00C601D3"/>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C601D3"/>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C601D3"/>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C601D3"/>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C601D3"/>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C601D3"/>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C601D3"/>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C601D3"/>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C601D3"/>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01D3"/>
    <w:pPr>
      <w:contextualSpacing/>
    </w:pPr>
  </w:style>
  <w:style w:type="paragraph" w:styleId="Header">
    <w:name w:val="header"/>
    <w:basedOn w:val="Normal"/>
    <w:link w:val="HeaderChar"/>
    <w:uiPriority w:val="99"/>
    <w:unhideWhenUsed/>
    <w:rsid w:val="00953F77"/>
    <w:pPr>
      <w:tabs>
        <w:tab w:val="center" w:pos="4680"/>
        <w:tab w:val="right" w:pos="9360"/>
      </w:tabs>
    </w:pPr>
  </w:style>
  <w:style w:type="character" w:customStyle="1" w:styleId="HeaderChar">
    <w:name w:val="Header Char"/>
    <w:basedOn w:val="DefaultParagraphFont"/>
    <w:link w:val="Header"/>
    <w:uiPriority w:val="99"/>
    <w:rsid w:val="00953F77"/>
  </w:style>
  <w:style w:type="paragraph" w:styleId="Footer">
    <w:name w:val="footer"/>
    <w:basedOn w:val="Normal"/>
    <w:link w:val="FooterChar"/>
    <w:uiPriority w:val="99"/>
    <w:unhideWhenUsed/>
    <w:rsid w:val="00953F77"/>
    <w:pPr>
      <w:tabs>
        <w:tab w:val="center" w:pos="4680"/>
        <w:tab w:val="right" w:pos="9360"/>
      </w:tabs>
    </w:pPr>
  </w:style>
  <w:style w:type="character" w:customStyle="1" w:styleId="FooterChar">
    <w:name w:val="Footer Char"/>
    <w:basedOn w:val="DefaultParagraphFont"/>
    <w:link w:val="Footer"/>
    <w:uiPriority w:val="99"/>
    <w:rsid w:val="00953F77"/>
  </w:style>
  <w:style w:type="paragraph" w:customStyle="1" w:styleId="Default">
    <w:name w:val="Default"/>
    <w:rsid w:val="00EF3D1A"/>
    <w:pPr>
      <w:autoSpaceDE w:val="0"/>
      <w:autoSpaceDN w:val="0"/>
      <w:adjustRightInd w:val="0"/>
    </w:pPr>
    <w:rPr>
      <w:rFonts w:ascii="MillerText RomanSC" w:hAnsi="MillerText RomanSC" w:cs="MillerText RomanSC"/>
      <w:color w:val="000000"/>
      <w:szCs w:val="24"/>
    </w:rPr>
  </w:style>
  <w:style w:type="character" w:customStyle="1" w:styleId="A11">
    <w:name w:val="A1+1"/>
    <w:uiPriority w:val="99"/>
    <w:rsid w:val="00EF3D1A"/>
    <w:rPr>
      <w:rFonts w:cs="MillerText Roman"/>
      <w:color w:val="000000"/>
      <w:sz w:val="18"/>
      <w:szCs w:val="18"/>
    </w:rPr>
  </w:style>
  <w:style w:type="character" w:customStyle="1" w:styleId="A3">
    <w:name w:val="A3"/>
    <w:uiPriority w:val="99"/>
    <w:rsid w:val="00F67FBD"/>
    <w:rPr>
      <w:rFonts w:cs="MillerText Roman"/>
      <w:color w:val="000000"/>
      <w:sz w:val="10"/>
      <w:szCs w:val="10"/>
    </w:rPr>
  </w:style>
  <w:style w:type="character" w:customStyle="1" w:styleId="A4">
    <w:name w:val="A4"/>
    <w:uiPriority w:val="99"/>
    <w:rsid w:val="007507C3"/>
    <w:rPr>
      <w:rFonts w:ascii="BentonGothicCond Bold" w:hAnsi="BentonGothicCond Bold" w:cs="BentonGothicCond Bold"/>
      <w:b/>
      <w:bCs/>
      <w:color w:val="000000"/>
      <w:sz w:val="16"/>
      <w:szCs w:val="16"/>
    </w:rPr>
  </w:style>
  <w:style w:type="paragraph" w:customStyle="1" w:styleId="Pa6">
    <w:name w:val="Pa6"/>
    <w:basedOn w:val="Default"/>
    <w:next w:val="Default"/>
    <w:uiPriority w:val="99"/>
    <w:rsid w:val="007507C3"/>
    <w:pPr>
      <w:spacing w:line="151" w:lineRule="atLeast"/>
    </w:pPr>
    <w:rPr>
      <w:rFonts w:ascii="BentonGothicCond Regular" w:hAnsi="BentonGothicCond Regular" w:cstheme="minorBidi"/>
      <w:color w:val="auto"/>
    </w:rPr>
  </w:style>
  <w:style w:type="character" w:customStyle="1" w:styleId="A71">
    <w:name w:val="A7+1"/>
    <w:uiPriority w:val="99"/>
    <w:rsid w:val="007507C3"/>
    <w:rPr>
      <w:rFonts w:cs="BentonGothicCond Regular"/>
      <w:color w:val="000000"/>
      <w:sz w:val="8"/>
      <w:szCs w:val="8"/>
    </w:rPr>
  </w:style>
  <w:style w:type="character" w:customStyle="1" w:styleId="A01">
    <w:name w:val="A0+1"/>
    <w:uiPriority w:val="99"/>
    <w:rsid w:val="00DC10E9"/>
    <w:rPr>
      <w:rFonts w:cs="MillerText Roman"/>
      <w:color w:val="000000"/>
      <w:sz w:val="18"/>
      <w:szCs w:val="18"/>
    </w:rPr>
  </w:style>
  <w:style w:type="character" w:customStyle="1" w:styleId="A2">
    <w:name w:val="A2"/>
    <w:uiPriority w:val="99"/>
    <w:rsid w:val="00EE22D8"/>
    <w:rPr>
      <w:rFonts w:cs="MillerText Roman"/>
      <w:color w:val="000000"/>
      <w:sz w:val="10"/>
      <w:szCs w:val="10"/>
    </w:rPr>
  </w:style>
  <w:style w:type="character" w:customStyle="1" w:styleId="A62">
    <w:name w:val="A6+2"/>
    <w:uiPriority w:val="99"/>
    <w:rsid w:val="00FF13DF"/>
    <w:rPr>
      <w:rFonts w:ascii="BentonGothicCond Bold" w:hAnsi="BentonGothicCond Bold" w:cs="BentonGothicCond Bold"/>
      <w:b/>
      <w:bCs/>
      <w:color w:val="000000"/>
      <w:sz w:val="16"/>
      <w:szCs w:val="16"/>
    </w:rPr>
  </w:style>
  <w:style w:type="character" w:customStyle="1" w:styleId="A02">
    <w:name w:val="A0+2"/>
    <w:uiPriority w:val="99"/>
    <w:rsid w:val="002A3661"/>
    <w:rPr>
      <w:rFonts w:cs="MillerText Roman"/>
      <w:color w:val="000000"/>
      <w:sz w:val="18"/>
      <w:szCs w:val="18"/>
    </w:rPr>
  </w:style>
  <w:style w:type="character" w:customStyle="1" w:styleId="A63">
    <w:name w:val="A6+3"/>
    <w:uiPriority w:val="99"/>
    <w:rsid w:val="00A206E6"/>
    <w:rPr>
      <w:rFonts w:cs="MillerText Roman"/>
      <w:color w:val="000000"/>
      <w:sz w:val="10"/>
      <w:szCs w:val="10"/>
    </w:rPr>
  </w:style>
  <w:style w:type="character" w:customStyle="1" w:styleId="A13">
    <w:name w:val="A1+3"/>
    <w:uiPriority w:val="99"/>
    <w:rsid w:val="00771734"/>
    <w:rPr>
      <w:rFonts w:cs="MillerText Roman"/>
      <w:color w:val="000000"/>
      <w:sz w:val="18"/>
      <w:szCs w:val="18"/>
    </w:rPr>
  </w:style>
  <w:style w:type="character" w:customStyle="1" w:styleId="Heading1Char">
    <w:name w:val="Heading 1 Char"/>
    <w:basedOn w:val="DefaultParagraphFont"/>
    <w:link w:val="Heading1"/>
    <w:uiPriority w:val="9"/>
    <w:rsid w:val="00C601D3"/>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C601D3"/>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C601D3"/>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C601D3"/>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C601D3"/>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C601D3"/>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C601D3"/>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C601D3"/>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C601D3"/>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C601D3"/>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C601D3"/>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C601D3"/>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C601D3"/>
    <w:rPr>
      <w:rFonts w:asciiTheme="majorHAnsi" w:eastAsiaTheme="majorEastAsia" w:hAnsiTheme="majorHAnsi" w:cstheme="majorBidi"/>
      <w:i/>
      <w:iCs/>
      <w:spacing w:val="13"/>
      <w:sz w:val="24"/>
      <w:szCs w:val="24"/>
    </w:rPr>
  </w:style>
  <w:style w:type="character" w:styleId="Strong">
    <w:name w:val="Strong"/>
    <w:uiPriority w:val="22"/>
    <w:qFormat/>
    <w:rsid w:val="00C601D3"/>
    <w:rPr>
      <w:b/>
      <w:bCs/>
    </w:rPr>
  </w:style>
  <w:style w:type="character" w:styleId="Emphasis">
    <w:name w:val="Emphasis"/>
    <w:uiPriority w:val="20"/>
    <w:qFormat/>
    <w:rsid w:val="00C601D3"/>
    <w:rPr>
      <w:b/>
      <w:bCs/>
      <w:i/>
      <w:iCs/>
      <w:spacing w:val="10"/>
      <w:bdr w:val="none" w:sz="0" w:space="0" w:color="auto"/>
      <w:shd w:val="clear" w:color="auto" w:fill="auto"/>
    </w:rPr>
  </w:style>
  <w:style w:type="paragraph" w:styleId="NoSpacing">
    <w:name w:val="No Spacing"/>
    <w:basedOn w:val="Normal"/>
    <w:uiPriority w:val="1"/>
    <w:qFormat/>
    <w:rsid w:val="00C601D3"/>
  </w:style>
  <w:style w:type="paragraph" w:styleId="Quote">
    <w:name w:val="Quote"/>
    <w:basedOn w:val="Normal"/>
    <w:next w:val="Normal"/>
    <w:link w:val="QuoteChar"/>
    <w:uiPriority w:val="29"/>
    <w:qFormat/>
    <w:rsid w:val="00C601D3"/>
    <w:pPr>
      <w:spacing w:before="200"/>
      <w:ind w:right="360"/>
    </w:pPr>
    <w:rPr>
      <w:i/>
      <w:iCs/>
    </w:rPr>
  </w:style>
  <w:style w:type="character" w:customStyle="1" w:styleId="QuoteChar">
    <w:name w:val="Quote Char"/>
    <w:basedOn w:val="DefaultParagraphFont"/>
    <w:link w:val="Quote"/>
    <w:uiPriority w:val="29"/>
    <w:rsid w:val="00C601D3"/>
    <w:rPr>
      <w:i/>
      <w:iCs/>
    </w:rPr>
  </w:style>
  <w:style w:type="paragraph" w:styleId="IntenseQuote">
    <w:name w:val="Intense Quote"/>
    <w:basedOn w:val="Normal"/>
    <w:next w:val="Normal"/>
    <w:link w:val="IntenseQuoteChar"/>
    <w:uiPriority w:val="30"/>
    <w:qFormat/>
    <w:rsid w:val="00C601D3"/>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C601D3"/>
    <w:rPr>
      <w:b/>
      <w:bCs/>
      <w:i/>
      <w:iCs/>
    </w:rPr>
  </w:style>
  <w:style w:type="character" w:styleId="SubtleEmphasis">
    <w:name w:val="Subtle Emphasis"/>
    <w:uiPriority w:val="19"/>
    <w:qFormat/>
    <w:rsid w:val="00C601D3"/>
    <w:rPr>
      <w:i/>
      <w:iCs/>
    </w:rPr>
  </w:style>
  <w:style w:type="character" w:styleId="IntenseEmphasis">
    <w:name w:val="Intense Emphasis"/>
    <w:uiPriority w:val="21"/>
    <w:qFormat/>
    <w:rsid w:val="00C601D3"/>
    <w:rPr>
      <w:b/>
      <w:bCs/>
    </w:rPr>
  </w:style>
  <w:style w:type="character" w:styleId="SubtleReference">
    <w:name w:val="Subtle Reference"/>
    <w:uiPriority w:val="31"/>
    <w:qFormat/>
    <w:rsid w:val="00C601D3"/>
    <w:rPr>
      <w:smallCaps/>
    </w:rPr>
  </w:style>
  <w:style w:type="character" w:styleId="IntenseReference">
    <w:name w:val="Intense Reference"/>
    <w:uiPriority w:val="32"/>
    <w:qFormat/>
    <w:rsid w:val="00C601D3"/>
    <w:rPr>
      <w:smallCaps/>
      <w:spacing w:val="5"/>
      <w:u w:val="single"/>
    </w:rPr>
  </w:style>
  <w:style w:type="character" w:styleId="BookTitle">
    <w:name w:val="Book Title"/>
    <w:uiPriority w:val="33"/>
    <w:qFormat/>
    <w:rsid w:val="00C601D3"/>
    <w:rPr>
      <w:i/>
      <w:iCs/>
      <w:smallCaps/>
      <w:spacing w:val="5"/>
    </w:rPr>
  </w:style>
  <w:style w:type="paragraph" w:styleId="TOCHeading">
    <w:name w:val="TOC Heading"/>
    <w:basedOn w:val="Heading1"/>
    <w:next w:val="Normal"/>
    <w:uiPriority w:val="39"/>
    <w:semiHidden/>
    <w:unhideWhenUsed/>
    <w:qFormat/>
    <w:rsid w:val="00C601D3"/>
    <w:pPr>
      <w:outlineLvl w:val="9"/>
    </w:pPr>
    <w:rPr>
      <w:lang w:bidi="en-US"/>
    </w:rPr>
  </w:style>
  <w:style w:type="character" w:styleId="Hyperlink">
    <w:name w:val="Hyperlink"/>
    <w:basedOn w:val="DefaultParagraphFont"/>
    <w:uiPriority w:val="99"/>
    <w:unhideWhenUsed/>
    <w:rsid w:val="00E90BB4"/>
    <w:rPr>
      <w:color w:val="0000FF" w:themeColor="hyperlink"/>
      <w:u w:val="single"/>
    </w:rPr>
  </w:style>
  <w:style w:type="paragraph" w:styleId="BalloonText">
    <w:name w:val="Balloon Text"/>
    <w:basedOn w:val="Normal"/>
    <w:link w:val="BalloonTextChar"/>
    <w:uiPriority w:val="99"/>
    <w:semiHidden/>
    <w:unhideWhenUsed/>
    <w:rsid w:val="00AD5C3F"/>
    <w:rPr>
      <w:rFonts w:ascii="Tahoma" w:hAnsi="Tahoma" w:cs="Tahoma"/>
      <w:sz w:val="16"/>
      <w:szCs w:val="16"/>
    </w:rPr>
  </w:style>
  <w:style w:type="character" w:customStyle="1" w:styleId="BalloonTextChar">
    <w:name w:val="Balloon Text Char"/>
    <w:basedOn w:val="DefaultParagraphFont"/>
    <w:link w:val="BalloonText"/>
    <w:uiPriority w:val="99"/>
    <w:semiHidden/>
    <w:rsid w:val="00AD5C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440339">
      <w:bodyDiv w:val="1"/>
      <w:marLeft w:val="0"/>
      <w:marRight w:val="0"/>
      <w:marTop w:val="0"/>
      <w:marBottom w:val="0"/>
      <w:divBdr>
        <w:top w:val="none" w:sz="0" w:space="0" w:color="auto"/>
        <w:left w:val="none" w:sz="0" w:space="0" w:color="auto"/>
        <w:bottom w:val="none" w:sz="0" w:space="0" w:color="auto"/>
        <w:right w:val="none" w:sz="0" w:space="0" w:color="auto"/>
      </w:divBdr>
      <w:divsChild>
        <w:div w:id="1865089849">
          <w:marLeft w:val="0"/>
          <w:marRight w:val="0"/>
          <w:marTop w:val="270"/>
          <w:marBottom w:val="90"/>
          <w:divBdr>
            <w:top w:val="single" w:sz="6" w:space="18" w:color="CCCCCC"/>
            <w:left w:val="single" w:sz="6" w:space="14" w:color="CCCCCC"/>
            <w:bottom w:val="single" w:sz="6" w:space="11" w:color="CCCCCC"/>
            <w:right w:val="single" w:sz="6" w:space="14" w:color="CCCCCC"/>
          </w:divBdr>
          <w:divsChild>
            <w:div w:id="924071969">
              <w:marLeft w:val="0"/>
              <w:marRight w:val="0"/>
              <w:marTop w:val="0"/>
              <w:marBottom w:val="0"/>
              <w:divBdr>
                <w:top w:val="none" w:sz="0" w:space="0" w:color="auto"/>
                <w:left w:val="none" w:sz="0" w:space="0" w:color="auto"/>
                <w:bottom w:val="none" w:sz="0" w:space="0" w:color="auto"/>
                <w:right w:val="none" w:sz="0" w:space="0" w:color="auto"/>
              </w:divBdr>
              <w:divsChild>
                <w:div w:id="401146545">
                  <w:marLeft w:val="0"/>
                  <w:marRight w:val="0"/>
                  <w:marTop w:val="360"/>
                  <w:marBottom w:val="0"/>
                  <w:divBdr>
                    <w:top w:val="none" w:sz="0" w:space="0" w:color="auto"/>
                    <w:left w:val="none" w:sz="0" w:space="0" w:color="auto"/>
                    <w:bottom w:val="none" w:sz="0" w:space="0" w:color="auto"/>
                    <w:right w:val="none" w:sz="0" w:space="0" w:color="auto"/>
                  </w:divBdr>
                  <w:divsChild>
                    <w:div w:id="459110989">
                      <w:marLeft w:val="0"/>
                      <w:marRight w:val="0"/>
                      <w:marTop w:val="240"/>
                      <w:marBottom w:val="0"/>
                      <w:divBdr>
                        <w:top w:val="none" w:sz="0" w:space="0" w:color="auto"/>
                        <w:left w:val="none" w:sz="0" w:space="0" w:color="auto"/>
                        <w:bottom w:val="none" w:sz="0" w:space="0" w:color="auto"/>
                        <w:right w:val="none" w:sz="0" w:space="0" w:color="auto"/>
                      </w:divBdr>
                      <w:divsChild>
                        <w:div w:id="519975306">
                          <w:marLeft w:val="0"/>
                          <w:marRight w:val="0"/>
                          <w:marTop w:val="0"/>
                          <w:marBottom w:val="0"/>
                          <w:divBdr>
                            <w:top w:val="none" w:sz="0" w:space="0" w:color="auto"/>
                            <w:left w:val="none" w:sz="0" w:space="0" w:color="auto"/>
                            <w:bottom w:val="none" w:sz="0" w:space="0" w:color="auto"/>
                            <w:right w:val="none" w:sz="0" w:space="0" w:color="auto"/>
                          </w:divBdr>
                          <w:divsChild>
                            <w:div w:id="359278666">
                              <w:marLeft w:val="0"/>
                              <w:marRight w:val="0"/>
                              <w:marTop w:val="0"/>
                              <w:marBottom w:val="0"/>
                              <w:divBdr>
                                <w:top w:val="none" w:sz="0" w:space="0" w:color="auto"/>
                                <w:left w:val="none" w:sz="0" w:space="0" w:color="auto"/>
                                <w:bottom w:val="none" w:sz="0" w:space="0" w:color="auto"/>
                                <w:right w:val="none" w:sz="0" w:space="0" w:color="auto"/>
                              </w:divBdr>
                            </w:div>
                            <w:div w:id="1772553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7168963">
      <w:bodyDiv w:val="1"/>
      <w:marLeft w:val="0"/>
      <w:marRight w:val="0"/>
      <w:marTop w:val="0"/>
      <w:marBottom w:val="0"/>
      <w:divBdr>
        <w:top w:val="none" w:sz="0" w:space="0" w:color="auto"/>
        <w:left w:val="none" w:sz="0" w:space="0" w:color="auto"/>
        <w:bottom w:val="none" w:sz="0" w:space="0" w:color="auto"/>
        <w:right w:val="none" w:sz="0" w:space="0" w:color="auto"/>
      </w:divBdr>
      <w:divsChild>
        <w:div w:id="124350837">
          <w:marLeft w:val="0"/>
          <w:marRight w:val="0"/>
          <w:marTop w:val="270"/>
          <w:marBottom w:val="90"/>
          <w:divBdr>
            <w:top w:val="single" w:sz="6" w:space="18" w:color="CCCCCC"/>
            <w:left w:val="single" w:sz="6" w:space="14" w:color="CCCCCC"/>
            <w:bottom w:val="single" w:sz="6" w:space="11" w:color="CCCCCC"/>
            <w:right w:val="single" w:sz="6" w:space="14" w:color="CCCCCC"/>
          </w:divBdr>
          <w:divsChild>
            <w:div w:id="202255320">
              <w:marLeft w:val="0"/>
              <w:marRight w:val="0"/>
              <w:marTop w:val="0"/>
              <w:marBottom w:val="0"/>
              <w:divBdr>
                <w:top w:val="none" w:sz="0" w:space="0" w:color="auto"/>
                <w:left w:val="none" w:sz="0" w:space="0" w:color="auto"/>
                <w:bottom w:val="none" w:sz="0" w:space="0" w:color="auto"/>
                <w:right w:val="none" w:sz="0" w:space="0" w:color="auto"/>
              </w:divBdr>
              <w:divsChild>
                <w:div w:id="1638366791">
                  <w:marLeft w:val="0"/>
                  <w:marRight w:val="0"/>
                  <w:marTop w:val="360"/>
                  <w:marBottom w:val="0"/>
                  <w:divBdr>
                    <w:top w:val="single" w:sz="6" w:space="0" w:color="FFFFFF"/>
                    <w:left w:val="single" w:sz="6" w:space="0" w:color="FFFFFF"/>
                    <w:bottom w:val="single" w:sz="6" w:space="0" w:color="FFFFFF"/>
                    <w:right w:val="single" w:sz="6" w:space="0" w:color="FFFFFF"/>
                  </w:divBdr>
                  <w:divsChild>
                    <w:div w:id="312683929">
                      <w:marLeft w:val="0"/>
                      <w:marRight w:val="0"/>
                      <w:marTop w:val="0"/>
                      <w:marBottom w:val="0"/>
                      <w:divBdr>
                        <w:top w:val="none" w:sz="0" w:space="0" w:color="auto"/>
                        <w:left w:val="none" w:sz="0" w:space="0" w:color="auto"/>
                        <w:bottom w:val="none" w:sz="0" w:space="0" w:color="auto"/>
                        <w:right w:val="none" w:sz="0" w:space="0" w:color="auto"/>
                      </w:divBdr>
                      <w:divsChild>
                        <w:div w:id="156548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9063813">
      <w:bodyDiv w:val="1"/>
      <w:marLeft w:val="0"/>
      <w:marRight w:val="0"/>
      <w:marTop w:val="0"/>
      <w:marBottom w:val="0"/>
      <w:divBdr>
        <w:top w:val="none" w:sz="0" w:space="0" w:color="auto"/>
        <w:left w:val="none" w:sz="0" w:space="0" w:color="auto"/>
        <w:bottom w:val="none" w:sz="0" w:space="0" w:color="auto"/>
        <w:right w:val="none" w:sz="0" w:space="0" w:color="auto"/>
      </w:divBdr>
      <w:divsChild>
        <w:div w:id="542448393">
          <w:marLeft w:val="0"/>
          <w:marRight w:val="0"/>
          <w:marTop w:val="270"/>
          <w:marBottom w:val="90"/>
          <w:divBdr>
            <w:top w:val="single" w:sz="6" w:space="18" w:color="CCCCCC"/>
            <w:left w:val="single" w:sz="6" w:space="14" w:color="CCCCCC"/>
            <w:bottom w:val="single" w:sz="6" w:space="11" w:color="CCCCCC"/>
            <w:right w:val="single" w:sz="6" w:space="14" w:color="CCCCCC"/>
          </w:divBdr>
          <w:divsChild>
            <w:div w:id="1588415090">
              <w:marLeft w:val="0"/>
              <w:marRight w:val="0"/>
              <w:marTop w:val="0"/>
              <w:marBottom w:val="0"/>
              <w:divBdr>
                <w:top w:val="none" w:sz="0" w:space="0" w:color="auto"/>
                <w:left w:val="none" w:sz="0" w:space="0" w:color="auto"/>
                <w:bottom w:val="none" w:sz="0" w:space="0" w:color="auto"/>
                <w:right w:val="none" w:sz="0" w:space="0" w:color="auto"/>
              </w:divBdr>
              <w:divsChild>
                <w:div w:id="216744400">
                  <w:marLeft w:val="0"/>
                  <w:marRight w:val="0"/>
                  <w:marTop w:val="360"/>
                  <w:marBottom w:val="0"/>
                  <w:divBdr>
                    <w:top w:val="single" w:sz="6" w:space="0" w:color="FFFFFF"/>
                    <w:left w:val="single" w:sz="6" w:space="0" w:color="FFFFFF"/>
                    <w:bottom w:val="single" w:sz="6" w:space="0" w:color="FFFFFF"/>
                    <w:right w:val="single" w:sz="6" w:space="0" w:color="FFFFFF"/>
                  </w:divBdr>
                  <w:divsChild>
                    <w:div w:id="1020469637">
                      <w:marLeft w:val="0"/>
                      <w:marRight w:val="0"/>
                      <w:marTop w:val="0"/>
                      <w:marBottom w:val="0"/>
                      <w:divBdr>
                        <w:top w:val="none" w:sz="0" w:space="0" w:color="auto"/>
                        <w:left w:val="none" w:sz="0" w:space="0" w:color="auto"/>
                        <w:bottom w:val="none" w:sz="0" w:space="0" w:color="auto"/>
                        <w:right w:val="none" w:sz="0" w:space="0" w:color="auto"/>
                      </w:divBdr>
                      <w:divsChild>
                        <w:div w:id="80655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0208538">
      <w:bodyDiv w:val="1"/>
      <w:marLeft w:val="0"/>
      <w:marRight w:val="0"/>
      <w:marTop w:val="0"/>
      <w:marBottom w:val="0"/>
      <w:divBdr>
        <w:top w:val="none" w:sz="0" w:space="0" w:color="auto"/>
        <w:left w:val="none" w:sz="0" w:space="0" w:color="auto"/>
        <w:bottom w:val="none" w:sz="0" w:space="0" w:color="auto"/>
        <w:right w:val="none" w:sz="0" w:space="0" w:color="auto"/>
      </w:divBdr>
      <w:divsChild>
        <w:div w:id="1973905871">
          <w:marLeft w:val="0"/>
          <w:marRight w:val="0"/>
          <w:marTop w:val="270"/>
          <w:marBottom w:val="90"/>
          <w:divBdr>
            <w:top w:val="single" w:sz="6" w:space="18" w:color="CCCCCC"/>
            <w:left w:val="single" w:sz="6" w:space="14" w:color="CCCCCC"/>
            <w:bottom w:val="single" w:sz="6" w:space="11" w:color="CCCCCC"/>
            <w:right w:val="single" w:sz="6" w:space="14" w:color="CCCCCC"/>
          </w:divBdr>
          <w:divsChild>
            <w:div w:id="424690799">
              <w:marLeft w:val="0"/>
              <w:marRight w:val="0"/>
              <w:marTop w:val="0"/>
              <w:marBottom w:val="0"/>
              <w:divBdr>
                <w:top w:val="none" w:sz="0" w:space="0" w:color="auto"/>
                <w:left w:val="none" w:sz="0" w:space="0" w:color="auto"/>
                <w:bottom w:val="none" w:sz="0" w:space="0" w:color="auto"/>
                <w:right w:val="none" w:sz="0" w:space="0" w:color="auto"/>
              </w:divBdr>
              <w:divsChild>
                <w:div w:id="770973115">
                  <w:marLeft w:val="0"/>
                  <w:marRight w:val="0"/>
                  <w:marTop w:val="360"/>
                  <w:marBottom w:val="0"/>
                  <w:divBdr>
                    <w:top w:val="none" w:sz="0" w:space="0" w:color="auto"/>
                    <w:left w:val="none" w:sz="0" w:space="0" w:color="auto"/>
                    <w:bottom w:val="none" w:sz="0" w:space="0" w:color="auto"/>
                    <w:right w:val="none" w:sz="0" w:space="0" w:color="auto"/>
                  </w:divBdr>
                  <w:divsChild>
                    <w:div w:id="848956718">
                      <w:marLeft w:val="0"/>
                      <w:marRight w:val="0"/>
                      <w:marTop w:val="240"/>
                      <w:marBottom w:val="0"/>
                      <w:divBdr>
                        <w:top w:val="none" w:sz="0" w:space="0" w:color="auto"/>
                        <w:left w:val="none" w:sz="0" w:space="0" w:color="auto"/>
                        <w:bottom w:val="none" w:sz="0" w:space="0" w:color="auto"/>
                        <w:right w:val="none" w:sz="0" w:space="0" w:color="auto"/>
                      </w:divBdr>
                      <w:divsChild>
                        <w:div w:id="1266497544">
                          <w:marLeft w:val="0"/>
                          <w:marRight w:val="0"/>
                          <w:marTop w:val="0"/>
                          <w:marBottom w:val="0"/>
                          <w:divBdr>
                            <w:top w:val="none" w:sz="0" w:space="0" w:color="auto"/>
                            <w:left w:val="none" w:sz="0" w:space="0" w:color="auto"/>
                            <w:bottom w:val="none" w:sz="0" w:space="0" w:color="auto"/>
                            <w:right w:val="none" w:sz="0" w:space="0" w:color="auto"/>
                          </w:divBdr>
                          <w:divsChild>
                            <w:div w:id="216553210">
                              <w:marLeft w:val="0"/>
                              <w:marRight w:val="0"/>
                              <w:marTop w:val="0"/>
                              <w:marBottom w:val="0"/>
                              <w:divBdr>
                                <w:top w:val="none" w:sz="0" w:space="0" w:color="auto"/>
                                <w:left w:val="none" w:sz="0" w:space="0" w:color="auto"/>
                                <w:bottom w:val="none" w:sz="0" w:space="0" w:color="auto"/>
                                <w:right w:val="none" w:sz="0" w:space="0" w:color="auto"/>
                              </w:divBdr>
                            </w:div>
                            <w:div w:id="55636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E134AF-CD92-4B76-B18F-32DB84D89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455</TotalTime>
  <Pages>3</Pages>
  <Words>1108</Words>
  <Characters>6319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TempAdmin</cp:lastModifiedBy>
  <cp:revision>17</cp:revision>
  <cp:lastPrinted>2016-03-22T16:46:00Z</cp:lastPrinted>
  <dcterms:created xsi:type="dcterms:W3CDTF">2016-04-29T19:55:00Z</dcterms:created>
  <dcterms:modified xsi:type="dcterms:W3CDTF">2016-05-03T18:43:00Z</dcterms:modified>
</cp:coreProperties>
</file>