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811" w:rsidRDefault="00C90048" w:rsidP="001A46B6">
      <w:pPr>
        <w:shd w:val="clear" w:color="auto" w:fill="FFFFFF"/>
        <w:spacing w:before="120" w:after="120" w:line="360" w:lineRule="atLeast"/>
        <w:outlineLvl w:val="1"/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</w:pPr>
      <w:r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Attachment 1: Recommended</w:t>
      </w:r>
      <w:bookmarkStart w:id="0" w:name="_GoBack"/>
      <w:bookmarkEnd w:id="0"/>
      <w:r w:rsidR="00037811"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 xml:space="preserve"> Method for Analyzing Staff Adverse Impact</w:t>
      </w:r>
    </w:p>
    <w:p w:rsidR="001A46B6" w:rsidRPr="001A46B6" w:rsidRDefault="00006AD4" w:rsidP="001A46B6">
      <w:pPr>
        <w:shd w:val="clear" w:color="auto" w:fill="FFFFFF"/>
        <w:spacing w:before="120" w:after="120" w:line="360" w:lineRule="atLeast"/>
        <w:outlineLvl w:val="1"/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</w:pPr>
      <w:r>
        <w:rPr>
          <w:rFonts w:ascii="Open Sans" w:eastAsia="Times New Roman" w:hAnsi="Open Sans" w:cs="Open Sans"/>
          <w:b/>
          <w:bCs/>
          <w:color w:val="000000"/>
          <w:sz w:val="23"/>
          <w:szCs w:val="23"/>
        </w:rPr>
        <w:t>Definition: 4/5ths Rule (or 80% Rule)</w:t>
      </w:r>
    </w:p>
    <w:p w:rsidR="001A46B6" w:rsidRPr="001A46B6" w:rsidRDefault="001A46B6" w:rsidP="001A46B6">
      <w:pPr>
        <w:shd w:val="clear" w:color="auto" w:fill="FFFFFF"/>
        <w:spacing w:before="120" w:after="12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1A46B6">
        <w:rPr>
          <w:rFonts w:ascii="Open Sans" w:eastAsia="Times New Roman" w:hAnsi="Open Sans" w:cs="Open Sans"/>
          <w:color w:val="000000"/>
          <w:sz w:val="20"/>
          <w:szCs w:val="20"/>
        </w:rPr>
        <w:t>The four-fifths rule prescribes that a selection rate for any</w:t>
      </w:r>
      <w:r w:rsidR="00E96909">
        <w:rPr>
          <w:rFonts w:ascii="Open Sans" w:eastAsia="Times New Roman" w:hAnsi="Open Sans" w:cs="Open Sans"/>
          <w:color w:val="000000"/>
          <w:sz w:val="20"/>
          <w:szCs w:val="20"/>
        </w:rPr>
        <w:t xml:space="preserve"> protected</w:t>
      </w:r>
      <w:r w:rsidRPr="001A46B6">
        <w:rPr>
          <w:rFonts w:ascii="Open Sans" w:eastAsia="Times New Roman" w:hAnsi="Open Sans" w:cs="Open Sans"/>
          <w:color w:val="000000"/>
          <w:sz w:val="20"/>
          <w:szCs w:val="20"/>
        </w:rPr>
        <w:t xml:space="preserve"> group (cla</w:t>
      </w:r>
      <w:r w:rsidR="00E96909">
        <w:rPr>
          <w:rFonts w:ascii="Open Sans" w:eastAsia="Times New Roman" w:hAnsi="Open Sans" w:cs="Open Sans"/>
          <w:color w:val="000000"/>
          <w:sz w:val="20"/>
          <w:szCs w:val="20"/>
        </w:rPr>
        <w:t xml:space="preserve">ssified by race, orientation, </w:t>
      </w:r>
      <w:r w:rsidRPr="001A46B6">
        <w:rPr>
          <w:rFonts w:ascii="Open Sans" w:eastAsia="Times New Roman" w:hAnsi="Open Sans" w:cs="Open Sans"/>
          <w:color w:val="000000"/>
          <w:sz w:val="20"/>
          <w:szCs w:val="20"/>
        </w:rPr>
        <w:t>ethnicity</w:t>
      </w:r>
      <w:r w:rsidR="00E96909">
        <w:rPr>
          <w:rFonts w:ascii="Open Sans" w:eastAsia="Times New Roman" w:hAnsi="Open Sans" w:cs="Open Sans"/>
          <w:color w:val="000000"/>
          <w:sz w:val="20"/>
          <w:szCs w:val="20"/>
        </w:rPr>
        <w:t>, etc.</w:t>
      </w:r>
      <w:r w:rsidRPr="001A46B6">
        <w:rPr>
          <w:rFonts w:ascii="Open Sans" w:eastAsia="Times New Roman" w:hAnsi="Open Sans" w:cs="Open Sans"/>
          <w:color w:val="000000"/>
          <w:sz w:val="20"/>
          <w:szCs w:val="20"/>
        </w:rPr>
        <w:t xml:space="preserve">) that is less than four-fifths of that for the group with the highest rate constitutes evidence of adverse impact (also called ‘disparate impact’), that is, discriminatory effects on a protected group. Adverse impact may occur in any of the company’s decisions related to employees – be it hiring, promotion, training, transfer or layoff. A particular test or selection procedure </w:t>
      </w:r>
      <w:proofErr w:type="gramStart"/>
      <w:r w:rsidRPr="001A46B6">
        <w:rPr>
          <w:rFonts w:ascii="Open Sans" w:eastAsia="Times New Roman" w:hAnsi="Open Sans" w:cs="Open Sans"/>
          <w:color w:val="000000"/>
          <w:sz w:val="20"/>
          <w:szCs w:val="20"/>
        </w:rPr>
        <w:t>must be evaluated</w:t>
      </w:r>
      <w:proofErr w:type="gramEnd"/>
      <w:r w:rsidRPr="001A46B6">
        <w:rPr>
          <w:rFonts w:ascii="Open Sans" w:eastAsia="Times New Roman" w:hAnsi="Open Sans" w:cs="Open Sans"/>
          <w:color w:val="000000"/>
          <w:sz w:val="20"/>
          <w:szCs w:val="20"/>
        </w:rPr>
        <w:t xml:space="preserve"> for effectiveness in terms of selection based only on characteristics relev</w:t>
      </w:r>
      <w:r w:rsidR="00E8362E">
        <w:rPr>
          <w:rFonts w:ascii="Open Sans" w:eastAsia="Times New Roman" w:hAnsi="Open Sans" w:cs="Open Sans"/>
          <w:color w:val="000000"/>
          <w:sz w:val="20"/>
          <w:szCs w:val="20"/>
        </w:rPr>
        <w:t xml:space="preserve">ant to the job or task. It </w:t>
      </w:r>
      <w:proofErr w:type="gramStart"/>
      <w:r w:rsidR="00E8362E">
        <w:rPr>
          <w:rFonts w:ascii="Open Sans" w:eastAsia="Times New Roman" w:hAnsi="Open Sans" w:cs="Open Sans"/>
          <w:color w:val="000000"/>
          <w:sz w:val="20"/>
          <w:szCs w:val="20"/>
        </w:rPr>
        <w:t xml:space="preserve">may, </w:t>
      </w:r>
      <w:r w:rsidRPr="001A46B6">
        <w:rPr>
          <w:rFonts w:ascii="Open Sans" w:eastAsia="Times New Roman" w:hAnsi="Open Sans" w:cs="Open Sans"/>
          <w:color w:val="000000"/>
          <w:sz w:val="20"/>
          <w:szCs w:val="20"/>
        </w:rPr>
        <w:t>however, render</w:t>
      </w:r>
      <w:proofErr w:type="gramEnd"/>
      <w:r w:rsidRPr="001A46B6">
        <w:rPr>
          <w:rFonts w:ascii="Open Sans" w:eastAsia="Times New Roman" w:hAnsi="Open Sans" w:cs="Open Sans"/>
          <w:color w:val="000000"/>
          <w:sz w:val="20"/>
          <w:szCs w:val="20"/>
        </w:rPr>
        <w:t xml:space="preserve"> disadvantage </w:t>
      </w:r>
      <w:r w:rsidR="00E96909">
        <w:rPr>
          <w:rFonts w:ascii="Open Sans" w:eastAsia="Times New Roman" w:hAnsi="Open Sans" w:cs="Open Sans"/>
          <w:color w:val="000000"/>
          <w:sz w:val="20"/>
          <w:szCs w:val="20"/>
        </w:rPr>
        <w:t xml:space="preserve">to members of a race, gender, </w:t>
      </w:r>
      <w:r w:rsidRPr="001A46B6">
        <w:rPr>
          <w:rFonts w:ascii="Open Sans" w:eastAsia="Times New Roman" w:hAnsi="Open Sans" w:cs="Open Sans"/>
          <w:color w:val="000000"/>
          <w:sz w:val="20"/>
          <w:szCs w:val="20"/>
        </w:rPr>
        <w:t xml:space="preserve">ethnic </w:t>
      </w:r>
      <w:r w:rsidR="00E96909">
        <w:rPr>
          <w:rFonts w:ascii="Open Sans" w:eastAsia="Times New Roman" w:hAnsi="Open Sans" w:cs="Open Sans"/>
          <w:color w:val="000000"/>
          <w:sz w:val="20"/>
          <w:szCs w:val="20"/>
        </w:rPr>
        <w:t xml:space="preserve">or other protected </w:t>
      </w:r>
      <w:r w:rsidRPr="001A46B6">
        <w:rPr>
          <w:rFonts w:ascii="Open Sans" w:eastAsia="Times New Roman" w:hAnsi="Open Sans" w:cs="Open Sans"/>
          <w:color w:val="000000"/>
          <w:sz w:val="20"/>
          <w:szCs w:val="20"/>
        </w:rPr>
        <w:t>group.</w:t>
      </w:r>
    </w:p>
    <w:p w:rsidR="001A46B6" w:rsidRPr="001A46B6" w:rsidRDefault="001A46B6" w:rsidP="001A46B6">
      <w:pPr>
        <w:shd w:val="clear" w:color="auto" w:fill="EEEEEE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000000"/>
          <w:sz w:val="18"/>
          <w:szCs w:val="18"/>
        </w:rPr>
      </w:pPr>
    </w:p>
    <w:p w:rsidR="001A46B6" w:rsidRPr="001A46B6" w:rsidRDefault="001A46B6" w:rsidP="001A46B6">
      <w:pPr>
        <w:shd w:val="clear" w:color="auto" w:fill="FFFFFF"/>
        <w:spacing w:before="120" w:after="12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</w:p>
    <w:p w:rsidR="001A46B6" w:rsidRPr="001A46B6" w:rsidRDefault="001A46B6" w:rsidP="001A46B6">
      <w:pPr>
        <w:shd w:val="clear" w:color="auto" w:fill="FFFFFF"/>
        <w:spacing w:before="120" w:after="12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1A46B6">
        <w:rPr>
          <w:rFonts w:ascii="Open Sans" w:eastAsia="Times New Roman" w:hAnsi="Open Sans" w:cs="Open Sans"/>
          <w:color w:val="000000"/>
          <w:sz w:val="20"/>
          <w:szCs w:val="20"/>
        </w:rPr>
        <w:t xml:space="preserve">For instance, if a company hires 50 percent of male applicants for positions in a predominantly male occupation but the rate for female applicants is 20 percent, there may be judged </w:t>
      </w:r>
      <w:proofErr w:type="gramStart"/>
      <w:r w:rsidRPr="001A46B6">
        <w:rPr>
          <w:rFonts w:ascii="Open Sans" w:eastAsia="Times New Roman" w:hAnsi="Open Sans" w:cs="Open Sans"/>
          <w:color w:val="000000"/>
          <w:sz w:val="20"/>
          <w:szCs w:val="20"/>
        </w:rPr>
        <w:t>to be an</w:t>
      </w:r>
      <w:proofErr w:type="gramEnd"/>
      <w:r w:rsidRPr="001A46B6">
        <w:rPr>
          <w:rFonts w:ascii="Open Sans" w:eastAsia="Times New Roman" w:hAnsi="Open Sans" w:cs="Open Sans"/>
          <w:color w:val="000000"/>
          <w:sz w:val="20"/>
          <w:szCs w:val="20"/>
        </w:rPr>
        <w:t xml:space="preserve"> issue of discrimination as the rate of hiring women is only 40 percent of that for male applicants, thereby violating the four-fifths rule.</w:t>
      </w:r>
    </w:p>
    <w:p w:rsidR="001A46B6" w:rsidRPr="001A46B6" w:rsidRDefault="001A46B6" w:rsidP="001A46B6">
      <w:pPr>
        <w:shd w:val="clear" w:color="auto" w:fill="FFFFFF"/>
        <w:spacing w:before="120" w:after="12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</w:p>
    <w:p w:rsidR="001A46B6" w:rsidRPr="00037811" w:rsidRDefault="001A46B6" w:rsidP="001A46B6">
      <w:pPr>
        <w:shd w:val="clear" w:color="auto" w:fill="FFFFFF"/>
        <w:spacing w:before="120" w:after="12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  <w:u w:val="single"/>
        </w:rPr>
      </w:pPr>
      <w:r w:rsidRPr="001A46B6">
        <w:rPr>
          <w:rFonts w:ascii="Open Sans" w:eastAsia="Times New Roman" w:hAnsi="Open Sans" w:cs="Open Sans"/>
          <w:color w:val="000000"/>
          <w:sz w:val="20"/>
          <w:szCs w:val="20"/>
        </w:rPr>
        <w:t xml:space="preserve">The </w:t>
      </w:r>
      <w:proofErr w:type="gramStart"/>
      <w:r w:rsidRPr="001A46B6">
        <w:rPr>
          <w:rFonts w:ascii="Open Sans" w:eastAsia="Times New Roman" w:hAnsi="Open Sans" w:cs="Open Sans"/>
          <w:color w:val="000000"/>
          <w:sz w:val="20"/>
          <w:szCs w:val="20"/>
        </w:rPr>
        <w:t>rule was first laid down by the Technical Advisory Committee on Testing (TACT) formed by the State of California Fair Employment Practice Commission (FEPC) in 1971</w:t>
      </w:r>
      <w:proofErr w:type="gramEnd"/>
      <w:r w:rsidRPr="001A46B6">
        <w:rPr>
          <w:rFonts w:ascii="Open Sans" w:eastAsia="Times New Roman" w:hAnsi="Open Sans" w:cs="Open Sans"/>
          <w:color w:val="000000"/>
          <w:sz w:val="20"/>
          <w:szCs w:val="20"/>
        </w:rPr>
        <w:t xml:space="preserve">. </w:t>
      </w:r>
      <w:r w:rsidRPr="00037811">
        <w:rPr>
          <w:rFonts w:ascii="Open Sans" w:eastAsia="Times New Roman" w:hAnsi="Open Sans" w:cs="Open Sans"/>
          <w:color w:val="000000"/>
          <w:sz w:val="20"/>
          <w:szCs w:val="20"/>
          <w:u w:val="single"/>
        </w:rPr>
        <w:t xml:space="preserve">Although not a legal definition, it </w:t>
      </w:r>
      <w:proofErr w:type="gramStart"/>
      <w:r w:rsidRPr="00037811">
        <w:rPr>
          <w:rFonts w:ascii="Open Sans" w:eastAsia="Times New Roman" w:hAnsi="Open Sans" w:cs="Open Sans"/>
          <w:color w:val="000000"/>
          <w:sz w:val="20"/>
          <w:szCs w:val="20"/>
          <w:u w:val="single"/>
        </w:rPr>
        <w:t>is specified</w:t>
      </w:r>
      <w:proofErr w:type="gramEnd"/>
      <w:r w:rsidRPr="00037811">
        <w:rPr>
          <w:rFonts w:ascii="Open Sans" w:eastAsia="Times New Roman" w:hAnsi="Open Sans" w:cs="Open Sans"/>
          <w:color w:val="000000"/>
          <w:sz w:val="20"/>
          <w:szCs w:val="20"/>
          <w:u w:val="single"/>
        </w:rPr>
        <w:t xml:space="preserve"> in the Equal Employment Opportunity Commission (EEOC) guidelines and is a rule of thumb adopted by agencies worldwide to be eliminate vulnerability to charges of discrimination.</w:t>
      </w:r>
    </w:p>
    <w:p w:rsidR="001A46B6" w:rsidRPr="001A46B6" w:rsidRDefault="001A46B6" w:rsidP="001A46B6">
      <w:pPr>
        <w:shd w:val="clear" w:color="auto" w:fill="FFFFFF"/>
        <w:spacing w:before="120" w:after="12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</w:p>
    <w:p w:rsidR="001A46B6" w:rsidRPr="001A46B6" w:rsidRDefault="001A46B6" w:rsidP="001A46B6">
      <w:pPr>
        <w:shd w:val="clear" w:color="auto" w:fill="FFFFFF"/>
        <w:spacing w:before="120" w:after="12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1A46B6">
        <w:rPr>
          <w:rFonts w:ascii="Open Sans" w:eastAsia="Times New Roman" w:hAnsi="Open Sans" w:cs="Open Sans"/>
          <w:color w:val="000000"/>
          <w:sz w:val="20"/>
          <w:szCs w:val="20"/>
        </w:rPr>
        <w:t>Disparate impact was first described by the Supreme Court of the United States in Griggs v. Duke Power Co., 401 U.S</w:t>
      </w:r>
      <w:r w:rsidR="0090100E">
        <w:rPr>
          <w:rFonts w:ascii="Open Sans" w:eastAsia="Times New Roman" w:hAnsi="Open Sans" w:cs="Open Sans"/>
          <w:color w:val="000000"/>
          <w:sz w:val="20"/>
          <w:szCs w:val="20"/>
        </w:rPr>
        <w:t>. 424, 431-2. The latter practic</w:t>
      </w:r>
      <w:r w:rsidRPr="001A46B6">
        <w:rPr>
          <w:rFonts w:ascii="Open Sans" w:eastAsia="Times New Roman" w:hAnsi="Open Sans" w:cs="Open Sans"/>
          <w:color w:val="000000"/>
          <w:sz w:val="20"/>
          <w:szCs w:val="20"/>
        </w:rPr>
        <w:t>ed segregation of employees by race in a way tha</w:t>
      </w:r>
      <w:r w:rsidR="0090100E">
        <w:rPr>
          <w:rFonts w:ascii="Open Sans" w:eastAsia="Times New Roman" w:hAnsi="Open Sans" w:cs="Open Sans"/>
          <w:color w:val="000000"/>
          <w:sz w:val="20"/>
          <w:szCs w:val="20"/>
        </w:rPr>
        <w:t>t greatly disadvantaged African-</w:t>
      </w:r>
      <w:r w:rsidRPr="001A46B6">
        <w:rPr>
          <w:rFonts w:ascii="Open Sans" w:eastAsia="Times New Roman" w:hAnsi="Open Sans" w:cs="Open Sans"/>
          <w:color w:val="000000"/>
          <w:sz w:val="20"/>
          <w:szCs w:val="20"/>
        </w:rPr>
        <w:t xml:space="preserve">Americans. In the wake of the Civil Rights Act of 1964, Duke Power Co. added requirements of high school diplomas or minimum IQ test scores, thereby eliminating a significant proportion of African American applicants. The Supreme Court opined that businesses must demonstrate that such tests </w:t>
      </w:r>
      <w:proofErr w:type="gramStart"/>
      <w:r w:rsidRPr="001A46B6">
        <w:rPr>
          <w:rFonts w:ascii="Open Sans" w:eastAsia="Times New Roman" w:hAnsi="Open Sans" w:cs="Open Sans"/>
          <w:color w:val="000000"/>
          <w:sz w:val="20"/>
          <w:szCs w:val="20"/>
        </w:rPr>
        <w:t>are reasonably related</w:t>
      </w:r>
      <w:proofErr w:type="gramEnd"/>
      <w:r w:rsidRPr="001A46B6">
        <w:rPr>
          <w:rFonts w:ascii="Open Sans" w:eastAsia="Times New Roman" w:hAnsi="Open Sans" w:cs="Open Sans"/>
          <w:color w:val="000000"/>
          <w:sz w:val="20"/>
          <w:szCs w:val="20"/>
        </w:rPr>
        <w:t xml:space="preserve"> to the job or are consistent with business necessity. However, if the complainant can demonstrate that there is an alternative that can adequately screen applicants and be </w:t>
      </w:r>
      <w:proofErr w:type="gramStart"/>
      <w:r w:rsidRPr="001A46B6">
        <w:rPr>
          <w:rFonts w:ascii="Open Sans" w:eastAsia="Times New Roman" w:hAnsi="Open Sans" w:cs="Open Sans"/>
          <w:color w:val="000000"/>
          <w:sz w:val="20"/>
          <w:szCs w:val="20"/>
        </w:rPr>
        <w:t>less discriminatory</w:t>
      </w:r>
      <w:proofErr w:type="gramEnd"/>
      <w:r w:rsidRPr="001A46B6">
        <w:rPr>
          <w:rFonts w:ascii="Open Sans" w:eastAsia="Times New Roman" w:hAnsi="Open Sans" w:cs="Open Sans"/>
          <w:color w:val="000000"/>
          <w:sz w:val="20"/>
          <w:szCs w:val="20"/>
        </w:rPr>
        <w:t>, then the business cannot defend itself on such grounds.</w:t>
      </w:r>
    </w:p>
    <w:p w:rsidR="00DA2E3C" w:rsidRDefault="0090100E">
      <w:r>
        <w:t>(</w:t>
      </w:r>
      <w:r w:rsidR="00D60022">
        <w:t xml:space="preserve">From: </w:t>
      </w:r>
      <w:r w:rsidR="00D60022" w:rsidRPr="00D60022">
        <w:t>https://www.mbaskool.com/business-concepts/human-resources-hr-terms/13006-45ths-rule.html</w:t>
      </w:r>
      <w:r>
        <w:t>)</w:t>
      </w:r>
    </w:p>
    <w:p w:rsidR="00D60022" w:rsidRDefault="00D60022"/>
    <w:p w:rsidR="00E8362E" w:rsidRDefault="00E8362E"/>
    <w:p w:rsidR="00E8362E" w:rsidRDefault="00E8362E"/>
    <w:p w:rsidR="00E8362E" w:rsidRDefault="00E8362E"/>
    <w:p w:rsidR="00E8362E" w:rsidRDefault="00E8362E"/>
    <w:p w:rsidR="00E8362E" w:rsidRDefault="00E8362E">
      <w:r>
        <w:t>Calculations involved in the four-fifths or 80% rule:</w:t>
      </w:r>
    </w:p>
    <w:p w:rsidR="00E8362E" w:rsidRDefault="00E8362E"/>
    <w:p w:rsidR="00E8362E" w:rsidRDefault="00E8362E">
      <w:r>
        <w:t xml:space="preserve">Example 1 </w:t>
      </w:r>
    </w:p>
    <w:p w:rsidR="00E8362E" w:rsidRDefault="00E8362E">
      <w:r>
        <w:t>Disparate impact analysis by gender: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809"/>
        <w:gridCol w:w="1809"/>
        <w:gridCol w:w="1809"/>
        <w:gridCol w:w="1810"/>
      </w:tblGrid>
      <w:tr w:rsidR="00D517C6" w:rsidTr="00D517C6">
        <w:trPr>
          <w:trHeight w:val="780"/>
        </w:trPr>
        <w:tc>
          <w:tcPr>
            <w:tcW w:w="1809" w:type="dxa"/>
          </w:tcPr>
          <w:p w:rsidR="00D517C6" w:rsidRPr="00D517C6" w:rsidRDefault="00D517C6" w:rsidP="006471B2">
            <w:r w:rsidRPr="00D517C6">
              <w:t>Applicant description</w:t>
            </w:r>
          </w:p>
        </w:tc>
        <w:tc>
          <w:tcPr>
            <w:tcW w:w="1809" w:type="dxa"/>
          </w:tcPr>
          <w:p w:rsidR="00D517C6" w:rsidRPr="00D517C6" w:rsidRDefault="00D517C6" w:rsidP="006471B2">
            <w:r w:rsidRPr="00D517C6">
              <w:t>Applicant Pool</w:t>
            </w:r>
          </w:p>
        </w:tc>
        <w:tc>
          <w:tcPr>
            <w:tcW w:w="1809" w:type="dxa"/>
          </w:tcPr>
          <w:p w:rsidR="00D517C6" w:rsidRPr="00D517C6" w:rsidRDefault="00D517C6" w:rsidP="006471B2">
            <w:r w:rsidRPr="00D517C6">
              <w:t>Hires</w:t>
            </w:r>
          </w:p>
        </w:tc>
        <w:tc>
          <w:tcPr>
            <w:tcW w:w="1809" w:type="dxa"/>
          </w:tcPr>
          <w:p w:rsidR="00D517C6" w:rsidRPr="00D517C6" w:rsidRDefault="00D517C6" w:rsidP="006471B2">
            <w:r w:rsidRPr="00D517C6">
              <w:t>Hire Rate</w:t>
            </w:r>
          </w:p>
        </w:tc>
        <w:tc>
          <w:tcPr>
            <w:tcW w:w="1810" w:type="dxa"/>
          </w:tcPr>
          <w:p w:rsidR="00D517C6" w:rsidRPr="00D517C6" w:rsidRDefault="00D517C6" w:rsidP="006471B2">
            <w:r w:rsidRPr="00D517C6">
              <w:t>Adverse Impact Calculation%</w:t>
            </w:r>
          </w:p>
        </w:tc>
      </w:tr>
      <w:tr w:rsidR="00D517C6" w:rsidTr="00D517C6">
        <w:trPr>
          <w:trHeight w:val="780"/>
        </w:trPr>
        <w:tc>
          <w:tcPr>
            <w:tcW w:w="1809" w:type="dxa"/>
          </w:tcPr>
          <w:p w:rsidR="00D517C6" w:rsidRPr="00D517C6" w:rsidRDefault="00D517C6" w:rsidP="006471B2">
            <w:r>
              <w:t>Male</w:t>
            </w:r>
          </w:p>
        </w:tc>
        <w:tc>
          <w:tcPr>
            <w:tcW w:w="1809" w:type="dxa"/>
          </w:tcPr>
          <w:p w:rsidR="00D517C6" w:rsidRPr="00D517C6" w:rsidRDefault="00D517C6" w:rsidP="006471B2">
            <w:r>
              <w:t>43</w:t>
            </w:r>
          </w:p>
        </w:tc>
        <w:tc>
          <w:tcPr>
            <w:tcW w:w="1809" w:type="dxa"/>
          </w:tcPr>
          <w:p w:rsidR="00D517C6" w:rsidRPr="00D517C6" w:rsidRDefault="00D517C6" w:rsidP="006471B2">
            <w:r>
              <w:t>8</w:t>
            </w:r>
          </w:p>
        </w:tc>
        <w:tc>
          <w:tcPr>
            <w:tcW w:w="1809" w:type="dxa"/>
          </w:tcPr>
          <w:p w:rsidR="00D517C6" w:rsidRPr="00D517C6" w:rsidRDefault="00D517C6" w:rsidP="006471B2">
            <w:r>
              <w:t>8/43=18.6%</w:t>
            </w:r>
          </w:p>
        </w:tc>
        <w:tc>
          <w:tcPr>
            <w:tcW w:w="1810" w:type="dxa"/>
          </w:tcPr>
          <w:p w:rsidR="00D517C6" w:rsidRPr="00D517C6" w:rsidRDefault="00D517C6" w:rsidP="006471B2">
            <w:r>
              <w:t>.05/18.6=.003%</w:t>
            </w:r>
          </w:p>
        </w:tc>
      </w:tr>
      <w:tr w:rsidR="00D517C6" w:rsidTr="00D517C6">
        <w:trPr>
          <w:trHeight w:val="780"/>
        </w:trPr>
        <w:tc>
          <w:tcPr>
            <w:tcW w:w="1809" w:type="dxa"/>
          </w:tcPr>
          <w:p w:rsidR="00D517C6" w:rsidRPr="00D517C6" w:rsidRDefault="00D517C6" w:rsidP="006471B2">
            <w:r>
              <w:t>Female</w:t>
            </w:r>
          </w:p>
        </w:tc>
        <w:tc>
          <w:tcPr>
            <w:tcW w:w="1809" w:type="dxa"/>
          </w:tcPr>
          <w:p w:rsidR="00D517C6" w:rsidRPr="00D517C6" w:rsidRDefault="00D517C6" w:rsidP="006471B2">
            <w:r>
              <w:t>19</w:t>
            </w:r>
          </w:p>
        </w:tc>
        <w:tc>
          <w:tcPr>
            <w:tcW w:w="1809" w:type="dxa"/>
          </w:tcPr>
          <w:p w:rsidR="00D517C6" w:rsidRPr="00D517C6" w:rsidRDefault="00D517C6" w:rsidP="006471B2">
            <w:r>
              <w:t>1</w:t>
            </w:r>
          </w:p>
        </w:tc>
        <w:tc>
          <w:tcPr>
            <w:tcW w:w="1809" w:type="dxa"/>
          </w:tcPr>
          <w:p w:rsidR="00D517C6" w:rsidRPr="00D517C6" w:rsidRDefault="00D517C6" w:rsidP="006471B2">
            <w:r>
              <w:t>1/19=.05%</w:t>
            </w:r>
          </w:p>
        </w:tc>
        <w:tc>
          <w:tcPr>
            <w:tcW w:w="1810" w:type="dxa"/>
          </w:tcPr>
          <w:p w:rsidR="00D517C6" w:rsidRPr="00D517C6" w:rsidRDefault="00D517C6" w:rsidP="006471B2">
            <w:r>
              <w:t>YES (.003% is less than 80%)</w:t>
            </w:r>
          </w:p>
        </w:tc>
      </w:tr>
    </w:tbl>
    <w:p w:rsidR="00E8362E" w:rsidRDefault="00E8362E" w:rsidP="00D517C6"/>
    <w:p w:rsidR="00D517C6" w:rsidRDefault="00D517C6" w:rsidP="00D517C6"/>
    <w:p w:rsidR="00D517C6" w:rsidRDefault="00D517C6" w:rsidP="00D517C6">
      <w:r>
        <w:t>Example 2</w:t>
      </w:r>
    </w:p>
    <w:p w:rsidR="00D517C6" w:rsidRDefault="00D517C6" w:rsidP="00D517C6">
      <w:r>
        <w:t>Disparate impact analysis by age: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809"/>
        <w:gridCol w:w="1809"/>
        <w:gridCol w:w="1809"/>
        <w:gridCol w:w="1810"/>
      </w:tblGrid>
      <w:tr w:rsidR="00D517C6" w:rsidTr="00B17C03">
        <w:trPr>
          <w:trHeight w:val="780"/>
        </w:trPr>
        <w:tc>
          <w:tcPr>
            <w:tcW w:w="1809" w:type="dxa"/>
          </w:tcPr>
          <w:p w:rsidR="00D517C6" w:rsidRPr="00D517C6" w:rsidRDefault="00D517C6" w:rsidP="00B17C03">
            <w:r w:rsidRPr="00D517C6">
              <w:t>Applicant description</w:t>
            </w:r>
          </w:p>
        </w:tc>
        <w:tc>
          <w:tcPr>
            <w:tcW w:w="1809" w:type="dxa"/>
          </w:tcPr>
          <w:p w:rsidR="00D517C6" w:rsidRPr="00D517C6" w:rsidRDefault="00D517C6" w:rsidP="00B17C03">
            <w:r w:rsidRPr="00D517C6">
              <w:t>Applicant Pool</w:t>
            </w:r>
          </w:p>
        </w:tc>
        <w:tc>
          <w:tcPr>
            <w:tcW w:w="1809" w:type="dxa"/>
          </w:tcPr>
          <w:p w:rsidR="00D517C6" w:rsidRPr="00D517C6" w:rsidRDefault="00D517C6" w:rsidP="00B17C03">
            <w:r w:rsidRPr="00D517C6">
              <w:t>Hires</w:t>
            </w:r>
          </w:p>
        </w:tc>
        <w:tc>
          <w:tcPr>
            <w:tcW w:w="1809" w:type="dxa"/>
          </w:tcPr>
          <w:p w:rsidR="00D517C6" w:rsidRPr="00D517C6" w:rsidRDefault="00D517C6" w:rsidP="00B17C03">
            <w:r w:rsidRPr="00D517C6">
              <w:t>Hire Rate</w:t>
            </w:r>
          </w:p>
        </w:tc>
        <w:tc>
          <w:tcPr>
            <w:tcW w:w="1810" w:type="dxa"/>
          </w:tcPr>
          <w:p w:rsidR="00D517C6" w:rsidRPr="00D517C6" w:rsidRDefault="00D517C6" w:rsidP="00B17C03">
            <w:r w:rsidRPr="00D517C6">
              <w:t>Adverse Impact Calculation%</w:t>
            </w:r>
          </w:p>
        </w:tc>
      </w:tr>
      <w:tr w:rsidR="00D517C6" w:rsidTr="00B17C03">
        <w:trPr>
          <w:trHeight w:val="780"/>
        </w:trPr>
        <w:tc>
          <w:tcPr>
            <w:tcW w:w="1809" w:type="dxa"/>
          </w:tcPr>
          <w:p w:rsidR="00D517C6" w:rsidRPr="00D517C6" w:rsidRDefault="00D517C6" w:rsidP="00B17C03">
            <w:r>
              <w:t xml:space="preserve">Under 40 </w:t>
            </w:r>
            <w:proofErr w:type="spellStart"/>
            <w:r>
              <w:t>yrs</w:t>
            </w:r>
            <w:proofErr w:type="spellEnd"/>
            <w:r>
              <w:t xml:space="preserve"> old</w:t>
            </w:r>
          </w:p>
        </w:tc>
        <w:tc>
          <w:tcPr>
            <w:tcW w:w="1809" w:type="dxa"/>
          </w:tcPr>
          <w:p w:rsidR="00D517C6" w:rsidRPr="00D517C6" w:rsidRDefault="00D517C6" w:rsidP="00B17C03">
            <w:r>
              <w:t>75</w:t>
            </w:r>
          </w:p>
        </w:tc>
        <w:tc>
          <w:tcPr>
            <w:tcW w:w="1809" w:type="dxa"/>
          </w:tcPr>
          <w:p w:rsidR="00D517C6" w:rsidRPr="00D517C6" w:rsidRDefault="00D517C6" w:rsidP="00B17C03">
            <w:r>
              <w:t>15</w:t>
            </w:r>
          </w:p>
        </w:tc>
        <w:tc>
          <w:tcPr>
            <w:tcW w:w="1809" w:type="dxa"/>
          </w:tcPr>
          <w:p w:rsidR="00D517C6" w:rsidRPr="00D517C6" w:rsidRDefault="00D517C6" w:rsidP="00B17C03">
            <w:r>
              <w:t>15/75=</w:t>
            </w:r>
            <w:r w:rsidR="002B3F5A">
              <w:t>20%</w:t>
            </w:r>
          </w:p>
        </w:tc>
        <w:tc>
          <w:tcPr>
            <w:tcW w:w="1810" w:type="dxa"/>
          </w:tcPr>
          <w:p w:rsidR="00D517C6" w:rsidRPr="00D517C6" w:rsidRDefault="002B3F5A" w:rsidP="00B17C03">
            <w:r>
              <w:t>15.7/20= 78.5%</w:t>
            </w:r>
          </w:p>
        </w:tc>
      </w:tr>
      <w:tr w:rsidR="00D517C6" w:rsidTr="00B17C03">
        <w:trPr>
          <w:trHeight w:val="780"/>
        </w:trPr>
        <w:tc>
          <w:tcPr>
            <w:tcW w:w="1809" w:type="dxa"/>
          </w:tcPr>
          <w:p w:rsidR="00D517C6" w:rsidRDefault="00D517C6" w:rsidP="00B17C03">
            <w:r>
              <w:t xml:space="preserve">Over 40 </w:t>
            </w:r>
            <w:proofErr w:type="spellStart"/>
            <w:r>
              <w:t>yrs</w:t>
            </w:r>
            <w:proofErr w:type="spellEnd"/>
            <w:r>
              <w:t xml:space="preserve"> old</w:t>
            </w:r>
          </w:p>
        </w:tc>
        <w:tc>
          <w:tcPr>
            <w:tcW w:w="1809" w:type="dxa"/>
          </w:tcPr>
          <w:p w:rsidR="00D517C6" w:rsidRPr="00D517C6" w:rsidRDefault="002B3F5A" w:rsidP="00B17C03">
            <w:r>
              <w:t>38</w:t>
            </w:r>
          </w:p>
        </w:tc>
        <w:tc>
          <w:tcPr>
            <w:tcW w:w="1809" w:type="dxa"/>
          </w:tcPr>
          <w:p w:rsidR="00D517C6" w:rsidRPr="00D517C6" w:rsidRDefault="002B3F5A" w:rsidP="00B17C03">
            <w:r>
              <w:t>6</w:t>
            </w:r>
          </w:p>
        </w:tc>
        <w:tc>
          <w:tcPr>
            <w:tcW w:w="1809" w:type="dxa"/>
          </w:tcPr>
          <w:p w:rsidR="00D517C6" w:rsidRPr="00D517C6" w:rsidRDefault="002B3F5A" w:rsidP="00B17C03">
            <w:r>
              <w:t>6/38=15.7%</w:t>
            </w:r>
          </w:p>
        </w:tc>
        <w:tc>
          <w:tcPr>
            <w:tcW w:w="1810" w:type="dxa"/>
          </w:tcPr>
          <w:p w:rsidR="00D517C6" w:rsidRPr="00D517C6" w:rsidRDefault="002B3F5A" w:rsidP="00B17C03">
            <w:r>
              <w:t xml:space="preserve">YES </w:t>
            </w:r>
          </w:p>
        </w:tc>
      </w:tr>
    </w:tbl>
    <w:p w:rsidR="00D517C6" w:rsidRDefault="00D517C6" w:rsidP="00D517C6"/>
    <w:sectPr w:rsidR="00D51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048" w:rsidRDefault="00C90048" w:rsidP="00C90048">
      <w:pPr>
        <w:spacing w:after="0" w:line="240" w:lineRule="auto"/>
      </w:pPr>
      <w:r>
        <w:separator/>
      </w:r>
    </w:p>
  </w:endnote>
  <w:endnote w:type="continuationSeparator" w:id="0">
    <w:p w:rsidR="00C90048" w:rsidRDefault="00C90048" w:rsidP="00C90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048" w:rsidRDefault="00C90048" w:rsidP="00C90048">
      <w:pPr>
        <w:spacing w:after="0" w:line="240" w:lineRule="auto"/>
      </w:pPr>
      <w:r>
        <w:separator/>
      </w:r>
    </w:p>
  </w:footnote>
  <w:footnote w:type="continuationSeparator" w:id="0">
    <w:p w:rsidR="00C90048" w:rsidRDefault="00C90048" w:rsidP="00C90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31DFA"/>
    <w:multiLevelType w:val="multilevel"/>
    <w:tmpl w:val="883A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A5"/>
    <w:rsid w:val="00006AD4"/>
    <w:rsid w:val="00037811"/>
    <w:rsid w:val="001A46B6"/>
    <w:rsid w:val="002B3F5A"/>
    <w:rsid w:val="008E04A5"/>
    <w:rsid w:val="0090100E"/>
    <w:rsid w:val="00C90048"/>
    <w:rsid w:val="00D517C6"/>
    <w:rsid w:val="00D60022"/>
    <w:rsid w:val="00DA2E3C"/>
    <w:rsid w:val="00E8362E"/>
    <w:rsid w:val="00E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53824"/>
  <w15:chartTrackingRefBased/>
  <w15:docId w15:val="{EB66A49D-2F11-4BB0-AEA6-D0B92AE0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0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048"/>
  </w:style>
  <w:style w:type="paragraph" w:styleId="Footer">
    <w:name w:val="footer"/>
    <w:basedOn w:val="Normal"/>
    <w:link w:val="FooterChar"/>
    <w:uiPriority w:val="99"/>
    <w:unhideWhenUsed/>
    <w:rsid w:val="00C90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4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5362">
          <w:marLeft w:val="0"/>
          <w:marRight w:val="150"/>
          <w:marTop w:val="75"/>
          <w:marBottom w:val="0"/>
          <w:divBdr>
            <w:top w:val="single" w:sz="6" w:space="2" w:color="DADADA"/>
            <w:left w:val="single" w:sz="6" w:space="2" w:color="DADADA"/>
            <w:bottom w:val="single" w:sz="6" w:space="2" w:color="DADADA"/>
            <w:right w:val="single" w:sz="6" w:space="2" w:color="DADAD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Bowers</dc:creator>
  <cp:keywords/>
  <dc:description/>
  <cp:lastModifiedBy>TempAdmin</cp:lastModifiedBy>
  <cp:revision>3</cp:revision>
  <dcterms:created xsi:type="dcterms:W3CDTF">2019-02-10T20:16:00Z</dcterms:created>
  <dcterms:modified xsi:type="dcterms:W3CDTF">2019-02-10T20:23:00Z</dcterms:modified>
</cp:coreProperties>
</file>