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8E9" w:rsidRDefault="006A18E9" w:rsidP="006A18E9">
      <w:pPr>
        <w:autoSpaceDE w:val="0"/>
        <w:autoSpaceDN w:val="0"/>
        <w:adjustRightInd w:val="0"/>
        <w:spacing w:after="0" w:line="240" w:lineRule="auto"/>
        <w:rPr>
          <w:rFonts w:ascii="Times New Roman" w:hAnsi="Times New Roman" w:cs="Times New Roman"/>
          <w:b/>
          <w:iCs/>
          <w:sz w:val="24"/>
          <w:szCs w:val="24"/>
        </w:rPr>
      </w:pPr>
      <w:bookmarkStart w:id="0" w:name="_GoBack"/>
      <w:proofErr w:type="gramStart"/>
      <w:r w:rsidRPr="006A18E9">
        <w:rPr>
          <w:rFonts w:ascii="Times New Roman" w:hAnsi="Times New Roman" w:cs="Times New Roman"/>
          <w:b/>
          <w:iCs/>
          <w:sz w:val="24"/>
          <w:szCs w:val="24"/>
        </w:rPr>
        <w:t>Peters-</w:t>
      </w:r>
      <w:proofErr w:type="spellStart"/>
      <w:r w:rsidRPr="006A18E9">
        <w:rPr>
          <w:rFonts w:ascii="Times New Roman" w:hAnsi="Times New Roman" w:cs="Times New Roman"/>
          <w:b/>
          <w:iCs/>
          <w:sz w:val="24"/>
          <w:szCs w:val="24"/>
        </w:rPr>
        <w:t>Veluthamaningal</w:t>
      </w:r>
      <w:proofErr w:type="spellEnd"/>
      <w:r w:rsidRPr="006A18E9">
        <w:rPr>
          <w:rFonts w:ascii="Times New Roman" w:hAnsi="Times New Roman" w:cs="Times New Roman"/>
          <w:b/>
          <w:iCs/>
          <w:sz w:val="24"/>
          <w:szCs w:val="24"/>
        </w:rPr>
        <w:t xml:space="preserve"> C, van der </w:t>
      </w:r>
      <w:proofErr w:type="spellStart"/>
      <w:r w:rsidRPr="006A18E9">
        <w:rPr>
          <w:rFonts w:ascii="Times New Roman" w:hAnsi="Times New Roman" w:cs="Times New Roman"/>
          <w:b/>
          <w:iCs/>
          <w:sz w:val="24"/>
          <w:szCs w:val="24"/>
        </w:rPr>
        <w:t>Windt</w:t>
      </w:r>
      <w:proofErr w:type="spellEnd"/>
      <w:r w:rsidRPr="006A18E9">
        <w:rPr>
          <w:rFonts w:ascii="Times New Roman" w:hAnsi="Times New Roman" w:cs="Times New Roman"/>
          <w:b/>
          <w:iCs/>
          <w:sz w:val="24"/>
          <w:szCs w:val="24"/>
        </w:rPr>
        <w:t xml:space="preserve"> DAWM, Winters JC, </w:t>
      </w:r>
      <w:proofErr w:type="spellStart"/>
      <w:r w:rsidRPr="006A18E9">
        <w:rPr>
          <w:rFonts w:ascii="Times New Roman" w:hAnsi="Times New Roman" w:cs="Times New Roman"/>
          <w:b/>
          <w:iCs/>
          <w:sz w:val="24"/>
          <w:szCs w:val="24"/>
        </w:rPr>
        <w:t>Meyboom</w:t>
      </w:r>
      <w:proofErr w:type="spellEnd"/>
      <w:r w:rsidRPr="006A18E9">
        <w:rPr>
          <w:rFonts w:ascii="Times New Roman" w:hAnsi="Times New Roman" w:cs="Times New Roman"/>
          <w:b/>
          <w:iCs/>
          <w:sz w:val="24"/>
          <w:szCs w:val="24"/>
        </w:rPr>
        <w:t>-de J</w:t>
      </w:r>
      <w:r w:rsidR="00127707">
        <w:rPr>
          <w:rFonts w:ascii="Times New Roman" w:hAnsi="Times New Roman" w:cs="Times New Roman"/>
          <w:b/>
          <w:iCs/>
          <w:sz w:val="24"/>
          <w:szCs w:val="24"/>
        </w:rPr>
        <w:t xml:space="preserve">ong B. </w:t>
      </w:r>
      <w:bookmarkEnd w:id="0"/>
      <w:r w:rsidR="00127707">
        <w:rPr>
          <w:rFonts w:ascii="Times New Roman" w:hAnsi="Times New Roman" w:cs="Times New Roman"/>
          <w:b/>
          <w:iCs/>
          <w:sz w:val="24"/>
          <w:szCs w:val="24"/>
        </w:rPr>
        <w:t xml:space="preserve">Corticosteroid injection </w:t>
      </w:r>
      <w:r w:rsidRPr="006A18E9">
        <w:rPr>
          <w:rFonts w:ascii="Times New Roman" w:hAnsi="Times New Roman" w:cs="Times New Roman"/>
          <w:b/>
          <w:iCs/>
          <w:sz w:val="24"/>
          <w:szCs w:val="24"/>
        </w:rPr>
        <w:t>for de Quervain’s tenosynovitis.</w:t>
      </w:r>
      <w:proofErr w:type="gramEnd"/>
      <w:r w:rsidRPr="006A18E9">
        <w:rPr>
          <w:rFonts w:ascii="Times New Roman" w:hAnsi="Times New Roman" w:cs="Times New Roman"/>
          <w:b/>
          <w:iCs/>
          <w:sz w:val="24"/>
          <w:szCs w:val="24"/>
        </w:rPr>
        <w:t xml:space="preserve"> </w:t>
      </w:r>
      <w:proofErr w:type="gramStart"/>
      <w:r w:rsidRPr="00127707">
        <w:rPr>
          <w:rFonts w:ascii="Times New Roman" w:hAnsi="Times New Roman" w:cs="Times New Roman"/>
          <w:b/>
          <w:i/>
          <w:iCs/>
          <w:sz w:val="24"/>
          <w:szCs w:val="24"/>
        </w:rPr>
        <w:t>Cochrane Data</w:t>
      </w:r>
      <w:r w:rsidR="00127707" w:rsidRPr="00127707">
        <w:rPr>
          <w:rFonts w:ascii="Times New Roman" w:hAnsi="Times New Roman" w:cs="Times New Roman"/>
          <w:b/>
          <w:i/>
          <w:iCs/>
          <w:sz w:val="24"/>
          <w:szCs w:val="24"/>
        </w:rPr>
        <w:t>base of Systematic Reviews</w:t>
      </w:r>
      <w:r w:rsidR="00127707">
        <w:rPr>
          <w:rFonts w:ascii="Times New Roman" w:hAnsi="Times New Roman" w:cs="Times New Roman"/>
          <w:b/>
          <w:iCs/>
          <w:sz w:val="24"/>
          <w:szCs w:val="24"/>
        </w:rPr>
        <w:t xml:space="preserve"> 2009;</w:t>
      </w:r>
      <w:r w:rsidRPr="006A18E9">
        <w:rPr>
          <w:rFonts w:ascii="Times New Roman" w:hAnsi="Times New Roman" w:cs="Times New Roman"/>
          <w:b/>
          <w:iCs/>
          <w:sz w:val="24"/>
          <w:szCs w:val="24"/>
        </w:rPr>
        <w:t xml:space="preserve"> Issue 3.</w:t>
      </w:r>
      <w:proofErr w:type="gramEnd"/>
    </w:p>
    <w:p w:rsidR="006A18E9" w:rsidRPr="007E562C" w:rsidRDefault="007E562C" w:rsidP="006F7B65">
      <w:pPr>
        <w:autoSpaceDE w:val="0"/>
        <w:autoSpaceDN w:val="0"/>
        <w:adjustRightInd w:val="0"/>
        <w:spacing w:after="0" w:line="240" w:lineRule="auto"/>
        <w:rPr>
          <w:rFonts w:ascii="Times New Roman" w:hAnsi="Times New Roman" w:cs="Times New Roman"/>
          <w:iCs/>
          <w:sz w:val="24"/>
          <w:szCs w:val="24"/>
        </w:rPr>
      </w:pPr>
      <w:r w:rsidRPr="007E562C">
        <w:rPr>
          <w:rFonts w:ascii="Times New Roman" w:hAnsi="Times New Roman" w:cs="Times New Roman"/>
          <w:b/>
          <w:iCs/>
          <w:sz w:val="24"/>
          <w:szCs w:val="24"/>
        </w:rPr>
        <w:t xml:space="preserve">PMID: </w:t>
      </w:r>
      <w:r w:rsidRPr="007E562C">
        <w:rPr>
          <w:rFonts w:ascii="Times New Roman" w:hAnsi="Times New Roman" w:cs="Times New Roman"/>
          <w:iCs/>
          <w:sz w:val="24"/>
          <w:szCs w:val="24"/>
        </w:rPr>
        <w:t>19588376</w:t>
      </w:r>
    </w:p>
    <w:p w:rsidR="007E562C" w:rsidRPr="00913EB2" w:rsidRDefault="007E562C" w:rsidP="006F7B65">
      <w:pPr>
        <w:autoSpaceDE w:val="0"/>
        <w:autoSpaceDN w:val="0"/>
        <w:adjustRightInd w:val="0"/>
        <w:spacing w:after="0" w:line="240" w:lineRule="auto"/>
        <w:rPr>
          <w:rFonts w:ascii="Times New Roman" w:hAnsi="Times New Roman" w:cs="Times New Roman"/>
          <w:b/>
          <w:iCs/>
          <w:sz w:val="24"/>
          <w:szCs w:val="24"/>
        </w:rPr>
      </w:pPr>
    </w:p>
    <w:p w:rsidR="00E51490" w:rsidRDefault="00786B7A" w:rsidP="00DA6192">
      <w:pPr>
        <w:spacing w:line="240" w:lineRule="auto"/>
        <w:rPr>
          <w:rFonts w:ascii="Times New Roman" w:hAnsi="Times New Roman" w:cs="Times New Roman"/>
          <w:sz w:val="24"/>
          <w:szCs w:val="24"/>
        </w:rPr>
      </w:pPr>
      <w:r w:rsidRPr="00DA6192">
        <w:rPr>
          <w:rFonts w:ascii="Times New Roman" w:hAnsi="Times New Roman" w:cs="Times New Roman"/>
          <w:b/>
          <w:sz w:val="24"/>
          <w:szCs w:val="24"/>
        </w:rPr>
        <w:t xml:space="preserve">Reviewer: </w:t>
      </w:r>
      <w:r w:rsidRPr="00DA6192">
        <w:rPr>
          <w:rFonts w:ascii="Times New Roman" w:hAnsi="Times New Roman" w:cs="Times New Roman"/>
          <w:sz w:val="24"/>
          <w:szCs w:val="24"/>
        </w:rPr>
        <w:t>Linda Metzger</w:t>
      </w:r>
      <w:r w:rsidR="00127707">
        <w:rPr>
          <w:rFonts w:ascii="Times New Roman" w:hAnsi="Times New Roman" w:cs="Times New Roman"/>
          <w:sz w:val="24"/>
          <w:szCs w:val="24"/>
        </w:rPr>
        <w:t xml:space="preserve"> 10-13</w:t>
      </w:r>
      <w:r w:rsidR="00E51490">
        <w:rPr>
          <w:rFonts w:ascii="Times New Roman" w:hAnsi="Times New Roman" w:cs="Times New Roman"/>
          <w:sz w:val="24"/>
          <w:szCs w:val="24"/>
        </w:rPr>
        <w:t>-15</w:t>
      </w:r>
    </w:p>
    <w:p w:rsidR="00786B7A" w:rsidRPr="00DA6192" w:rsidRDefault="00786B7A" w:rsidP="00DA6192">
      <w:pPr>
        <w:spacing w:line="240" w:lineRule="auto"/>
        <w:rPr>
          <w:rFonts w:ascii="Times New Roman" w:hAnsi="Times New Roman" w:cs="Times New Roman"/>
          <w:sz w:val="24"/>
          <w:szCs w:val="24"/>
        </w:rPr>
      </w:pPr>
      <w:r w:rsidRPr="00DA6192">
        <w:rPr>
          <w:rFonts w:ascii="Times New Roman" w:hAnsi="Times New Roman" w:cs="Times New Roman"/>
          <w:b/>
          <w:sz w:val="24"/>
          <w:szCs w:val="24"/>
        </w:rPr>
        <w:t>Design:</w:t>
      </w:r>
      <w:r w:rsidRPr="00DA6192">
        <w:rPr>
          <w:rFonts w:ascii="Times New Roman" w:hAnsi="Times New Roman" w:cs="Times New Roman"/>
          <w:sz w:val="24"/>
          <w:szCs w:val="24"/>
        </w:rPr>
        <w:t xml:space="preserve"> </w:t>
      </w:r>
      <w:r w:rsidR="007E7AD9">
        <w:rPr>
          <w:rFonts w:ascii="Times New Roman" w:hAnsi="Times New Roman" w:cs="Times New Roman"/>
          <w:sz w:val="24"/>
          <w:szCs w:val="24"/>
        </w:rPr>
        <w:t>Cochrane Systematic Review (No meta-analysis)</w:t>
      </w:r>
    </w:p>
    <w:p w:rsidR="00E44E29" w:rsidRDefault="00786B7A" w:rsidP="00E44E29">
      <w:pPr>
        <w:autoSpaceDE w:val="0"/>
        <w:autoSpaceDN w:val="0"/>
        <w:adjustRightInd w:val="0"/>
        <w:spacing w:after="0" w:line="240" w:lineRule="auto"/>
        <w:rPr>
          <w:rFonts w:ascii="Times New Roman" w:hAnsi="Times New Roman" w:cs="Times New Roman"/>
          <w:sz w:val="24"/>
          <w:szCs w:val="24"/>
        </w:rPr>
      </w:pPr>
      <w:r w:rsidRPr="00DA6192">
        <w:rPr>
          <w:rFonts w:ascii="Times New Roman" w:hAnsi="Times New Roman" w:cs="Times New Roman"/>
          <w:b/>
          <w:sz w:val="24"/>
          <w:szCs w:val="24"/>
        </w:rPr>
        <w:t>Objective:</w:t>
      </w:r>
      <w:r w:rsidR="00E44E29" w:rsidRPr="00E44E29">
        <w:rPr>
          <w:rFonts w:ascii="Times New Roman" w:hAnsi="Times New Roman" w:cs="Times New Roman"/>
          <w:sz w:val="24"/>
          <w:szCs w:val="24"/>
        </w:rPr>
        <w:t xml:space="preserve"> </w:t>
      </w:r>
      <w:r w:rsidR="00127707" w:rsidRPr="006F7B65">
        <w:rPr>
          <w:rFonts w:ascii="Times New Roman" w:hAnsi="Times New Roman" w:cs="Times New Roman"/>
          <w:sz w:val="24"/>
          <w:szCs w:val="24"/>
        </w:rPr>
        <w:t xml:space="preserve">To </w:t>
      </w:r>
      <w:r w:rsidR="00127707">
        <w:rPr>
          <w:rFonts w:ascii="Times New Roman" w:hAnsi="Times New Roman" w:cs="Times New Roman"/>
          <w:sz w:val="24"/>
          <w:szCs w:val="24"/>
        </w:rPr>
        <w:t xml:space="preserve">assess and summarize the </w:t>
      </w:r>
      <w:r w:rsidR="00127707" w:rsidRPr="00127707">
        <w:rPr>
          <w:rFonts w:ascii="Times New Roman" w:hAnsi="Times New Roman" w:cs="Times New Roman"/>
          <w:sz w:val="24"/>
          <w:szCs w:val="24"/>
        </w:rPr>
        <w:t xml:space="preserve">evidence on the </w:t>
      </w:r>
      <w:r w:rsidR="00127707">
        <w:rPr>
          <w:rFonts w:ascii="Times New Roman" w:hAnsi="Times New Roman" w:cs="Times New Roman"/>
          <w:sz w:val="24"/>
          <w:szCs w:val="24"/>
        </w:rPr>
        <w:t>effectiveness</w:t>
      </w:r>
      <w:r w:rsidR="00127707" w:rsidRPr="00127707">
        <w:rPr>
          <w:rFonts w:ascii="Times New Roman" w:hAnsi="Times New Roman" w:cs="Times New Roman"/>
          <w:sz w:val="24"/>
          <w:szCs w:val="24"/>
        </w:rPr>
        <w:t xml:space="preserve"> and safety of corticosteroid injections for </w:t>
      </w:r>
      <w:r w:rsidR="00127707">
        <w:rPr>
          <w:rFonts w:ascii="Times New Roman" w:hAnsi="Times New Roman" w:cs="Times New Roman"/>
          <w:sz w:val="24"/>
          <w:szCs w:val="24"/>
        </w:rPr>
        <w:t xml:space="preserve">treating people with </w:t>
      </w:r>
      <w:r w:rsidR="00127707" w:rsidRPr="00127707">
        <w:rPr>
          <w:rFonts w:ascii="Times New Roman" w:hAnsi="Times New Roman" w:cs="Times New Roman"/>
          <w:sz w:val="24"/>
          <w:szCs w:val="24"/>
        </w:rPr>
        <w:t>de Quervain’s tenosynovitis.</w:t>
      </w:r>
    </w:p>
    <w:p w:rsidR="00127707" w:rsidRDefault="00127707" w:rsidP="00E44E29">
      <w:pPr>
        <w:autoSpaceDE w:val="0"/>
        <w:autoSpaceDN w:val="0"/>
        <w:adjustRightInd w:val="0"/>
        <w:spacing w:after="0" w:line="240" w:lineRule="auto"/>
        <w:rPr>
          <w:rFonts w:ascii="Times New Roman" w:hAnsi="Times New Roman" w:cs="Times New Roman"/>
          <w:sz w:val="24"/>
          <w:szCs w:val="24"/>
        </w:rPr>
      </w:pPr>
    </w:p>
    <w:p w:rsidR="004B2DF7" w:rsidRDefault="004B2DF7" w:rsidP="004B2DF7">
      <w:pPr>
        <w:spacing w:line="240" w:lineRule="auto"/>
        <w:rPr>
          <w:rFonts w:ascii="Times New Roman" w:hAnsi="Times New Roman" w:cs="Times New Roman"/>
          <w:b/>
          <w:sz w:val="24"/>
          <w:szCs w:val="24"/>
        </w:rPr>
      </w:pPr>
      <w:r>
        <w:rPr>
          <w:rFonts w:ascii="Times New Roman" w:hAnsi="Times New Roman" w:cs="Times New Roman"/>
          <w:b/>
          <w:sz w:val="24"/>
          <w:szCs w:val="24"/>
        </w:rPr>
        <w:t>Summary of Results</w:t>
      </w:r>
      <w:r w:rsidRPr="00DA6192">
        <w:rPr>
          <w:rFonts w:ascii="Times New Roman" w:hAnsi="Times New Roman" w:cs="Times New Roman"/>
          <w:b/>
          <w:sz w:val="24"/>
          <w:szCs w:val="24"/>
        </w:rPr>
        <w:t>:</w:t>
      </w:r>
    </w:p>
    <w:p w:rsidR="005459DC" w:rsidRPr="005459DC" w:rsidRDefault="005459DC" w:rsidP="005459DC">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Included only one </w:t>
      </w:r>
      <w:r w:rsidRPr="005459DC">
        <w:rPr>
          <w:rFonts w:ascii="Times New Roman" w:hAnsi="Times New Roman" w:cs="Times New Roman"/>
          <w:sz w:val="24"/>
          <w:szCs w:val="24"/>
        </w:rPr>
        <w:t xml:space="preserve">controlled clinical trial </w:t>
      </w:r>
      <w:r>
        <w:rPr>
          <w:rFonts w:ascii="Times New Roman" w:hAnsi="Times New Roman" w:cs="Times New Roman"/>
          <w:sz w:val="24"/>
          <w:szCs w:val="24"/>
        </w:rPr>
        <w:t xml:space="preserve">with a total of </w:t>
      </w:r>
      <w:r w:rsidRPr="005459DC">
        <w:rPr>
          <w:rFonts w:ascii="Times New Roman" w:hAnsi="Times New Roman" w:cs="Times New Roman"/>
          <w:sz w:val="24"/>
          <w:szCs w:val="24"/>
        </w:rPr>
        <w:t>18 participants</w:t>
      </w:r>
      <w:r>
        <w:rPr>
          <w:rFonts w:ascii="Times New Roman" w:hAnsi="Times New Roman" w:cs="Times New Roman"/>
          <w:sz w:val="24"/>
          <w:szCs w:val="24"/>
        </w:rPr>
        <w:t xml:space="preserve"> (19 wrists)</w:t>
      </w:r>
      <w:r w:rsidRPr="005459DC">
        <w:rPr>
          <w:rFonts w:ascii="Times New Roman" w:hAnsi="Times New Roman" w:cs="Times New Roman"/>
          <w:sz w:val="24"/>
          <w:szCs w:val="24"/>
        </w:rPr>
        <w:t xml:space="preserve"> (</w:t>
      </w:r>
      <w:r>
        <w:rPr>
          <w:rFonts w:ascii="Times New Roman" w:hAnsi="Times New Roman" w:cs="Times New Roman"/>
          <w:sz w:val="24"/>
          <w:szCs w:val="24"/>
        </w:rPr>
        <w:t xml:space="preserve">5 pregnant and 14 </w:t>
      </w:r>
      <w:r w:rsidRPr="005459DC">
        <w:rPr>
          <w:rFonts w:ascii="Times New Roman" w:hAnsi="Times New Roman" w:cs="Times New Roman"/>
          <w:sz w:val="24"/>
          <w:szCs w:val="24"/>
        </w:rPr>
        <w:t>lactating women) that compared one steroid injection with</w:t>
      </w:r>
      <w:r>
        <w:rPr>
          <w:rFonts w:ascii="Times New Roman" w:hAnsi="Times New Roman" w:cs="Times New Roman"/>
          <w:sz w:val="24"/>
          <w:szCs w:val="24"/>
        </w:rPr>
        <w:t xml:space="preserve"> </w:t>
      </w:r>
      <w:r w:rsidRPr="005459DC">
        <w:rPr>
          <w:rFonts w:ascii="Times New Roman" w:hAnsi="Times New Roman" w:cs="Times New Roman"/>
          <w:sz w:val="24"/>
          <w:szCs w:val="24"/>
        </w:rPr>
        <w:t>methylprednisolone and bupivacaine to splinting with a thumb spica. Injections were given into the tendon-sheath. All patients in the steroid injection group (9/9) achieved complete</w:t>
      </w:r>
      <w:r>
        <w:rPr>
          <w:rFonts w:ascii="Times New Roman" w:hAnsi="Times New Roman" w:cs="Times New Roman"/>
          <w:sz w:val="24"/>
          <w:szCs w:val="24"/>
        </w:rPr>
        <w:t xml:space="preserve"> </w:t>
      </w:r>
      <w:r w:rsidRPr="005459DC">
        <w:rPr>
          <w:rFonts w:ascii="Times New Roman" w:hAnsi="Times New Roman" w:cs="Times New Roman"/>
          <w:sz w:val="24"/>
          <w:szCs w:val="24"/>
        </w:rPr>
        <w:t>relief of pain whereas none of the patients in the thumb spica group (0/9) had complete relief of pain, on</w:t>
      </w:r>
      <w:r>
        <w:rPr>
          <w:rFonts w:ascii="Times New Roman" w:hAnsi="Times New Roman" w:cs="Times New Roman"/>
          <w:sz w:val="24"/>
          <w:szCs w:val="24"/>
        </w:rPr>
        <w:t>e to six days after injection</w:t>
      </w:r>
      <w:r w:rsidR="00687B26">
        <w:rPr>
          <w:rFonts w:ascii="Times New Roman" w:hAnsi="Times New Roman" w:cs="Times New Roman"/>
          <w:sz w:val="24"/>
          <w:szCs w:val="24"/>
        </w:rPr>
        <w:t>.</w:t>
      </w:r>
      <w:r>
        <w:rPr>
          <w:rFonts w:ascii="Times New Roman" w:hAnsi="Times New Roman" w:cs="Times New Roman"/>
          <w:sz w:val="24"/>
          <w:szCs w:val="24"/>
        </w:rPr>
        <w:t xml:space="preserve"> </w:t>
      </w:r>
      <w:r w:rsidR="00687B26">
        <w:rPr>
          <w:rFonts w:ascii="Times New Roman" w:hAnsi="Times New Roman" w:cs="Times New Roman"/>
          <w:sz w:val="24"/>
          <w:szCs w:val="24"/>
        </w:rPr>
        <w:t xml:space="preserve">The </w:t>
      </w:r>
      <w:r w:rsidRPr="005459DC">
        <w:rPr>
          <w:rFonts w:ascii="Times New Roman" w:hAnsi="Times New Roman" w:cs="Times New Roman"/>
          <w:sz w:val="24"/>
          <w:szCs w:val="24"/>
        </w:rPr>
        <w:t>number needed to treat to benefit (NNTB) = 1, 95% confidence interval (CI) 0.8 to 1.2). No side effects or local complications of</w:t>
      </w:r>
      <w:r>
        <w:rPr>
          <w:rFonts w:ascii="Times New Roman" w:hAnsi="Times New Roman" w:cs="Times New Roman"/>
          <w:sz w:val="24"/>
          <w:szCs w:val="24"/>
        </w:rPr>
        <w:t xml:space="preserve"> </w:t>
      </w:r>
      <w:r w:rsidR="00687B26">
        <w:rPr>
          <w:rFonts w:ascii="Times New Roman" w:hAnsi="Times New Roman" w:cs="Times New Roman"/>
          <w:sz w:val="24"/>
          <w:szCs w:val="24"/>
        </w:rPr>
        <w:t xml:space="preserve">the </w:t>
      </w:r>
      <w:r w:rsidRPr="005459DC">
        <w:rPr>
          <w:rFonts w:ascii="Times New Roman" w:hAnsi="Times New Roman" w:cs="Times New Roman"/>
          <w:sz w:val="24"/>
          <w:szCs w:val="24"/>
        </w:rPr>
        <w:t>steroid injection were</w:t>
      </w:r>
      <w:r>
        <w:rPr>
          <w:rFonts w:ascii="Times New Roman" w:hAnsi="Times New Roman" w:cs="Times New Roman"/>
          <w:sz w:val="24"/>
          <w:szCs w:val="24"/>
        </w:rPr>
        <w:t xml:space="preserve"> reported</w:t>
      </w:r>
      <w:r w:rsidRPr="005459DC">
        <w:rPr>
          <w:rFonts w:ascii="Times New Roman" w:hAnsi="Times New Roman" w:cs="Times New Roman"/>
          <w:sz w:val="24"/>
          <w:szCs w:val="24"/>
        </w:rPr>
        <w:t>.</w:t>
      </w:r>
    </w:p>
    <w:p w:rsidR="00164F01" w:rsidRPr="00164F01" w:rsidRDefault="00164F01" w:rsidP="00164F01">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164F01">
        <w:rPr>
          <w:rFonts w:ascii="Times New Roman" w:hAnsi="Times New Roman" w:cs="Times New Roman"/>
          <w:sz w:val="24"/>
          <w:szCs w:val="24"/>
        </w:rPr>
        <w:t>The inc</w:t>
      </w:r>
      <w:r>
        <w:rPr>
          <w:rFonts w:ascii="Times New Roman" w:hAnsi="Times New Roman" w:cs="Times New Roman"/>
          <w:sz w:val="24"/>
          <w:szCs w:val="24"/>
        </w:rPr>
        <w:t>luded study (</w:t>
      </w:r>
      <w:proofErr w:type="spellStart"/>
      <w:r>
        <w:rPr>
          <w:rFonts w:ascii="Times New Roman" w:hAnsi="Times New Roman" w:cs="Times New Roman"/>
          <w:sz w:val="24"/>
          <w:szCs w:val="24"/>
        </w:rPr>
        <w:t>Avci</w:t>
      </w:r>
      <w:proofErr w:type="spellEnd"/>
      <w:r>
        <w:rPr>
          <w:rFonts w:ascii="Times New Roman" w:hAnsi="Times New Roman" w:cs="Times New Roman"/>
          <w:sz w:val="24"/>
          <w:szCs w:val="24"/>
        </w:rPr>
        <w:t xml:space="preserve"> 2002)</w:t>
      </w:r>
      <w:r w:rsidR="002F3D25">
        <w:rPr>
          <w:rFonts w:ascii="Times New Roman" w:hAnsi="Times New Roman" w:cs="Times New Roman"/>
          <w:sz w:val="24"/>
          <w:szCs w:val="24"/>
        </w:rPr>
        <w:t xml:space="preserve"> </w:t>
      </w:r>
      <w:r>
        <w:rPr>
          <w:rFonts w:ascii="Times New Roman" w:hAnsi="Times New Roman" w:cs="Times New Roman"/>
          <w:sz w:val="24"/>
          <w:szCs w:val="24"/>
        </w:rPr>
        <w:t>used pseudo-randomiz</w:t>
      </w:r>
      <w:r w:rsidRPr="00164F01">
        <w:rPr>
          <w:rFonts w:ascii="Times New Roman" w:hAnsi="Times New Roman" w:cs="Times New Roman"/>
          <w:sz w:val="24"/>
          <w:szCs w:val="24"/>
        </w:rPr>
        <w:t>ation (participants</w:t>
      </w:r>
      <w:r>
        <w:rPr>
          <w:rFonts w:ascii="Times New Roman" w:hAnsi="Times New Roman" w:cs="Times New Roman"/>
          <w:sz w:val="24"/>
          <w:szCs w:val="24"/>
        </w:rPr>
        <w:t xml:space="preserve"> </w:t>
      </w:r>
      <w:r w:rsidRPr="00164F01">
        <w:rPr>
          <w:rFonts w:ascii="Times New Roman" w:hAnsi="Times New Roman" w:cs="Times New Roman"/>
          <w:sz w:val="24"/>
          <w:szCs w:val="24"/>
        </w:rPr>
        <w:t>were</w:t>
      </w:r>
      <w:r>
        <w:rPr>
          <w:rFonts w:ascii="Times New Roman" w:hAnsi="Times New Roman" w:cs="Times New Roman"/>
          <w:sz w:val="24"/>
          <w:szCs w:val="24"/>
        </w:rPr>
        <w:t xml:space="preserve"> </w:t>
      </w:r>
      <w:r w:rsidRPr="00164F01">
        <w:rPr>
          <w:rFonts w:ascii="Times New Roman" w:hAnsi="Times New Roman" w:cs="Times New Roman"/>
          <w:sz w:val="24"/>
          <w:szCs w:val="24"/>
        </w:rPr>
        <w:t>randomized according to their order of application), there was no</w:t>
      </w:r>
      <w:r>
        <w:rPr>
          <w:rFonts w:ascii="Times New Roman" w:hAnsi="Times New Roman" w:cs="Times New Roman"/>
          <w:sz w:val="24"/>
          <w:szCs w:val="24"/>
        </w:rPr>
        <w:t xml:space="preserve"> </w:t>
      </w:r>
      <w:r w:rsidRPr="00164F01">
        <w:rPr>
          <w:rFonts w:ascii="Times New Roman" w:hAnsi="Times New Roman" w:cs="Times New Roman"/>
          <w:sz w:val="24"/>
          <w:szCs w:val="24"/>
        </w:rPr>
        <w:t>description of allocation concealment (but since there was alternate</w:t>
      </w:r>
      <w:r>
        <w:rPr>
          <w:rFonts w:ascii="Times New Roman" w:hAnsi="Times New Roman" w:cs="Times New Roman"/>
          <w:sz w:val="24"/>
          <w:szCs w:val="24"/>
        </w:rPr>
        <w:t xml:space="preserve"> </w:t>
      </w:r>
      <w:r w:rsidRPr="00164F01">
        <w:rPr>
          <w:rFonts w:ascii="Times New Roman" w:hAnsi="Times New Roman" w:cs="Times New Roman"/>
          <w:sz w:val="24"/>
          <w:szCs w:val="24"/>
        </w:rPr>
        <w:t>allocation</w:t>
      </w:r>
      <w:r>
        <w:rPr>
          <w:rFonts w:ascii="Times New Roman" w:hAnsi="Times New Roman" w:cs="Times New Roman"/>
          <w:sz w:val="24"/>
          <w:szCs w:val="24"/>
        </w:rPr>
        <w:t>,</w:t>
      </w:r>
      <w:r w:rsidRPr="00164F01">
        <w:rPr>
          <w:rFonts w:ascii="Times New Roman" w:hAnsi="Times New Roman" w:cs="Times New Roman"/>
          <w:sz w:val="24"/>
          <w:szCs w:val="24"/>
        </w:rPr>
        <w:t xml:space="preserve"> it is likely that allocation concealment was inadequate)</w:t>
      </w:r>
      <w:r>
        <w:rPr>
          <w:rFonts w:ascii="Times New Roman" w:hAnsi="Times New Roman" w:cs="Times New Roman"/>
          <w:sz w:val="24"/>
          <w:szCs w:val="24"/>
        </w:rPr>
        <w:t xml:space="preserve"> </w:t>
      </w:r>
      <w:r w:rsidRPr="00164F01">
        <w:rPr>
          <w:rFonts w:ascii="Times New Roman" w:hAnsi="Times New Roman" w:cs="Times New Roman"/>
          <w:sz w:val="24"/>
          <w:szCs w:val="24"/>
        </w:rPr>
        <w:t>and participants, care providers and outcome assessors were</w:t>
      </w:r>
      <w:r>
        <w:rPr>
          <w:rFonts w:ascii="Times New Roman" w:hAnsi="Times New Roman" w:cs="Times New Roman"/>
          <w:sz w:val="24"/>
          <w:szCs w:val="24"/>
        </w:rPr>
        <w:t xml:space="preserve"> </w:t>
      </w:r>
      <w:r w:rsidRPr="00164F01">
        <w:rPr>
          <w:rFonts w:ascii="Times New Roman" w:hAnsi="Times New Roman" w:cs="Times New Roman"/>
          <w:sz w:val="24"/>
          <w:szCs w:val="24"/>
        </w:rPr>
        <w:t>not blinded. Withdrawals and drop-outs were reported and an intention-to-treat analysis was used, but it was not clear whether the</w:t>
      </w:r>
      <w:r>
        <w:rPr>
          <w:rFonts w:ascii="Times New Roman" w:hAnsi="Times New Roman" w:cs="Times New Roman"/>
          <w:sz w:val="24"/>
          <w:szCs w:val="24"/>
        </w:rPr>
        <w:t xml:space="preserve"> </w:t>
      </w:r>
      <w:r w:rsidRPr="00164F01">
        <w:rPr>
          <w:rFonts w:ascii="Times New Roman" w:hAnsi="Times New Roman" w:cs="Times New Roman"/>
          <w:sz w:val="24"/>
          <w:szCs w:val="24"/>
        </w:rPr>
        <w:t>two treatment groups were similar at baseline assessment regarding</w:t>
      </w:r>
      <w:r>
        <w:rPr>
          <w:rFonts w:ascii="Times New Roman" w:hAnsi="Times New Roman" w:cs="Times New Roman"/>
          <w:sz w:val="24"/>
          <w:szCs w:val="24"/>
        </w:rPr>
        <w:t xml:space="preserve"> </w:t>
      </w:r>
      <w:r w:rsidRPr="00164F01">
        <w:rPr>
          <w:rFonts w:ascii="Times New Roman" w:hAnsi="Times New Roman" w:cs="Times New Roman"/>
          <w:sz w:val="24"/>
          <w:szCs w:val="24"/>
        </w:rPr>
        <w:t>important prognostic indicators. The main outcome measure</w:t>
      </w:r>
      <w:r>
        <w:rPr>
          <w:rFonts w:ascii="Times New Roman" w:hAnsi="Times New Roman" w:cs="Times New Roman"/>
          <w:sz w:val="24"/>
          <w:szCs w:val="24"/>
        </w:rPr>
        <w:t xml:space="preserve"> was “complete pain relief</w:t>
      </w:r>
      <w:r w:rsidRPr="00164F01">
        <w:rPr>
          <w:rFonts w:ascii="Times New Roman" w:hAnsi="Times New Roman" w:cs="Times New Roman"/>
          <w:sz w:val="24"/>
          <w:szCs w:val="24"/>
        </w:rPr>
        <w:t>”. No point estimates and measures of</w:t>
      </w:r>
      <w:r>
        <w:rPr>
          <w:rFonts w:ascii="Times New Roman" w:hAnsi="Times New Roman" w:cs="Times New Roman"/>
          <w:sz w:val="24"/>
          <w:szCs w:val="24"/>
        </w:rPr>
        <w:t xml:space="preserve"> </w:t>
      </w:r>
      <w:r w:rsidRPr="00164F01">
        <w:rPr>
          <w:rFonts w:ascii="Times New Roman" w:hAnsi="Times New Roman" w:cs="Times New Roman"/>
          <w:sz w:val="24"/>
          <w:szCs w:val="24"/>
        </w:rPr>
        <w:t>variability were presented for the outcome measures.</w:t>
      </w:r>
    </w:p>
    <w:p w:rsidR="00827B94" w:rsidRPr="002F3D25" w:rsidRDefault="00687B26" w:rsidP="00827B94">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The authors concluded that t</w:t>
      </w:r>
      <w:r w:rsidR="00827B94" w:rsidRPr="00827B94">
        <w:rPr>
          <w:rFonts w:ascii="Times New Roman" w:hAnsi="Times New Roman" w:cs="Times New Roman"/>
          <w:sz w:val="24"/>
          <w:szCs w:val="24"/>
        </w:rPr>
        <w:t xml:space="preserve">here is </w:t>
      </w:r>
      <w:r>
        <w:rPr>
          <w:rFonts w:ascii="Times New Roman" w:hAnsi="Times New Roman" w:cs="Times New Roman"/>
          <w:sz w:val="24"/>
          <w:szCs w:val="24"/>
        </w:rPr>
        <w:t xml:space="preserve">only </w:t>
      </w:r>
      <w:r w:rsidR="00827B94">
        <w:rPr>
          <w:rFonts w:ascii="Times New Roman" w:hAnsi="Times New Roman" w:cs="Times New Roman"/>
          <w:sz w:val="24"/>
          <w:szCs w:val="24"/>
        </w:rPr>
        <w:t xml:space="preserve">low quality </w:t>
      </w:r>
      <w:r w:rsidR="00827B94" w:rsidRPr="00827B94">
        <w:rPr>
          <w:rFonts w:ascii="Times New Roman" w:hAnsi="Times New Roman" w:cs="Times New Roman"/>
          <w:sz w:val="24"/>
          <w:szCs w:val="24"/>
        </w:rPr>
        <w:t xml:space="preserve">evidence that </w:t>
      </w:r>
      <w:r>
        <w:rPr>
          <w:rFonts w:ascii="Times New Roman" w:hAnsi="Times New Roman" w:cs="Times New Roman"/>
          <w:sz w:val="24"/>
          <w:szCs w:val="24"/>
        </w:rPr>
        <w:t xml:space="preserve">suggests that </w:t>
      </w:r>
      <w:r w:rsidR="00827B94" w:rsidRPr="00827B94">
        <w:rPr>
          <w:rFonts w:ascii="Times New Roman" w:hAnsi="Times New Roman" w:cs="Times New Roman"/>
          <w:sz w:val="24"/>
          <w:szCs w:val="24"/>
        </w:rPr>
        <w:t>corticosteroid injections are superior</w:t>
      </w:r>
      <w:r w:rsidR="00827B94">
        <w:rPr>
          <w:rFonts w:ascii="Times New Roman" w:hAnsi="Times New Roman" w:cs="Times New Roman"/>
          <w:sz w:val="24"/>
          <w:szCs w:val="24"/>
        </w:rPr>
        <w:t xml:space="preserve"> </w:t>
      </w:r>
      <w:r w:rsidR="00827B94" w:rsidRPr="00827B94">
        <w:rPr>
          <w:rFonts w:ascii="Times New Roman" w:hAnsi="Times New Roman" w:cs="Times New Roman"/>
          <w:sz w:val="24"/>
          <w:szCs w:val="24"/>
        </w:rPr>
        <w:t>to thumb spica splinting for relieving pain in the treatment</w:t>
      </w:r>
      <w:r w:rsidR="00827B94">
        <w:rPr>
          <w:rFonts w:ascii="Times New Roman" w:hAnsi="Times New Roman" w:cs="Times New Roman"/>
          <w:sz w:val="24"/>
          <w:szCs w:val="24"/>
        </w:rPr>
        <w:t xml:space="preserve"> </w:t>
      </w:r>
      <w:r w:rsidR="00827B94" w:rsidRPr="00827B94">
        <w:rPr>
          <w:rFonts w:ascii="Times New Roman" w:hAnsi="Times New Roman" w:cs="Times New Roman"/>
          <w:sz w:val="24"/>
          <w:szCs w:val="24"/>
        </w:rPr>
        <w:t xml:space="preserve">of </w:t>
      </w:r>
      <w:r>
        <w:rPr>
          <w:rFonts w:ascii="Times New Roman" w:hAnsi="Times New Roman" w:cs="Times New Roman"/>
          <w:sz w:val="24"/>
          <w:szCs w:val="24"/>
        </w:rPr>
        <w:t>de Quervain’s tenosynovitis. T</w:t>
      </w:r>
      <w:r w:rsidR="00827B94" w:rsidRPr="00827B94">
        <w:rPr>
          <w:rFonts w:ascii="Times New Roman" w:hAnsi="Times New Roman" w:cs="Times New Roman"/>
          <w:sz w:val="24"/>
          <w:szCs w:val="24"/>
        </w:rPr>
        <w:t>he evidence is based on</w:t>
      </w:r>
      <w:r w:rsidR="00827B94">
        <w:rPr>
          <w:rFonts w:ascii="Times New Roman" w:hAnsi="Times New Roman" w:cs="Times New Roman"/>
          <w:sz w:val="24"/>
          <w:szCs w:val="24"/>
        </w:rPr>
        <w:t xml:space="preserve"> only </w:t>
      </w:r>
      <w:r w:rsidR="00827B94" w:rsidRPr="00827B94">
        <w:rPr>
          <w:rFonts w:ascii="Times New Roman" w:hAnsi="Times New Roman" w:cs="Times New Roman"/>
          <w:sz w:val="24"/>
          <w:szCs w:val="24"/>
        </w:rPr>
        <w:t>one very small controlled clinical trial of short duration and poor</w:t>
      </w:r>
      <w:r w:rsidR="00827B94">
        <w:rPr>
          <w:rFonts w:ascii="Times New Roman" w:hAnsi="Times New Roman" w:cs="Times New Roman"/>
          <w:sz w:val="24"/>
          <w:szCs w:val="24"/>
        </w:rPr>
        <w:t xml:space="preserve"> </w:t>
      </w:r>
      <w:r w:rsidR="00827B94" w:rsidRPr="00827B94">
        <w:rPr>
          <w:rFonts w:ascii="Times New Roman" w:hAnsi="Times New Roman" w:cs="Times New Roman"/>
          <w:sz w:val="24"/>
          <w:szCs w:val="24"/>
        </w:rPr>
        <w:t>methodological quality, which included only pregnant and lactating</w:t>
      </w:r>
      <w:r w:rsidR="00827B94">
        <w:rPr>
          <w:rFonts w:ascii="Times New Roman" w:hAnsi="Times New Roman" w:cs="Times New Roman"/>
          <w:sz w:val="24"/>
          <w:szCs w:val="24"/>
        </w:rPr>
        <w:t xml:space="preserve"> women. The applicability of these</w:t>
      </w:r>
      <w:r w:rsidR="00827B94" w:rsidRPr="00827B94">
        <w:rPr>
          <w:rFonts w:ascii="Times New Roman" w:hAnsi="Times New Roman" w:cs="Times New Roman"/>
          <w:sz w:val="24"/>
          <w:szCs w:val="24"/>
        </w:rPr>
        <w:t xml:space="preserve"> findings to daily clinical</w:t>
      </w:r>
      <w:r w:rsidR="00827B94">
        <w:rPr>
          <w:rFonts w:ascii="Times New Roman" w:hAnsi="Times New Roman" w:cs="Times New Roman"/>
          <w:sz w:val="24"/>
          <w:szCs w:val="24"/>
        </w:rPr>
        <w:t xml:space="preserve"> </w:t>
      </w:r>
      <w:r>
        <w:rPr>
          <w:rFonts w:ascii="Times New Roman" w:hAnsi="Times New Roman" w:cs="Times New Roman"/>
          <w:sz w:val="24"/>
          <w:szCs w:val="24"/>
        </w:rPr>
        <w:t>practice is limited.</w:t>
      </w:r>
      <w:r w:rsidR="00827B94" w:rsidRPr="00827B94">
        <w:rPr>
          <w:rFonts w:ascii="Times New Roman" w:hAnsi="Times New Roman" w:cs="Times New Roman"/>
          <w:sz w:val="24"/>
          <w:szCs w:val="24"/>
        </w:rPr>
        <w:t xml:space="preserve"> No adverse </w:t>
      </w:r>
      <w:r w:rsidR="00827B94" w:rsidRPr="002F3D25">
        <w:rPr>
          <w:rFonts w:ascii="Times New Roman" w:hAnsi="Times New Roman" w:cs="Times New Roman"/>
          <w:sz w:val="24"/>
          <w:szCs w:val="24"/>
        </w:rPr>
        <w:t>effects were observed.</w:t>
      </w:r>
    </w:p>
    <w:p w:rsidR="002F3D25" w:rsidRPr="002F3D25" w:rsidRDefault="00B614C0" w:rsidP="002F3D25">
      <w:pPr>
        <w:pStyle w:val="ListParagraph"/>
        <w:numPr>
          <w:ilvl w:val="0"/>
          <w:numId w:val="5"/>
        </w:numPr>
        <w:autoSpaceDE w:val="0"/>
        <w:autoSpaceDN w:val="0"/>
        <w:adjustRightInd w:val="0"/>
        <w:spacing w:after="0" w:line="240" w:lineRule="auto"/>
        <w:rPr>
          <w:rFonts w:ascii="Times New Roman" w:hAnsi="Times New Roman" w:cs="Times New Roman"/>
          <w:b/>
          <w:sz w:val="24"/>
          <w:szCs w:val="24"/>
        </w:rPr>
      </w:pPr>
      <w:r w:rsidRPr="002F3D25">
        <w:rPr>
          <w:rFonts w:ascii="Times New Roman" w:hAnsi="Times New Roman" w:cs="Times New Roman"/>
          <w:sz w:val="24"/>
          <w:szCs w:val="24"/>
        </w:rPr>
        <w:t>Overall, t</w:t>
      </w:r>
      <w:r w:rsidR="005068EC" w:rsidRPr="002F3D25">
        <w:rPr>
          <w:rFonts w:ascii="Times New Roman" w:hAnsi="Times New Roman" w:cs="Times New Roman"/>
          <w:sz w:val="24"/>
          <w:szCs w:val="24"/>
        </w:rPr>
        <w:t xml:space="preserve">here is insufficient evidence </w:t>
      </w:r>
      <w:r w:rsidR="002F3D25" w:rsidRPr="002F3D25">
        <w:rPr>
          <w:rFonts w:ascii="Times New Roman" w:hAnsi="Times New Roman" w:cs="Times New Roman"/>
          <w:sz w:val="24"/>
          <w:szCs w:val="24"/>
        </w:rPr>
        <w:t xml:space="preserve">to conclude that corticosteroid injections are effective or are </w:t>
      </w:r>
      <w:r w:rsidRPr="002F3D25">
        <w:rPr>
          <w:rFonts w:ascii="Times New Roman" w:hAnsi="Times New Roman" w:cs="Times New Roman"/>
          <w:sz w:val="24"/>
          <w:szCs w:val="24"/>
        </w:rPr>
        <w:t xml:space="preserve">more effective than </w:t>
      </w:r>
      <w:r w:rsidR="002F3D25" w:rsidRPr="002F3D25">
        <w:rPr>
          <w:rFonts w:ascii="Times New Roman" w:hAnsi="Times New Roman" w:cs="Times New Roman"/>
          <w:sz w:val="24"/>
          <w:szCs w:val="24"/>
        </w:rPr>
        <w:t>thumb spica splinting for relieving pain in the treatment of de Quervain’s tenosynovitis</w:t>
      </w:r>
    </w:p>
    <w:p w:rsidR="002F3D25" w:rsidRPr="002F3D25" w:rsidRDefault="002F3D25" w:rsidP="002F3D25">
      <w:pPr>
        <w:pStyle w:val="ListParagraph"/>
        <w:autoSpaceDE w:val="0"/>
        <w:autoSpaceDN w:val="0"/>
        <w:adjustRightInd w:val="0"/>
        <w:spacing w:after="0" w:line="240" w:lineRule="auto"/>
        <w:rPr>
          <w:rFonts w:ascii="Times New Roman" w:hAnsi="Times New Roman" w:cs="Times New Roman"/>
          <w:b/>
          <w:sz w:val="24"/>
          <w:szCs w:val="24"/>
        </w:rPr>
      </w:pPr>
    </w:p>
    <w:p w:rsidR="008B0450" w:rsidRPr="002F3D25" w:rsidRDefault="004B2DF7" w:rsidP="002F3D25">
      <w:pPr>
        <w:autoSpaceDE w:val="0"/>
        <w:autoSpaceDN w:val="0"/>
        <w:adjustRightInd w:val="0"/>
        <w:spacing w:after="0" w:line="240" w:lineRule="auto"/>
        <w:rPr>
          <w:rFonts w:ascii="Times New Roman" w:hAnsi="Times New Roman" w:cs="Times New Roman"/>
          <w:b/>
          <w:sz w:val="24"/>
          <w:szCs w:val="24"/>
        </w:rPr>
      </w:pPr>
      <w:r w:rsidRPr="002F3D25">
        <w:rPr>
          <w:rFonts w:ascii="Times New Roman" w:hAnsi="Times New Roman" w:cs="Times New Roman"/>
          <w:b/>
          <w:sz w:val="24"/>
          <w:szCs w:val="24"/>
        </w:rPr>
        <w:t>Reasons not to Cite as E</w:t>
      </w:r>
      <w:r w:rsidR="00786B7A" w:rsidRPr="002F3D25">
        <w:rPr>
          <w:rFonts w:ascii="Times New Roman" w:hAnsi="Times New Roman" w:cs="Times New Roman"/>
          <w:b/>
          <w:sz w:val="24"/>
          <w:szCs w:val="24"/>
        </w:rPr>
        <w:t>vidence:</w:t>
      </w:r>
    </w:p>
    <w:p w:rsidR="004311F3" w:rsidRDefault="004311F3" w:rsidP="00323D61">
      <w:pPr>
        <w:autoSpaceDE w:val="0"/>
        <w:autoSpaceDN w:val="0"/>
        <w:adjustRightInd w:val="0"/>
        <w:spacing w:after="0" w:line="240" w:lineRule="auto"/>
        <w:rPr>
          <w:rFonts w:ascii="Times New Roman" w:hAnsi="Times New Roman" w:cs="Times New Roman"/>
          <w:b/>
          <w:sz w:val="24"/>
          <w:szCs w:val="24"/>
        </w:rPr>
      </w:pPr>
    </w:p>
    <w:p w:rsidR="004311F3" w:rsidRDefault="00877E22" w:rsidP="00A764C0">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164F01">
        <w:rPr>
          <w:rFonts w:ascii="Times New Roman" w:hAnsi="Times New Roman" w:cs="Times New Roman"/>
          <w:sz w:val="24"/>
          <w:szCs w:val="24"/>
        </w:rPr>
        <w:t xml:space="preserve">Only </w:t>
      </w:r>
      <w:r w:rsidR="00164F01" w:rsidRPr="00164F01">
        <w:rPr>
          <w:rFonts w:ascii="Times New Roman" w:hAnsi="Times New Roman" w:cs="Times New Roman"/>
          <w:sz w:val="24"/>
          <w:szCs w:val="24"/>
        </w:rPr>
        <w:t>one study from 2002 was included</w:t>
      </w:r>
      <w:r w:rsidR="00164F01">
        <w:rPr>
          <w:rFonts w:ascii="Times New Roman" w:hAnsi="Times New Roman" w:cs="Times New Roman"/>
          <w:sz w:val="24"/>
          <w:szCs w:val="24"/>
        </w:rPr>
        <w:t xml:space="preserve"> in the review</w:t>
      </w:r>
      <w:r w:rsidR="00164F01" w:rsidRPr="00164F01">
        <w:rPr>
          <w:rFonts w:ascii="Times New Roman" w:hAnsi="Times New Roman" w:cs="Times New Roman"/>
          <w:sz w:val="24"/>
          <w:szCs w:val="24"/>
        </w:rPr>
        <w:t xml:space="preserve">. </w:t>
      </w:r>
    </w:p>
    <w:p w:rsidR="00164F01" w:rsidRPr="002F3D25" w:rsidRDefault="00164F01" w:rsidP="00164F01">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2F3D25">
        <w:rPr>
          <w:rFonts w:ascii="Times New Roman" w:hAnsi="Times New Roman" w:cs="Times New Roman"/>
          <w:sz w:val="24"/>
          <w:szCs w:val="24"/>
        </w:rPr>
        <w:t>The sample size for the included study is extremely small.</w:t>
      </w:r>
    </w:p>
    <w:p w:rsidR="007654B4" w:rsidRPr="002F3D25" w:rsidRDefault="007654B4" w:rsidP="00877E2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2F3D25">
        <w:rPr>
          <w:rFonts w:ascii="Times New Roman" w:hAnsi="Times New Roman" w:cs="Times New Roman"/>
          <w:sz w:val="24"/>
          <w:szCs w:val="24"/>
        </w:rPr>
        <w:t xml:space="preserve">The risk of bias </w:t>
      </w:r>
      <w:r w:rsidR="006052A5" w:rsidRPr="002F3D25">
        <w:rPr>
          <w:rFonts w:ascii="Times New Roman" w:hAnsi="Times New Roman" w:cs="Times New Roman"/>
          <w:sz w:val="24"/>
          <w:szCs w:val="24"/>
        </w:rPr>
        <w:t xml:space="preserve">and overall quality of the evidence </w:t>
      </w:r>
      <w:r w:rsidRPr="002F3D25">
        <w:rPr>
          <w:rFonts w:ascii="Times New Roman" w:hAnsi="Times New Roman" w:cs="Times New Roman"/>
          <w:sz w:val="24"/>
          <w:szCs w:val="24"/>
        </w:rPr>
        <w:t xml:space="preserve">was low in </w:t>
      </w:r>
      <w:r w:rsidR="002F3D25" w:rsidRPr="002F3D25">
        <w:rPr>
          <w:rFonts w:ascii="Times New Roman" w:hAnsi="Times New Roman" w:cs="Times New Roman"/>
          <w:sz w:val="24"/>
          <w:szCs w:val="24"/>
        </w:rPr>
        <w:t xml:space="preserve">this study. </w:t>
      </w:r>
    </w:p>
    <w:p w:rsidR="00F77FBE" w:rsidRPr="002F3D25" w:rsidRDefault="00907C9E" w:rsidP="00907C9E">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2F3D25">
        <w:rPr>
          <w:rFonts w:ascii="Times New Roman" w:hAnsi="Times New Roman" w:cs="Times New Roman"/>
          <w:sz w:val="24"/>
          <w:szCs w:val="24"/>
        </w:rPr>
        <w:lastRenderedPageBreak/>
        <w:t xml:space="preserve">This low quality evidence does not meet our literature critique criteria and would not qualify for an evidence statement. </w:t>
      </w:r>
    </w:p>
    <w:p w:rsidR="004311F3" w:rsidRPr="002F3D25" w:rsidRDefault="00CB4464" w:rsidP="00CB4464">
      <w:pPr>
        <w:pStyle w:val="ListParagraph"/>
        <w:numPr>
          <w:ilvl w:val="0"/>
          <w:numId w:val="10"/>
        </w:numPr>
        <w:spacing w:line="240" w:lineRule="auto"/>
        <w:rPr>
          <w:rFonts w:ascii="Times New Roman" w:hAnsi="Times New Roman" w:cs="Times New Roman"/>
          <w:sz w:val="24"/>
          <w:szCs w:val="24"/>
        </w:rPr>
      </w:pPr>
      <w:r w:rsidRPr="002F3D25">
        <w:rPr>
          <w:rFonts w:ascii="Times New Roman" w:hAnsi="Times New Roman" w:cs="Times New Roman"/>
          <w:sz w:val="24"/>
          <w:szCs w:val="24"/>
        </w:rPr>
        <w:t>Because the limited evidence is of</w:t>
      </w:r>
      <w:r w:rsidR="00E81C7C" w:rsidRPr="002F3D25">
        <w:rPr>
          <w:rFonts w:ascii="Times New Roman" w:hAnsi="Times New Roman" w:cs="Times New Roman"/>
          <w:sz w:val="24"/>
          <w:szCs w:val="24"/>
        </w:rPr>
        <w:t xml:space="preserve"> </w:t>
      </w:r>
      <w:r w:rsidRPr="002F3D25">
        <w:rPr>
          <w:rFonts w:ascii="Times New Roman" w:hAnsi="Times New Roman" w:cs="Times New Roman"/>
          <w:sz w:val="24"/>
          <w:szCs w:val="24"/>
        </w:rPr>
        <w:t>low quality, further research is very likely to have an important impact on our confidence in the estimate of effect and is likely to change the estimate, and so we are uncertain abo</w:t>
      </w:r>
      <w:r w:rsidR="0017246E" w:rsidRPr="002F3D25">
        <w:rPr>
          <w:rFonts w:ascii="Times New Roman" w:hAnsi="Times New Roman" w:cs="Times New Roman"/>
          <w:sz w:val="24"/>
          <w:szCs w:val="24"/>
        </w:rPr>
        <w:t>ut the magnitude of the effect,</w:t>
      </w:r>
      <w:r w:rsidRPr="002F3D25">
        <w:rPr>
          <w:rFonts w:ascii="Times New Roman" w:hAnsi="Times New Roman" w:cs="Times New Roman"/>
          <w:sz w:val="24"/>
          <w:szCs w:val="24"/>
        </w:rPr>
        <w:t xml:space="preserve"> and thus no useful conclusions can be drawn.</w:t>
      </w:r>
    </w:p>
    <w:p w:rsidR="00A764C0" w:rsidRPr="00A764C0" w:rsidRDefault="00A764C0" w:rsidP="00A764C0">
      <w:pPr>
        <w:pStyle w:val="ListParagraph"/>
        <w:autoSpaceDE w:val="0"/>
        <w:autoSpaceDN w:val="0"/>
        <w:adjustRightInd w:val="0"/>
        <w:spacing w:after="0" w:line="240" w:lineRule="auto"/>
        <w:ind w:left="1080"/>
        <w:rPr>
          <w:rFonts w:ascii="Times New Roman" w:hAnsi="Times New Roman" w:cs="Times New Roman"/>
          <w:sz w:val="24"/>
          <w:szCs w:val="24"/>
        </w:rPr>
      </w:pPr>
    </w:p>
    <w:p w:rsidR="00815750" w:rsidRPr="00A764C0" w:rsidRDefault="00815750" w:rsidP="00C920BF">
      <w:pPr>
        <w:spacing w:line="240" w:lineRule="auto"/>
        <w:rPr>
          <w:rFonts w:ascii="Times New Roman" w:hAnsi="Times New Roman" w:cs="Times New Roman"/>
          <w:b/>
          <w:sz w:val="24"/>
          <w:szCs w:val="24"/>
        </w:rPr>
      </w:pPr>
      <w:r w:rsidRPr="00A764C0">
        <w:rPr>
          <w:rFonts w:ascii="Times New Roman" w:hAnsi="Times New Roman" w:cs="Times New Roman"/>
          <w:b/>
          <w:sz w:val="24"/>
          <w:szCs w:val="24"/>
        </w:rPr>
        <w:t>Assessment:</w:t>
      </w:r>
    </w:p>
    <w:p w:rsidR="00687B26" w:rsidRPr="00687B26" w:rsidRDefault="00E43AFC" w:rsidP="00687B26">
      <w:pPr>
        <w:pStyle w:val="ListParagraph"/>
        <w:numPr>
          <w:ilvl w:val="0"/>
          <w:numId w:val="7"/>
        </w:numPr>
        <w:spacing w:line="240" w:lineRule="auto"/>
        <w:rPr>
          <w:rFonts w:ascii="Times New Roman" w:hAnsi="Times New Roman" w:cs="Times New Roman"/>
          <w:sz w:val="24"/>
          <w:szCs w:val="24"/>
        </w:rPr>
      </w:pPr>
      <w:r w:rsidRPr="00687B26">
        <w:rPr>
          <w:rFonts w:ascii="Times New Roman" w:hAnsi="Times New Roman" w:cs="Times New Roman"/>
          <w:sz w:val="24"/>
          <w:szCs w:val="24"/>
        </w:rPr>
        <w:t xml:space="preserve">High </w:t>
      </w:r>
      <w:r w:rsidR="000A5BC5" w:rsidRPr="00687B26">
        <w:rPr>
          <w:rFonts w:ascii="Times New Roman" w:hAnsi="Times New Roman" w:cs="Times New Roman"/>
          <w:sz w:val="24"/>
          <w:szCs w:val="24"/>
        </w:rPr>
        <w:t xml:space="preserve">quality Cochrane review </w:t>
      </w:r>
      <w:r w:rsidR="00C15B3C" w:rsidRPr="00687B26">
        <w:rPr>
          <w:rFonts w:ascii="Times New Roman" w:hAnsi="Times New Roman" w:cs="Times New Roman"/>
          <w:sz w:val="24"/>
          <w:szCs w:val="24"/>
        </w:rPr>
        <w:t xml:space="preserve">that shows there is inadequate evidence </w:t>
      </w:r>
      <w:r w:rsidR="00687B26" w:rsidRPr="00687B26">
        <w:rPr>
          <w:rFonts w:ascii="Times New Roman" w:hAnsi="Times New Roman" w:cs="Times New Roman"/>
          <w:sz w:val="24"/>
          <w:szCs w:val="24"/>
        </w:rPr>
        <w:t xml:space="preserve">that corticosteroid injections are effective or </w:t>
      </w:r>
      <w:proofErr w:type="gramStart"/>
      <w:r w:rsidR="00687B26" w:rsidRPr="00687B26">
        <w:rPr>
          <w:rFonts w:ascii="Times New Roman" w:hAnsi="Times New Roman" w:cs="Times New Roman"/>
          <w:sz w:val="24"/>
          <w:szCs w:val="24"/>
        </w:rPr>
        <w:t>are</w:t>
      </w:r>
      <w:proofErr w:type="gramEnd"/>
      <w:r w:rsidR="00687B26" w:rsidRPr="00687B26">
        <w:rPr>
          <w:rFonts w:ascii="Times New Roman" w:hAnsi="Times New Roman" w:cs="Times New Roman"/>
          <w:sz w:val="24"/>
          <w:szCs w:val="24"/>
        </w:rPr>
        <w:t xml:space="preserve"> more effective than thumb spica splinting for relieving pain in the treatment of de Quervain’s tenosynovitis.</w:t>
      </w:r>
    </w:p>
    <w:p w:rsidR="00815750" w:rsidRPr="00E43AFC" w:rsidRDefault="00A764C0" w:rsidP="00E43AFC">
      <w:pPr>
        <w:spacing w:line="240" w:lineRule="auto"/>
        <w:rPr>
          <w:rFonts w:ascii="Times New Roman" w:hAnsi="Times New Roman" w:cs="Times New Roman"/>
          <w:b/>
          <w:sz w:val="24"/>
          <w:szCs w:val="24"/>
        </w:rPr>
      </w:pPr>
      <w:r w:rsidRPr="00E43AFC">
        <w:rPr>
          <w:rFonts w:ascii="Times New Roman" w:hAnsi="Times New Roman" w:cs="Times New Roman"/>
          <w:b/>
          <w:sz w:val="24"/>
          <w:szCs w:val="24"/>
        </w:rPr>
        <w:t>References:</w:t>
      </w:r>
    </w:p>
    <w:p w:rsidR="00E574E7" w:rsidRPr="00E574E7" w:rsidRDefault="00E574E7" w:rsidP="00E574E7">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proofErr w:type="spellStart"/>
      <w:r w:rsidRPr="00E574E7">
        <w:rPr>
          <w:rFonts w:ascii="Times New Roman" w:hAnsi="Times New Roman" w:cs="Times New Roman"/>
          <w:sz w:val="24"/>
          <w:szCs w:val="24"/>
        </w:rPr>
        <w:t>Avci</w:t>
      </w:r>
      <w:proofErr w:type="spellEnd"/>
      <w:r w:rsidRPr="00E574E7">
        <w:rPr>
          <w:rFonts w:ascii="Times New Roman" w:hAnsi="Times New Roman" w:cs="Times New Roman"/>
          <w:sz w:val="24"/>
          <w:szCs w:val="24"/>
        </w:rPr>
        <w:t xml:space="preserve"> S, Yilmaz C, </w:t>
      </w:r>
      <w:proofErr w:type="spellStart"/>
      <w:r w:rsidRPr="00E574E7">
        <w:rPr>
          <w:rFonts w:ascii="Times New Roman" w:hAnsi="Times New Roman" w:cs="Times New Roman"/>
          <w:sz w:val="24"/>
          <w:szCs w:val="24"/>
        </w:rPr>
        <w:t>Sayli</w:t>
      </w:r>
      <w:proofErr w:type="spellEnd"/>
      <w:r w:rsidRPr="00E574E7">
        <w:rPr>
          <w:rFonts w:ascii="Times New Roman" w:hAnsi="Times New Roman" w:cs="Times New Roman"/>
          <w:sz w:val="24"/>
          <w:szCs w:val="24"/>
        </w:rPr>
        <w:t xml:space="preserve"> U. Comparison of nonsurgical</w:t>
      </w:r>
      <w:r>
        <w:rPr>
          <w:rFonts w:ascii="Times New Roman" w:hAnsi="Times New Roman" w:cs="Times New Roman"/>
          <w:sz w:val="24"/>
          <w:szCs w:val="24"/>
        </w:rPr>
        <w:t xml:space="preserve"> </w:t>
      </w:r>
      <w:r w:rsidRPr="00E574E7">
        <w:rPr>
          <w:rFonts w:ascii="Times New Roman" w:hAnsi="Times New Roman" w:cs="Times New Roman"/>
          <w:sz w:val="24"/>
          <w:szCs w:val="24"/>
        </w:rPr>
        <w:t>treatment measures for de Quervain’s disease of pregnancy</w:t>
      </w:r>
      <w:r>
        <w:rPr>
          <w:rFonts w:ascii="Times New Roman" w:hAnsi="Times New Roman" w:cs="Times New Roman"/>
          <w:sz w:val="24"/>
          <w:szCs w:val="24"/>
        </w:rPr>
        <w:t xml:space="preserve"> </w:t>
      </w:r>
      <w:r w:rsidRPr="00E574E7">
        <w:rPr>
          <w:rFonts w:ascii="Times New Roman" w:hAnsi="Times New Roman" w:cs="Times New Roman"/>
          <w:sz w:val="24"/>
          <w:szCs w:val="24"/>
        </w:rPr>
        <w:t>and lactation. Journal of Hand Surgery 2002;</w:t>
      </w:r>
      <w:r>
        <w:rPr>
          <w:rFonts w:ascii="Times New Roman" w:hAnsi="Times New Roman" w:cs="Times New Roman"/>
          <w:sz w:val="24"/>
          <w:szCs w:val="24"/>
        </w:rPr>
        <w:t xml:space="preserve"> </w:t>
      </w:r>
      <w:r w:rsidRPr="00E574E7">
        <w:rPr>
          <w:rFonts w:ascii="Times New Roman" w:hAnsi="Times New Roman" w:cs="Times New Roman"/>
          <w:sz w:val="24"/>
          <w:szCs w:val="24"/>
        </w:rPr>
        <w:t>27A</w:t>
      </w:r>
      <w:r w:rsidR="00687B26">
        <w:rPr>
          <w:rFonts w:ascii="Times New Roman" w:hAnsi="Times New Roman" w:cs="Times New Roman"/>
          <w:sz w:val="24"/>
          <w:szCs w:val="24"/>
        </w:rPr>
        <w:t xml:space="preserve"> </w:t>
      </w:r>
      <w:r w:rsidRPr="00E574E7">
        <w:rPr>
          <w:rFonts w:ascii="Times New Roman" w:hAnsi="Times New Roman" w:cs="Times New Roman"/>
          <w:sz w:val="24"/>
          <w:szCs w:val="24"/>
        </w:rPr>
        <w:t>(2):322–4.</w:t>
      </w:r>
    </w:p>
    <w:p w:rsidR="005446E1" w:rsidRPr="00815750" w:rsidRDefault="005446E1">
      <w:pPr>
        <w:autoSpaceDE w:val="0"/>
        <w:autoSpaceDN w:val="0"/>
        <w:adjustRightInd w:val="0"/>
        <w:spacing w:after="0" w:line="240" w:lineRule="auto"/>
        <w:rPr>
          <w:rFonts w:ascii="Times New Roman" w:hAnsi="Times New Roman" w:cs="Times New Roman"/>
          <w:sz w:val="24"/>
          <w:szCs w:val="24"/>
        </w:rPr>
      </w:pPr>
    </w:p>
    <w:sectPr w:rsidR="005446E1" w:rsidRPr="0081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437C7"/>
    <w:multiLevelType w:val="hybridMultilevel"/>
    <w:tmpl w:val="9C641BEC"/>
    <w:lvl w:ilvl="0" w:tplc="3232F9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E834DA"/>
    <w:multiLevelType w:val="hybridMultilevel"/>
    <w:tmpl w:val="182E00DE"/>
    <w:lvl w:ilvl="0" w:tplc="F7A4DFCA">
      <w:numFmt w:val="bullet"/>
      <w:lvlText w:val="-"/>
      <w:lvlJc w:val="left"/>
      <w:pPr>
        <w:ind w:left="1080" w:hanging="360"/>
      </w:pPr>
      <w:rPr>
        <w:rFonts w:ascii="Calibri" w:eastAsiaTheme="minorHAnsi" w:hAnsi="Calibri" w:cstheme="minorBidi" w:hint="default"/>
      </w:rPr>
    </w:lvl>
    <w:lvl w:ilvl="1" w:tplc="3232F9D2">
      <w:numFmt w:val="bullet"/>
      <w:lvlText w:val="-"/>
      <w:lvlJc w:val="left"/>
      <w:pPr>
        <w:ind w:left="1800" w:hanging="360"/>
      </w:pPr>
      <w:rPr>
        <w:rFonts w:ascii="Times New Roman" w:eastAsiaTheme="minorHAnsi"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2FBC7FC8"/>
    <w:multiLevelType w:val="hybridMultilevel"/>
    <w:tmpl w:val="CB08986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9E3C2D"/>
    <w:multiLevelType w:val="hybridMultilevel"/>
    <w:tmpl w:val="0548D92E"/>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5D6003"/>
    <w:multiLevelType w:val="hybridMultilevel"/>
    <w:tmpl w:val="619AD984"/>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24C7D"/>
    <w:multiLevelType w:val="hybridMultilevel"/>
    <w:tmpl w:val="1C0EB23E"/>
    <w:lvl w:ilvl="0" w:tplc="22F2F40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9F7D1C"/>
    <w:multiLevelType w:val="hybridMultilevel"/>
    <w:tmpl w:val="C81088C4"/>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9133A4"/>
    <w:multiLevelType w:val="hybridMultilevel"/>
    <w:tmpl w:val="AFDE684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283CED"/>
    <w:multiLevelType w:val="hybridMultilevel"/>
    <w:tmpl w:val="E4D433A0"/>
    <w:lvl w:ilvl="0" w:tplc="3232F9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077F9D"/>
    <w:multiLevelType w:val="hybridMultilevel"/>
    <w:tmpl w:val="FB721218"/>
    <w:lvl w:ilvl="0" w:tplc="D3027A2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E8E157C"/>
    <w:multiLevelType w:val="hybridMultilevel"/>
    <w:tmpl w:val="E7DEE972"/>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AB519E"/>
    <w:multiLevelType w:val="hybridMultilevel"/>
    <w:tmpl w:val="D0549C64"/>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4C71BB"/>
    <w:multiLevelType w:val="hybridMultilevel"/>
    <w:tmpl w:val="9E6E4970"/>
    <w:lvl w:ilvl="0" w:tplc="D3027A2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9"/>
  </w:num>
  <w:num w:numId="3">
    <w:abstractNumId w:val="1"/>
  </w:num>
  <w:num w:numId="4">
    <w:abstractNumId w:val="1"/>
  </w:num>
  <w:num w:numId="5">
    <w:abstractNumId w:val="8"/>
  </w:num>
  <w:num w:numId="6">
    <w:abstractNumId w:val="5"/>
  </w:num>
  <w:num w:numId="7">
    <w:abstractNumId w:val="4"/>
  </w:num>
  <w:num w:numId="8">
    <w:abstractNumId w:val="11"/>
  </w:num>
  <w:num w:numId="9">
    <w:abstractNumId w:val="0"/>
  </w:num>
  <w:num w:numId="10">
    <w:abstractNumId w:val="2"/>
  </w:num>
  <w:num w:numId="11">
    <w:abstractNumId w:val="10"/>
  </w:num>
  <w:num w:numId="12">
    <w:abstractNumId w:val="7"/>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7A"/>
    <w:rsid w:val="00026399"/>
    <w:rsid w:val="000357BD"/>
    <w:rsid w:val="0006298E"/>
    <w:rsid w:val="000A5BC5"/>
    <w:rsid w:val="000D28B1"/>
    <w:rsid w:val="000D4973"/>
    <w:rsid w:val="000E74DD"/>
    <w:rsid w:val="00105BCB"/>
    <w:rsid w:val="00112BEB"/>
    <w:rsid w:val="00117938"/>
    <w:rsid w:val="00127707"/>
    <w:rsid w:val="00164F01"/>
    <w:rsid w:val="0017246E"/>
    <w:rsid w:val="00190531"/>
    <w:rsid w:val="0026537E"/>
    <w:rsid w:val="00275071"/>
    <w:rsid w:val="002F29C2"/>
    <w:rsid w:val="002F3D25"/>
    <w:rsid w:val="00323D61"/>
    <w:rsid w:val="003338E2"/>
    <w:rsid w:val="003D0D3E"/>
    <w:rsid w:val="003F11D7"/>
    <w:rsid w:val="003F6C6B"/>
    <w:rsid w:val="00400AD8"/>
    <w:rsid w:val="004311F3"/>
    <w:rsid w:val="004B2DF7"/>
    <w:rsid w:val="005068EC"/>
    <w:rsid w:val="00521C76"/>
    <w:rsid w:val="00534057"/>
    <w:rsid w:val="00542188"/>
    <w:rsid w:val="005446E1"/>
    <w:rsid w:val="005459DC"/>
    <w:rsid w:val="00557650"/>
    <w:rsid w:val="0058624D"/>
    <w:rsid w:val="00592BFF"/>
    <w:rsid w:val="005C4A66"/>
    <w:rsid w:val="006052A5"/>
    <w:rsid w:val="00612E10"/>
    <w:rsid w:val="006237CF"/>
    <w:rsid w:val="00642BB4"/>
    <w:rsid w:val="006643C8"/>
    <w:rsid w:val="00687B26"/>
    <w:rsid w:val="006A18E9"/>
    <w:rsid w:val="006F4D6D"/>
    <w:rsid w:val="006F7B65"/>
    <w:rsid w:val="0073372B"/>
    <w:rsid w:val="007654B4"/>
    <w:rsid w:val="00782E30"/>
    <w:rsid w:val="00786B7A"/>
    <w:rsid w:val="00787E28"/>
    <w:rsid w:val="00795315"/>
    <w:rsid w:val="007E562C"/>
    <w:rsid w:val="007E7AD9"/>
    <w:rsid w:val="007F3918"/>
    <w:rsid w:val="00815750"/>
    <w:rsid w:val="00827B94"/>
    <w:rsid w:val="00847F5F"/>
    <w:rsid w:val="00877E11"/>
    <w:rsid w:val="00877E22"/>
    <w:rsid w:val="008B0450"/>
    <w:rsid w:val="008B787D"/>
    <w:rsid w:val="008D7854"/>
    <w:rsid w:val="00907C9E"/>
    <w:rsid w:val="00913EB2"/>
    <w:rsid w:val="00934FA8"/>
    <w:rsid w:val="0097274C"/>
    <w:rsid w:val="0098713D"/>
    <w:rsid w:val="00992524"/>
    <w:rsid w:val="009C27C2"/>
    <w:rsid w:val="009C7EAB"/>
    <w:rsid w:val="00A0726C"/>
    <w:rsid w:val="00A450FA"/>
    <w:rsid w:val="00A764C0"/>
    <w:rsid w:val="00A81243"/>
    <w:rsid w:val="00A9186B"/>
    <w:rsid w:val="00AE2E57"/>
    <w:rsid w:val="00AF663B"/>
    <w:rsid w:val="00B607FE"/>
    <w:rsid w:val="00B614C0"/>
    <w:rsid w:val="00B66E04"/>
    <w:rsid w:val="00B977F3"/>
    <w:rsid w:val="00BE47D7"/>
    <w:rsid w:val="00C15B3C"/>
    <w:rsid w:val="00C32B59"/>
    <w:rsid w:val="00C55FE2"/>
    <w:rsid w:val="00C57579"/>
    <w:rsid w:val="00C920BF"/>
    <w:rsid w:val="00CB4464"/>
    <w:rsid w:val="00CD7B2E"/>
    <w:rsid w:val="00CE05F3"/>
    <w:rsid w:val="00D0546E"/>
    <w:rsid w:val="00D2669C"/>
    <w:rsid w:val="00D554BD"/>
    <w:rsid w:val="00D56611"/>
    <w:rsid w:val="00D624A1"/>
    <w:rsid w:val="00D81016"/>
    <w:rsid w:val="00DA17B7"/>
    <w:rsid w:val="00DA6192"/>
    <w:rsid w:val="00DB3AEA"/>
    <w:rsid w:val="00E00FA7"/>
    <w:rsid w:val="00E04649"/>
    <w:rsid w:val="00E06CC8"/>
    <w:rsid w:val="00E43AFC"/>
    <w:rsid w:val="00E44E29"/>
    <w:rsid w:val="00E51490"/>
    <w:rsid w:val="00E574E7"/>
    <w:rsid w:val="00E7423D"/>
    <w:rsid w:val="00E81C7C"/>
    <w:rsid w:val="00E874E2"/>
    <w:rsid w:val="00EA686A"/>
    <w:rsid w:val="00EB0730"/>
    <w:rsid w:val="00EC14B7"/>
    <w:rsid w:val="00EE511B"/>
    <w:rsid w:val="00F20792"/>
    <w:rsid w:val="00F7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734661">
      <w:bodyDiv w:val="1"/>
      <w:marLeft w:val="0"/>
      <w:marRight w:val="0"/>
      <w:marTop w:val="0"/>
      <w:marBottom w:val="0"/>
      <w:divBdr>
        <w:top w:val="none" w:sz="0" w:space="0" w:color="auto"/>
        <w:left w:val="none" w:sz="0" w:space="0" w:color="auto"/>
        <w:bottom w:val="none" w:sz="0" w:space="0" w:color="auto"/>
        <w:right w:val="none" w:sz="0" w:space="0" w:color="auto"/>
      </w:divBdr>
      <w:divsChild>
        <w:div w:id="1804957969">
          <w:marLeft w:val="0"/>
          <w:marRight w:val="1"/>
          <w:marTop w:val="0"/>
          <w:marBottom w:val="0"/>
          <w:divBdr>
            <w:top w:val="none" w:sz="0" w:space="0" w:color="auto"/>
            <w:left w:val="none" w:sz="0" w:space="0" w:color="auto"/>
            <w:bottom w:val="none" w:sz="0" w:space="0" w:color="auto"/>
            <w:right w:val="none" w:sz="0" w:space="0" w:color="auto"/>
          </w:divBdr>
          <w:divsChild>
            <w:div w:id="1498690633">
              <w:marLeft w:val="0"/>
              <w:marRight w:val="0"/>
              <w:marTop w:val="0"/>
              <w:marBottom w:val="0"/>
              <w:divBdr>
                <w:top w:val="none" w:sz="0" w:space="0" w:color="auto"/>
                <w:left w:val="none" w:sz="0" w:space="0" w:color="auto"/>
                <w:bottom w:val="none" w:sz="0" w:space="0" w:color="auto"/>
                <w:right w:val="none" w:sz="0" w:space="0" w:color="auto"/>
              </w:divBdr>
              <w:divsChild>
                <w:div w:id="2049641588">
                  <w:marLeft w:val="0"/>
                  <w:marRight w:val="1"/>
                  <w:marTop w:val="0"/>
                  <w:marBottom w:val="0"/>
                  <w:divBdr>
                    <w:top w:val="none" w:sz="0" w:space="0" w:color="auto"/>
                    <w:left w:val="none" w:sz="0" w:space="0" w:color="auto"/>
                    <w:bottom w:val="none" w:sz="0" w:space="0" w:color="auto"/>
                    <w:right w:val="none" w:sz="0" w:space="0" w:color="auto"/>
                  </w:divBdr>
                  <w:divsChild>
                    <w:div w:id="1208637546">
                      <w:marLeft w:val="0"/>
                      <w:marRight w:val="0"/>
                      <w:marTop w:val="0"/>
                      <w:marBottom w:val="0"/>
                      <w:divBdr>
                        <w:top w:val="none" w:sz="0" w:space="0" w:color="auto"/>
                        <w:left w:val="none" w:sz="0" w:space="0" w:color="auto"/>
                        <w:bottom w:val="none" w:sz="0" w:space="0" w:color="auto"/>
                        <w:right w:val="none" w:sz="0" w:space="0" w:color="auto"/>
                      </w:divBdr>
                      <w:divsChild>
                        <w:div w:id="192963860">
                          <w:marLeft w:val="0"/>
                          <w:marRight w:val="0"/>
                          <w:marTop w:val="0"/>
                          <w:marBottom w:val="0"/>
                          <w:divBdr>
                            <w:top w:val="none" w:sz="0" w:space="0" w:color="auto"/>
                            <w:left w:val="none" w:sz="0" w:space="0" w:color="auto"/>
                            <w:bottom w:val="none" w:sz="0" w:space="0" w:color="auto"/>
                            <w:right w:val="none" w:sz="0" w:space="0" w:color="auto"/>
                          </w:divBdr>
                          <w:divsChild>
                            <w:div w:id="859860136">
                              <w:marLeft w:val="0"/>
                              <w:marRight w:val="0"/>
                              <w:marTop w:val="120"/>
                              <w:marBottom w:val="360"/>
                              <w:divBdr>
                                <w:top w:val="none" w:sz="0" w:space="0" w:color="auto"/>
                                <w:left w:val="none" w:sz="0" w:space="0" w:color="auto"/>
                                <w:bottom w:val="none" w:sz="0" w:space="0" w:color="auto"/>
                                <w:right w:val="none" w:sz="0" w:space="0" w:color="auto"/>
                              </w:divBdr>
                              <w:divsChild>
                                <w:div w:id="1857620924">
                                  <w:marLeft w:val="0"/>
                                  <w:marRight w:val="0"/>
                                  <w:marTop w:val="0"/>
                                  <w:marBottom w:val="0"/>
                                  <w:divBdr>
                                    <w:top w:val="none" w:sz="0" w:space="0" w:color="auto"/>
                                    <w:left w:val="none" w:sz="0" w:space="0" w:color="auto"/>
                                    <w:bottom w:val="none" w:sz="0" w:space="0" w:color="auto"/>
                                    <w:right w:val="none" w:sz="0" w:space="0" w:color="auto"/>
                                  </w:divBdr>
                                  <w:divsChild>
                                    <w:div w:id="132874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1902">
      <w:bodyDiv w:val="1"/>
      <w:marLeft w:val="0"/>
      <w:marRight w:val="0"/>
      <w:marTop w:val="0"/>
      <w:marBottom w:val="0"/>
      <w:divBdr>
        <w:top w:val="none" w:sz="0" w:space="0" w:color="auto"/>
        <w:left w:val="none" w:sz="0" w:space="0" w:color="auto"/>
        <w:bottom w:val="none" w:sz="0" w:space="0" w:color="auto"/>
        <w:right w:val="none" w:sz="0" w:space="0" w:color="auto"/>
      </w:divBdr>
    </w:div>
    <w:div w:id="168979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19C28-FAC6-4600-A2CC-B2729A53E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dc:creator>
  <cp:lastModifiedBy>Bart</cp:lastModifiedBy>
  <cp:revision>6</cp:revision>
  <cp:lastPrinted>2015-10-07T21:37:00Z</cp:lastPrinted>
  <dcterms:created xsi:type="dcterms:W3CDTF">2015-10-16T19:50:00Z</dcterms:created>
  <dcterms:modified xsi:type="dcterms:W3CDTF">2015-10-27T20:48:00Z</dcterms:modified>
</cp:coreProperties>
</file>