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0C64" w:rsidRDefault="00160C64" w:rsidP="00160C64">
      <w:pPr>
        <w:autoSpaceDE w:val="0"/>
        <w:autoSpaceDN w:val="0"/>
        <w:adjustRightInd w:val="0"/>
        <w:ind w:left="0"/>
        <w:rPr>
          <w:b/>
          <w:szCs w:val="24"/>
        </w:rPr>
      </w:pPr>
      <w:r w:rsidRPr="00160C64">
        <w:rPr>
          <w:b/>
          <w:szCs w:val="24"/>
        </w:rPr>
        <w:t xml:space="preserve">Prosser </w:t>
      </w:r>
      <w:r>
        <w:rPr>
          <w:b/>
          <w:szCs w:val="24"/>
        </w:rPr>
        <w:t>R,</w:t>
      </w:r>
      <w:r w:rsidRPr="00160C64">
        <w:rPr>
          <w:b/>
          <w:szCs w:val="24"/>
        </w:rPr>
        <w:t xml:space="preserve"> Hancock </w:t>
      </w:r>
      <w:r>
        <w:rPr>
          <w:b/>
          <w:szCs w:val="24"/>
        </w:rPr>
        <w:t>MJ</w:t>
      </w:r>
      <w:r w:rsidRPr="00160C64">
        <w:rPr>
          <w:b/>
          <w:szCs w:val="24"/>
        </w:rPr>
        <w:t xml:space="preserve">, Nicholson </w:t>
      </w:r>
      <w:r>
        <w:rPr>
          <w:b/>
          <w:szCs w:val="24"/>
        </w:rPr>
        <w:t xml:space="preserve">L, and et al. </w:t>
      </w:r>
      <w:r w:rsidRPr="00160C64">
        <w:rPr>
          <w:b/>
          <w:szCs w:val="24"/>
        </w:rPr>
        <w:t>Rigid versus semi-rigid orthotic use following TMC arthroplasty:</w:t>
      </w:r>
      <w:r>
        <w:rPr>
          <w:b/>
          <w:szCs w:val="24"/>
        </w:rPr>
        <w:t xml:space="preserve"> </w:t>
      </w:r>
      <w:r w:rsidRPr="00160C64">
        <w:rPr>
          <w:b/>
          <w:szCs w:val="24"/>
        </w:rPr>
        <w:t>A randomized controlled trial</w:t>
      </w:r>
      <w:r>
        <w:rPr>
          <w:b/>
          <w:szCs w:val="24"/>
        </w:rPr>
        <w:t xml:space="preserve">. </w:t>
      </w:r>
      <w:r w:rsidRPr="00160C64">
        <w:rPr>
          <w:b/>
          <w:szCs w:val="24"/>
        </w:rPr>
        <w:t>Journal of Hand Therapy</w:t>
      </w:r>
      <w:r>
        <w:rPr>
          <w:b/>
          <w:szCs w:val="24"/>
        </w:rPr>
        <w:t xml:space="preserve"> 2014;</w:t>
      </w:r>
      <w:r w:rsidRPr="00160C64">
        <w:rPr>
          <w:b/>
          <w:szCs w:val="24"/>
        </w:rPr>
        <w:t xml:space="preserve"> 27</w:t>
      </w:r>
      <w:r>
        <w:rPr>
          <w:b/>
          <w:szCs w:val="24"/>
        </w:rPr>
        <w:t>:</w:t>
      </w:r>
      <w:r w:rsidRPr="00160C64">
        <w:rPr>
          <w:b/>
          <w:szCs w:val="24"/>
        </w:rPr>
        <w:t xml:space="preserve"> 265</w:t>
      </w:r>
      <w:r>
        <w:rPr>
          <w:b/>
          <w:szCs w:val="24"/>
        </w:rPr>
        <w:t>-</w:t>
      </w:r>
      <w:r w:rsidRPr="00160C64">
        <w:rPr>
          <w:b/>
          <w:szCs w:val="24"/>
        </w:rPr>
        <w:t>271</w:t>
      </w:r>
      <w:r>
        <w:rPr>
          <w:b/>
          <w:szCs w:val="24"/>
        </w:rPr>
        <w:t>.</w:t>
      </w:r>
    </w:p>
    <w:p w:rsidR="00160C64" w:rsidRDefault="00160C64" w:rsidP="00160C64">
      <w:pPr>
        <w:autoSpaceDE w:val="0"/>
        <w:autoSpaceDN w:val="0"/>
        <w:adjustRightInd w:val="0"/>
        <w:ind w:left="0"/>
        <w:rPr>
          <w:b/>
          <w:color w:val="auto"/>
          <w:szCs w:val="24"/>
        </w:rPr>
      </w:pPr>
      <w:r>
        <w:rPr>
          <w:b/>
          <w:color w:val="auto"/>
          <w:szCs w:val="24"/>
        </w:rPr>
        <w:t>PMID: 25091463</w:t>
      </w:r>
    </w:p>
    <w:p w:rsidR="00160C64" w:rsidRPr="00160C64" w:rsidRDefault="00160C64" w:rsidP="00160C64">
      <w:pPr>
        <w:autoSpaceDE w:val="0"/>
        <w:autoSpaceDN w:val="0"/>
        <w:adjustRightInd w:val="0"/>
        <w:ind w:left="0"/>
        <w:rPr>
          <w:b/>
          <w:szCs w:val="24"/>
        </w:rPr>
      </w:pPr>
    </w:p>
    <w:p w:rsidR="00FB5DBF" w:rsidRDefault="00AA32EF" w:rsidP="008A3029">
      <w:pPr>
        <w:ind w:left="0"/>
        <w:rPr>
          <w:szCs w:val="24"/>
        </w:rPr>
      </w:pPr>
      <w:r w:rsidRPr="00673CDB">
        <w:rPr>
          <w:b/>
          <w:szCs w:val="24"/>
        </w:rPr>
        <w:t xml:space="preserve">Critique author: </w:t>
      </w:r>
      <w:r w:rsidRPr="00673CDB">
        <w:rPr>
          <w:szCs w:val="24"/>
        </w:rPr>
        <w:t>Linda Metzger</w:t>
      </w:r>
      <w:r w:rsidR="00C5280C">
        <w:rPr>
          <w:szCs w:val="24"/>
        </w:rPr>
        <w:t xml:space="preserve"> </w:t>
      </w:r>
    </w:p>
    <w:p w:rsidR="00D32346" w:rsidRPr="00673CDB" w:rsidRDefault="00FB5DBF" w:rsidP="000E294B">
      <w:pPr>
        <w:ind w:left="0"/>
        <w:rPr>
          <w:szCs w:val="24"/>
        </w:rPr>
      </w:pPr>
      <w:r w:rsidRPr="00FB5DBF">
        <w:rPr>
          <w:b/>
          <w:szCs w:val="24"/>
        </w:rPr>
        <w:t>Date:</w:t>
      </w:r>
      <w:r>
        <w:rPr>
          <w:szCs w:val="24"/>
        </w:rPr>
        <w:t xml:space="preserve"> </w:t>
      </w:r>
      <w:r w:rsidR="00160C64">
        <w:rPr>
          <w:szCs w:val="24"/>
        </w:rPr>
        <w:t>3</w:t>
      </w:r>
      <w:r w:rsidR="00FD6601" w:rsidRPr="00673CDB">
        <w:rPr>
          <w:szCs w:val="24"/>
        </w:rPr>
        <w:t>-</w:t>
      </w:r>
      <w:r w:rsidR="00CB3F9E">
        <w:rPr>
          <w:szCs w:val="24"/>
        </w:rPr>
        <w:t>1</w:t>
      </w:r>
      <w:r w:rsidR="00507EB9">
        <w:rPr>
          <w:szCs w:val="24"/>
        </w:rPr>
        <w:t>-</w:t>
      </w:r>
      <w:r w:rsidR="00CB3F9E">
        <w:rPr>
          <w:szCs w:val="24"/>
        </w:rPr>
        <w:t>16</w:t>
      </w:r>
    </w:p>
    <w:p w:rsidR="00A44500" w:rsidRDefault="00E22BE4" w:rsidP="008A3029">
      <w:pPr>
        <w:ind w:left="0"/>
        <w:rPr>
          <w:szCs w:val="24"/>
        </w:rPr>
      </w:pPr>
      <w:r w:rsidRPr="00673CDB">
        <w:rPr>
          <w:b/>
          <w:szCs w:val="24"/>
        </w:rPr>
        <w:t>Design:</w:t>
      </w:r>
      <w:r w:rsidRPr="00673CDB">
        <w:rPr>
          <w:szCs w:val="24"/>
        </w:rPr>
        <w:t xml:space="preserve"> </w:t>
      </w:r>
      <w:r w:rsidR="00A44500" w:rsidRPr="00673CDB">
        <w:rPr>
          <w:szCs w:val="24"/>
        </w:rPr>
        <w:t xml:space="preserve">Randomized </w:t>
      </w:r>
      <w:r w:rsidR="00B964C7" w:rsidRPr="00B964C7">
        <w:rPr>
          <w:szCs w:val="24"/>
        </w:rPr>
        <w:t xml:space="preserve">controlled </w:t>
      </w:r>
      <w:r w:rsidR="007179B8">
        <w:rPr>
          <w:szCs w:val="24"/>
        </w:rPr>
        <w:t>trial</w:t>
      </w:r>
    </w:p>
    <w:p w:rsidR="00D32346" w:rsidRPr="00673CDB" w:rsidRDefault="00D32346" w:rsidP="00BF684B">
      <w:pPr>
        <w:rPr>
          <w:szCs w:val="24"/>
        </w:rPr>
      </w:pPr>
    </w:p>
    <w:p w:rsidR="000D60AB" w:rsidRDefault="002362F1" w:rsidP="000D60AB">
      <w:pPr>
        <w:autoSpaceDE w:val="0"/>
        <w:autoSpaceDN w:val="0"/>
        <w:adjustRightInd w:val="0"/>
        <w:ind w:left="0"/>
        <w:rPr>
          <w:szCs w:val="24"/>
        </w:rPr>
      </w:pPr>
      <w:r w:rsidRPr="00673CDB">
        <w:rPr>
          <w:b/>
          <w:szCs w:val="24"/>
        </w:rPr>
        <w:t xml:space="preserve">Objective: </w:t>
      </w:r>
      <w:r w:rsidR="000D60AB">
        <w:rPr>
          <w:szCs w:val="24"/>
        </w:rPr>
        <w:t>T</w:t>
      </w:r>
      <w:r w:rsidR="000D60AB" w:rsidRPr="000D60AB">
        <w:rPr>
          <w:szCs w:val="24"/>
        </w:rPr>
        <w:t>o examine the</w:t>
      </w:r>
      <w:r w:rsidR="000D60AB">
        <w:rPr>
          <w:szCs w:val="24"/>
        </w:rPr>
        <w:t xml:space="preserve"> </w:t>
      </w:r>
      <w:r w:rsidR="000D60AB" w:rsidRPr="000D60AB">
        <w:rPr>
          <w:szCs w:val="24"/>
        </w:rPr>
        <w:t>effectiveness of semi-rigid orthotic use compared with standard</w:t>
      </w:r>
      <w:r w:rsidR="000D60AB">
        <w:rPr>
          <w:szCs w:val="24"/>
        </w:rPr>
        <w:t xml:space="preserve"> </w:t>
      </w:r>
      <w:r w:rsidR="000D60AB" w:rsidRPr="000D60AB">
        <w:rPr>
          <w:szCs w:val="24"/>
        </w:rPr>
        <w:t xml:space="preserve">rigid orthotic use following </w:t>
      </w:r>
      <w:r w:rsidR="000D60AB" w:rsidRPr="000D60AB">
        <w:rPr>
          <w:szCs w:val="24"/>
        </w:rPr>
        <w:t>trapeziometacarpal</w:t>
      </w:r>
      <w:r w:rsidR="000D60AB">
        <w:rPr>
          <w:szCs w:val="24"/>
        </w:rPr>
        <w:t xml:space="preserve"> (</w:t>
      </w:r>
      <w:r w:rsidR="000D60AB" w:rsidRPr="000D60AB">
        <w:rPr>
          <w:szCs w:val="24"/>
        </w:rPr>
        <w:t>TMC</w:t>
      </w:r>
      <w:r w:rsidR="000D60AB">
        <w:rPr>
          <w:szCs w:val="24"/>
        </w:rPr>
        <w:t xml:space="preserve">) arthroplasty on short to medium </w:t>
      </w:r>
      <w:r w:rsidR="000D60AB" w:rsidRPr="000D60AB">
        <w:rPr>
          <w:szCs w:val="24"/>
        </w:rPr>
        <w:t>term outcomes of self-reported pain, range</w:t>
      </w:r>
      <w:r w:rsidR="000D60AB">
        <w:rPr>
          <w:szCs w:val="24"/>
        </w:rPr>
        <w:t xml:space="preserve"> of motion</w:t>
      </w:r>
      <w:r w:rsidR="000D60AB" w:rsidRPr="000D60AB">
        <w:rPr>
          <w:szCs w:val="24"/>
        </w:rPr>
        <w:t>, strength</w:t>
      </w:r>
      <w:r w:rsidR="000D60AB">
        <w:rPr>
          <w:szCs w:val="24"/>
        </w:rPr>
        <w:t>,</w:t>
      </w:r>
      <w:r w:rsidR="000D60AB" w:rsidRPr="000D60AB">
        <w:rPr>
          <w:szCs w:val="24"/>
        </w:rPr>
        <w:t xml:space="preserve"> and function.</w:t>
      </w:r>
    </w:p>
    <w:p w:rsidR="00BF3FBD" w:rsidRDefault="00BF3FBD" w:rsidP="00DD17DB">
      <w:pPr>
        <w:autoSpaceDE w:val="0"/>
        <w:autoSpaceDN w:val="0"/>
        <w:adjustRightInd w:val="0"/>
        <w:ind w:left="0"/>
        <w:rPr>
          <w:szCs w:val="24"/>
        </w:rPr>
      </w:pPr>
    </w:p>
    <w:p w:rsidR="008D264D" w:rsidRDefault="00053CA3" w:rsidP="000D60AB">
      <w:pPr>
        <w:autoSpaceDE w:val="0"/>
        <w:autoSpaceDN w:val="0"/>
        <w:adjustRightInd w:val="0"/>
        <w:ind w:left="0"/>
        <w:rPr>
          <w:b/>
          <w:szCs w:val="24"/>
        </w:rPr>
      </w:pPr>
      <w:r>
        <w:rPr>
          <w:b/>
          <w:szCs w:val="24"/>
        </w:rPr>
        <w:t>Population /sample size/setting:</w:t>
      </w:r>
    </w:p>
    <w:p w:rsidR="00053CA3" w:rsidRPr="009F70A8" w:rsidRDefault="00053CA3" w:rsidP="009F70A8">
      <w:pPr>
        <w:autoSpaceDE w:val="0"/>
        <w:autoSpaceDN w:val="0"/>
        <w:adjustRightInd w:val="0"/>
        <w:ind w:left="0"/>
        <w:rPr>
          <w:b/>
          <w:szCs w:val="24"/>
        </w:rPr>
      </w:pPr>
    </w:p>
    <w:p w:rsidR="009F70A8" w:rsidRPr="009F70A8" w:rsidRDefault="009F70A8" w:rsidP="00315686">
      <w:pPr>
        <w:pStyle w:val="ListParagraph"/>
        <w:numPr>
          <w:ilvl w:val="0"/>
          <w:numId w:val="7"/>
        </w:numPr>
        <w:rPr>
          <w:szCs w:val="24"/>
        </w:rPr>
      </w:pPr>
      <w:r w:rsidRPr="009F70A8">
        <w:rPr>
          <w:szCs w:val="24"/>
        </w:rPr>
        <w:t>A total of 56</w:t>
      </w:r>
      <w:r w:rsidR="00305931" w:rsidRPr="009F70A8">
        <w:rPr>
          <w:szCs w:val="24"/>
        </w:rPr>
        <w:t xml:space="preserve"> </w:t>
      </w:r>
      <w:r w:rsidR="000F33CD" w:rsidRPr="009F70A8">
        <w:rPr>
          <w:szCs w:val="24"/>
        </w:rPr>
        <w:t>consecutive</w:t>
      </w:r>
      <w:r w:rsidR="008112EF" w:rsidRPr="009F70A8">
        <w:rPr>
          <w:szCs w:val="24"/>
        </w:rPr>
        <w:t xml:space="preserve"> </w:t>
      </w:r>
      <w:r w:rsidR="00305931" w:rsidRPr="009F70A8">
        <w:rPr>
          <w:szCs w:val="24"/>
        </w:rPr>
        <w:t>patients (</w:t>
      </w:r>
      <w:r w:rsidRPr="009F70A8">
        <w:rPr>
          <w:bCs/>
        </w:rPr>
        <w:t>mean age 67.8</w:t>
      </w:r>
      <w:r w:rsidR="00305931" w:rsidRPr="009F70A8">
        <w:rPr>
          <w:bCs/>
        </w:rPr>
        <w:t xml:space="preserve"> years</w:t>
      </w:r>
      <w:r w:rsidR="00FC3CE6">
        <w:rPr>
          <w:bCs/>
        </w:rPr>
        <w:t xml:space="preserve">, 45 females, </w:t>
      </w:r>
      <w:proofErr w:type="gramStart"/>
      <w:r w:rsidRPr="009F70A8">
        <w:rPr>
          <w:bCs/>
        </w:rPr>
        <w:t>11</w:t>
      </w:r>
      <w:proofErr w:type="gramEnd"/>
      <w:r w:rsidR="000F33CD" w:rsidRPr="009F70A8">
        <w:rPr>
          <w:bCs/>
        </w:rPr>
        <w:t xml:space="preserve"> males</w:t>
      </w:r>
      <w:r w:rsidR="00305931" w:rsidRPr="009F70A8">
        <w:rPr>
          <w:bCs/>
        </w:rPr>
        <w:t>)</w:t>
      </w:r>
      <w:r w:rsidR="00305931" w:rsidRPr="009F70A8">
        <w:rPr>
          <w:szCs w:val="24"/>
        </w:rPr>
        <w:t xml:space="preserve"> </w:t>
      </w:r>
      <w:r>
        <w:rPr>
          <w:szCs w:val="24"/>
        </w:rPr>
        <w:t xml:space="preserve">with osteoarthritis of the TMC joint planning to undergo </w:t>
      </w:r>
      <w:r w:rsidRPr="009F70A8">
        <w:rPr>
          <w:szCs w:val="24"/>
        </w:rPr>
        <w:t xml:space="preserve">arthroplasty of the TMC joint </w:t>
      </w:r>
      <w:r w:rsidR="00305931" w:rsidRPr="009F70A8">
        <w:rPr>
          <w:szCs w:val="24"/>
        </w:rPr>
        <w:t xml:space="preserve">were recruited </w:t>
      </w:r>
      <w:r w:rsidR="00BF3FBD" w:rsidRPr="009F70A8">
        <w:rPr>
          <w:szCs w:val="24"/>
        </w:rPr>
        <w:t>from</w:t>
      </w:r>
      <w:r w:rsidR="00305931" w:rsidRPr="009F70A8">
        <w:rPr>
          <w:szCs w:val="24"/>
        </w:rPr>
        <w:t xml:space="preserve"> </w:t>
      </w:r>
      <w:r w:rsidRPr="009F70A8">
        <w:rPr>
          <w:szCs w:val="24"/>
        </w:rPr>
        <w:t>three hand surgery practices</w:t>
      </w:r>
      <w:r>
        <w:rPr>
          <w:szCs w:val="24"/>
        </w:rPr>
        <w:t xml:space="preserve"> for this study.</w:t>
      </w:r>
      <w:r w:rsidRPr="009F70A8">
        <w:rPr>
          <w:szCs w:val="24"/>
        </w:rPr>
        <w:t xml:space="preserve"> </w:t>
      </w:r>
    </w:p>
    <w:p w:rsidR="00305931" w:rsidRPr="00FC3CE6" w:rsidRDefault="009F70A8" w:rsidP="00FC3CE6">
      <w:pPr>
        <w:pStyle w:val="ListParagraph"/>
        <w:numPr>
          <w:ilvl w:val="0"/>
          <w:numId w:val="7"/>
        </w:numPr>
        <w:rPr>
          <w:szCs w:val="24"/>
        </w:rPr>
      </w:pPr>
      <w:r w:rsidRPr="00FC3CE6">
        <w:rPr>
          <w:szCs w:val="24"/>
        </w:rPr>
        <w:t>The 56</w:t>
      </w:r>
      <w:r w:rsidR="00053CA3" w:rsidRPr="00FC3CE6">
        <w:rPr>
          <w:szCs w:val="24"/>
        </w:rPr>
        <w:t xml:space="preserve"> </w:t>
      </w:r>
      <w:r w:rsidR="00305931" w:rsidRPr="00FC3CE6">
        <w:rPr>
          <w:szCs w:val="24"/>
        </w:rPr>
        <w:t>patients were randomly assigned to one of</w:t>
      </w:r>
      <w:r w:rsidR="000F33CD" w:rsidRPr="00FC3CE6">
        <w:rPr>
          <w:szCs w:val="24"/>
        </w:rPr>
        <w:t xml:space="preserve"> 2 groups: </w:t>
      </w:r>
      <w:r w:rsidR="00FC3CE6" w:rsidRPr="00FC3CE6">
        <w:rPr>
          <w:szCs w:val="24"/>
        </w:rPr>
        <w:t>the rigid orthotic group or the semi-rigid orthotic group.</w:t>
      </w:r>
    </w:p>
    <w:p w:rsidR="006B7F3F" w:rsidRPr="00FC3CE6" w:rsidRDefault="002D31E6" w:rsidP="00FC3CE6">
      <w:pPr>
        <w:pStyle w:val="ListParagraph"/>
        <w:numPr>
          <w:ilvl w:val="0"/>
          <w:numId w:val="1"/>
        </w:numPr>
        <w:spacing w:after="200"/>
        <w:rPr>
          <w:szCs w:val="24"/>
        </w:rPr>
      </w:pPr>
      <w:r w:rsidRPr="00FC3CE6">
        <w:rPr>
          <w:szCs w:val="24"/>
        </w:rPr>
        <w:t xml:space="preserve">Inclusion criteria included </w:t>
      </w:r>
      <w:r w:rsidR="008112EF" w:rsidRPr="00FC3CE6">
        <w:rPr>
          <w:szCs w:val="24"/>
        </w:rPr>
        <w:t xml:space="preserve">adults with </w:t>
      </w:r>
      <w:r w:rsidR="00FC3CE6" w:rsidRPr="00FC3CE6">
        <w:rPr>
          <w:szCs w:val="24"/>
        </w:rPr>
        <w:t>osteoarthritis of the TMC joint who were scheduled for arthroplasty using one of two common techniques (trapeziectomy with Ligament Reconstruction Tendon Interposition (LRTI) or simple trapeziectomy).</w:t>
      </w:r>
    </w:p>
    <w:p w:rsidR="00FC3CE6" w:rsidRPr="00FC3CE6" w:rsidRDefault="00F60CAF" w:rsidP="00FC3CE6">
      <w:pPr>
        <w:pStyle w:val="ListParagraph"/>
        <w:numPr>
          <w:ilvl w:val="0"/>
          <w:numId w:val="1"/>
        </w:numPr>
        <w:spacing w:after="200"/>
        <w:rPr>
          <w:szCs w:val="24"/>
        </w:rPr>
      </w:pPr>
      <w:r w:rsidRPr="00FC3CE6">
        <w:rPr>
          <w:szCs w:val="24"/>
        </w:rPr>
        <w:t xml:space="preserve">Exclusion criteria included </w:t>
      </w:r>
      <w:r w:rsidR="00FC3CE6" w:rsidRPr="00FC3CE6">
        <w:rPr>
          <w:szCs w:val="24"/>
        </w:rPr>
        <w:t xml:space="preserve">rheumatoid arthritis </w:t>
      </w:r>
      <w:r w:rsidR="00FC3CE6">
        <w:rPr>
          <w:szCs w:val="24"/>
        </w:rPr>
        <w:t xml:space="preserve">or </w:t>
      </w:r>
      <w:r w:rsidR="00FC3CE6" w:rsidRPr="00FC3CE6">
        <w:rPr>
          <w:szCs w:val="24"/>
        </w:rPr>
        <w:t>surgery to other digits or the wrist that would require</w:t>
      </w:r>
      <w:r w:rsidR="00FC3CE6">
        <w:rPr>
          <w:szCs w:val="24"/>
        </w:rPr>
        <w:t xml:space="preserve"> </w:t>
      </w:r>
      <w:r w:rsidR="00FC3CE6" w:rsidRPr="00FC3CE6">
        <w:rPr>
          <w:szCs w:val="24"/>
        </w:rPr>
        <w:t>other forms of orthotic intervention.</w:t>
      </w:r>
    </w:p>
    <w:p w:rsidR="00DD1E46" w:rsidRDefault="00FB5DBF" w:rsidP="00E90C22">
      <w:pPr>
        <w:spacing w:after="200"/>
        <w:ind w:left="0"/>
        <w:rPr>
          <w:rFonts w:cs="Times New Roman"/>
          <w:b/>
          <w:szCs w:val="24"/>
        </w:rPr>
      </w:pPr>
      <w:r w:rsidRPr="00FC3CE6">
        <w:rPr>
          <w:rFonts w:cs="Times New Roman"/>
          <w:b/>
          <w:szCs w:val="24"/>
        </w:rPr>
        <w:t>Methods/</w:t>
      </w:r>
      <w:r w:rsidR="002A0E04" w:rsidRPr="00FC3CE6">
        <w:rPr>
          <w:rFonts w:cs="Times New Roman"/>
          <w:b/>
          <w:szCs w:val="24"/>
        </w:rPr>
        <w:t>Interventions</w:t>
      </w:r>
      <w:r w:rsidR="000B76E6" w:rsidRPr="00FC3CE6">
        <w:rPr>
          <w:rFonts w:cs="Times New Roman"/>
          <w:b/>
          <w:szCs w:val="24"/>
        </w:rPr>
        <w:t>/</w:t>
      </w:r>
      <w:r w:rsidRPr="00FC3CE6">
        <w:rPr>
          <w:rFonts w:cs="Times New Roman"/>
          <w:b/>
          <w:szCs w:val="24"/>
        </w:rPr>
        <w:t>Outcome Measures</w:t>
      </w:r>
      <w:r w:rsidR="002A0E04" w:rsidRPr="00FC3CE6">
        <w:rPr>
          <w:rFonts w:cs="Times New Roman"/>
          <w:b/>
          <w:szCs w:val="24"/>
        </w:rPr>
        <w:t>:</w:t>
      </w:r>
    </w:p>
    <w:p w:rsidR="00AA79C0" w:rsidRDefault="00DD1E46" w:rsidP="00357B7B">
      <w:pPr>
        <w:pStyle w:val="ListParagraph"/>
        <w:numPr>
          <w:ilvl w:val="0"/>
          <w:numId w:val="2"/>
        </w:numPr>
        <w:spacing w:after="200"/>
        <w:rPr>
          <w:rFonts w:cs="Times New Roman"/>
          <w:szCs w:val="24"/>
        </w:rPr>
      </w:pPr>
      <w:r w:rsidRPr="00A279CC">
        <w:rPr>
          <w:rFonts w:cs="Times New Roman"/>
          <w:szCs w:val="24"/>
        </w:rPr>
        <w:t xml:space="preserve">Study design was a prospective, randomized, controlled, </w:t>
      </w:r>
      <w:r w:rsidR="00AA79C0" w:rsidRPr="00A279CC">
        <w:rPr>
          <w:rFonts w:cs="Times New Roman"/>
          <w:szCs w:val="24"/>
        </w:rPr>
        <w:t>single</w:t>
      </w:r>
      <w:r w:rsidRPr="00A279CC">
        <w:rPr>
          <w:rFonts w:cs="Times New Roman"/>
          <w:szCs w:val="24"/>
        </w:rPr>
        <w:t>-blind study.</w:t>
      </w:r>
      <w:r w:rsidR="00357B7B" w:rsidRPr="00A279CC">
        <w:rPr>
          <w:rFonts w:ascii="AdvOT863180fb" w:hAnsi="AdvOT863180fb" w:cs="AdvOT863180fb"/>
          <w:sz w:val="16"/>
          <w:szCs w:val="16"/>
        </w:rPr>
        <w:t xml:space="preserve"> </w:t>
      </w:r>
      <w:r w:rsidR="00357B7B" w:rsidRPr="00A279CC">
        <w:rPr>
          <w:rFonts w:cs="Times New Roman"/>
          <w:szCs w:val="24"/>
        </w:rPr>
        <w:t>The randomization schedule was generated by an independent person using a computer generated random numbers table.</w:t>
      </w:r>
      <w:r w:rsidR="00AA79C0" w:rsidRPr="00A279CC">
        <w:rPr>
          <w:rFonts w:cs="Times New Roman"/>
          <w:szCs w:val="24"/>
        </w:rPr>
        <w:t xml:space="preserve"> </w:t>
      </w:r>
      <w:r w:rsidR="00357B7B" w:rsidRPr="00A279CC">
        <w:rPr>
          <w:rFonts w:cs="Times New Roman"/>
          <w:szCs w:val="24"/>
        </w:rPr>
        <w:t>S</w:t>
      </w:r>
      <w:r w:rsidR="00AA79C0" w:rsidRPr="00A279CC">
        <w:rPr>
          <w:rFonts w:cs="Times New Roman"/>
          <w:szCs w:val="24"/>
        </w:rPr>
        <w:t xml:space="preserve">ubjects were consecutively randomized after consenting and completing the demographic and preoperative measures. Baseline information was collected </w:t>
      </w:r>
      <w:r w:rsidR="00A279CC" w:rsidRPr="00A279CC">
        <w:rPr>
          <w:rFonts w:cs="Times New Roman"/>
          <w:szCs w:val="24"/>
        </w:rPr>
        <w:t xml:space="preserve">on </w:t>
      </w:r>
      <w:r w:rsidR="00AA79C0" w:rsidRPr="00A279CC">
        <w:rPr>
          <w:rFonts w:cs="Times New Roman"/>
          <w:szCs w:val="24"/>
        </w:rPr>
        <w:t xml:space="preserve">patient age, gender, hand dominance, </w:t>
      </w:r>
      <w:r w:rsidR="00A279CC" w:rsidRPr="00A279CC">
        <w:rPr>
          <w:rFonts w:cs="Times New Roman"/>
          <w:szCs w:val="24"/>
        </w:rPr>
        <w:t>and all the primary and secondary outcome measures.</w:t>
      </w:r>
    </w:p>
    <w:p w:rsidR="00795FFE" w:rsidRDefault="00795FFE" w:rsidP="00357B7B">
      <w:pPr>
        <w:pStyle w:val="ListParagraph"/>
        <w:numPr>
          <w:ilvl w:val="0"/>
          <w:numId w:val="2"/>
        </w:numPr>
        <w:spacing w:after="200"/>
        <w:rPr>
          <w:rFonts w:cs="Times New Roman"/>
          <w:szCs w:val="24"/>
        </w:rPr>
      </w:pPr>
      <w:r>
        <w:rPr>
          <w:rFonts w:cs="Times New Roman"/>
          <w:szCs w:val="24"/>
        </w:rPr>
        <w:t xml:space="preserve">Four surgeons performed all the TMC arthroplasties. </w:t>
      </w:r>
    </w:p>
    <w:p w:rsidR="00101375" w:rsidRDefault="00101375" w:rsidP="00101375">
      <w:pPr>
        <w:pStyle w:val="ListParagraph"/>
        <w:numPr>
          <w:ilvl w:val="0"/>
          <w:numId w:val="2"/>
        </w:numPr>
        <w:spacing w:after="200"/>
        <w:rPr>
          <w:rFonts w:cs="Times New Roman"/>
          <w:szCs w:val="24"/>
        </w:rPr>
      </w:pPr>
      <w:r w:rsidRPr="00101375">
        <w:rPr>
          <w:rFonts w:cs="Times New Roman"/>
          <w:szCs w:val="24"/>
        </w:rPr>
        <w:t>At</w:t>
      </w:r>
      <w:r>
        <w:rPr>
          <w:rFonts w:cs="Times New Roman"/>
          <w:szCs w:val="24"/>
        </w:rPr>
        <w:t xml:space="preserve"> </w:t>
      </w:r>
      <w:r w:rsidRPr="00101375">
        <w:rPr>
          <w:rFonts w:cs="Times New Roman"/>
          <w:szCs w:val="24"/>
        </w:rPr>
        <w:t>10</w:t>
      </w:r>
      <w:r>
        <w:rPr>
          <w:rFonts w:cs="Times New Roman"/>
          <w:szCs w:val="24"/>
        </w:rPr>
        <w:t xml:space="preserve"> to </w:t>
      </w:r>
      <w:r w:rsidRPr="00101375">
        <w:rPr>
          <w:rFonts w:cs="Times New Roman"/>
          <w:szCs w:val="24"/>
        </w:rPr>
        <w:t xml:space="preserve">14 days following </w:t>
      </w:r>
      <w:r>
        <w:rPr>
          <w:rFonts w:cs="Times New Roman"/>
          <w:szCs w:val="24"/>
        </w:rPr>
        <w:t xml:space="preserve">surgery, the </w:t>
      </w:r>
      <w:r w:rsidRPr="00101375">
        <w:rPr>
          <w:rFonts w:cs="Times New Roman"/>
          <w:szCs w:val="24"/>
        </w:rPr>
        <w:t>dorsal plaster back</w:t>
      </w:r>
      <w:r>
        <w:rPr>
          <w:rFonts w:cs="Times New Roman"/>
          <w:szCs w:val="24"/>
        </w:rPr>
        <w:t>-</w:t>
      </w:r>
      <w:r w:rsidRPr="00101375">
        <w:rPr>
          <w:rFonts w:cs="Times New Roman"/>
          <w:szCs w:val="24"/>
        </w:rPr>
        <w:t xml:space="preserve">slab </w:t>
      </w:r>
      <w:r>
        <w:rPr>
          <w:rFonts w:cs="Times New Roman"/>
          <w:szCs w:val="24"/>
        </w:rPr>
        <w:t xml:space="preserve">used </w:t>
      </w:r>
      <w:r w:rsidRPr="00101375">
        <w:rPr>
          <w:rFonts w:cs="Times New Roman"/>
          <w:szCs w:val="24"/>
        </w:rPr>
        <w:t>to</w:t>
      </w:r>
      <w:r>
        <w:rPr>
          <w:rFonts w:cs="Times New Roman"/>
          <w:szCs w:val="24"/>
        </w:rPr>
        <w:t xml:space="preserve"> </w:t>
      </w:r>
      <w:r w:rsidR="00C172F3">
        <w:rPr>
          <w:rFonts w:cs="Times New Roman"/>
          <w:szCs w:val="24"/>
        </w:rPr>
        <w:t xml:space="preserve">immobilize the </w:t>
      </w:r>
      <w:r w:rsidRPr="00101375">
        <w:rPr>
          <w:rFonts w:cs="Times New Roman"/>
          <w:szCs w:val="24"/>
        </w:rPr>
        <w:t xml:space="preserve">wrist and thumb, and the </w:t>
      </w:r>
      <w:r w:rsidRPr="00101375">
        <w:rPr>
          <w:rFonts w:cs="Times New Roman"/>
          <w:szCs w:val="24"/>
        </w:rPr>
        <w:t>sutures</w:t>
      </w:r>
      <w:r w:rsidRPr="00101375">
        <w:rPr>
          <w:rFonts w:cs="Times New Roman"/>
          <w:szCs w:val="24"/>
        </w:rPr>
        <w:t xml:space="preserve"> were removed </w:t>
      </w:r>
      <w:r w:rsidRPr="00101375">
        <w:rPr>
          <w:rFonts w:cs="Times New Roman"/>
          <w:szCs w:val="24"/>
        </w:rPr>
        <w:t>f</w:t>
      </w:r>
      <w:r w:rsidRPr="00101375">
        <w:rPr>
          <w:rFonts w:cs="Times New Roman"/>
          <w:szCs w:val="24"/>
        </w:rPr>
        <w:t>rom</w:t>
      </w:r>
      <w:r w:rsidRPr="00101375">
        <w:rPr>
          <w:rFonts w:cs="Times New Roman"/>
          <w:szCs w:val="24"/>
        </w:rPr>
        <w:t xml:space="preserve"> all participants</w:t>
      </w:r>
      <w:r w:rsidRPr="00101375">
        <w:rPr>
          <w:rFonts w:cs="Times New Roman"/>
          <w:szCs w:val="24"/>
        </w:rPr>
        <w:t>. A</w:t>
      </w:r>
      <w:r w:rsidRPr="00101375">
        <w:rPr>
          <w:rFonts w:cs="Times New Roman"/>
          <w:szCs w:val="24"/>
        </w:rPr>
        <w:t>t this time</w:t>
      </w:r>
      <w:r w:rsidRPr="00101375">
        <w:rPr>
          <w:rFonts w:cs="Times New Roman"/>
          <w:szCs w:val="24"/>
        </w:rPr>
        <w:t xml:space="preserve">, hand therapy </w:t>
      </w:r>
      <w:r w:rsidR="004A4391">
        <w:rPr>
          <w:rFonts w:cs="Times New Roman"/>
          <w:szCs w:val="24"/>
        </w:rPr>
        <w:t xml:space="preserve">exercises </w:t>
      </w:r>
      <w:r w:rsidRPr="00101375">
        <w:rPr>
          <w:rFonts w:cs="Times New Roman"/>
          <w:szCs w:val="24"/>
        </w:rPr>
        <w:t>began</w:t>
      </w:r>
      <w:r>
        <w:rPr>
          <w:rFonts w:cs="Times New Roman"/>
          <w:szCs w:val="24"/>
        </w:rPr>
        <w:t>,</w:t>
      </w:r>
      <w:r w:rsidRPr="00101375">
        <w:rPr>
          <w:rFonts w:cs="Times New Roman"/>
          <w:szCs w:val="24"/>
        </w:rPr>
        <w:t xml:space="preserve"> and patients were randomly allocated into either the rigid orthotic or semi-rigid orthotic group. Group allocations were placed in sealed opaque envelopes and sequentially allocated to each participant.</w:t>
      </w:r>
    </w:p>
    <w:p w:rsidR="009229DE" w:rsidRPr="009229DE" w:rsidRDefault="00101375" w:rsidP="009229DE">
      <w:pPr>
        <w:pStyle w:val="ListParagraph"/>
        <w:numPr>
          <w:ilvl w:val="0"/>
          <w:numId w:val="2"/>
        </w:numPr>
        <w:spacing w:after="200"/>
        <w:rPr>
          <w:rFonts w:cs="Times New Roman"/>
          <w:szCs w:val="24"/>
        </w:rPr>
      </w:pPr>
      <w:r w:rsidRPr="00101375">
        <w:rPr>
          <w:rFonts w:cs="Times New Roman"/>
          <w:szCs w:val="24"/>
        </w:rPr>
        <w:t xml:space="preserve">Both orthoses were custom made for each participant. </w:t>
      </w:r>
      <w:r w:rsidR="009229DE" w:rsidRPr="009229DE">
        <w:rPr>
          <w:rFonts w:cs="Times New Roman"/>
          <w:szCs w:val="24"/>
        </w:rPr>
        <w:t>All patients were instructed to wear</w:t>
      </w:r>
      <w:r w:rsidR="009229DE">
        <w:rPr>
          <w:rFonts w:cs="Times New Roman"/>
          <w:szCs w:val="24"/>
        </w:rPr>
        <w:t xml:space="preserve"> </w:t>
      </w:r>
      <w:r w:rsidR="009229DE" w:rsidRPr="009229DE">
        <w:rPr>
          <w:rFonts w:cs="Times New Roman"/>
          <w:szCs w:val="24"/>
        </w:rPr>
        <w:t>the orthotic full time</w:t>
      </w:r>
      <w:r w:rsidR="009229DE">
        <w:rPr>
          <w:rFonts w:cs="Times New Roman"/>
          <w:szCs w:val="24"/>
        </w:rPr>
        <w:t xml:space="preserve">, </w:t>
      </w:r>
      <w:r w:rsidR="009229DE" w:rsidRPr="009229DE">
        <w:rPr>
          <w:rFonts w:cs="Times New Roman"/>
          <w:szCs w:val="24"/>
        </w:rPr>
        <w:t>24 h</w:t>
      </w:r>
      <w:r w:rsidR="009229DE">
        <w:rPr>
          <w:rFonts w:cs="Times New Roman"/>
          <w:szCs w:val="24"/>
        </w:rPr>
        <w:t>ours</w:t>
      </w:r>
      <w:r w:rsidR="009229DE" w:rsidRPr="009229DE">
        <w:rPr>
          <w:rFonts w:cs="Times New Roman"/>
          <w:szCs w:val="24"/>
        </w:rPr>
        <w:t xml:space="preserve"> per day for 4 weeks</w:t>
      </w:r>
      <w:r w:rsidR="009229DE">
        <w:rPr>
          <w:rFonts w:cs="Times New Roman"/>
          <w:szCs w:val="24"/>
        </w:rPr>
        <w:t>,</w:t>
      </w:r>
      <w:r w:rsidR="009229DE" w:rsidRPr="009229DE">
        <w:rPr>
          <w:rFonts w:cs="Times New Roman"/>
          <w:szCs w:val="24"/>
        </w:rPr>
        <w:t xml:space="preserve"> except for exercises.</w:t>
      </w:r>
    </w:p>
    <w:p w:rsidR="009229DE" w:rsidRPr="004A4391" w:rsidRDefault="00101375" w:rsidP="004A4391">
      <w:pPr>
        <w:pStyle w:val="ListParagraph"/>
        <w:numPr>
          <w:ilvl w:val="0"/>
          <w:numId w:val="2"/>
        </w:numPr>
        <w:spacing w:after="200"/>
        <w:rPr>
          <w:rFonts w:cs="Times New Roman"/>
          <w:szCs w:val="24"/>
        </w:rPr>
      </w:pPr>
      <w:r w:rsidRPr="00101375">
        <w:rPr>
          <w:rFonts w:cs="Times New Roman"/>
          <w:szCs w:val="24"/>
        </w:rPr>
        <w:t>The semi</w:t>
      </w:r>
      <w:r w:rsidR="009229DE">
        <w:rPr>
          <w:rFonts w:cs="Times New Roman"/>
          <w:szCs w:val="24"/>
        </w:rPr>
        <w:t>-</w:t>
      </w:r>
      <w:r w:rsidRPr="00101375">
        <w:rPr>
          <w:rFonts w:cs="Times New Roman"/>
          <w:szCs w:val="24"/>
        </w:rPr>
        <w:t>rigid</w:t>
      </w:r>
      <w:r w:rsidR="009229DE">
        <w:rPr>
          <w:rFonts w:cs="Times New Roman"/>
          <w:szCs w:val="24"/>
        </w:rPr>
        <w:t xml:space="preserve"> </w:t>
      </w:r>
      <w:r w:rsidRPr="009229DE">
        <w:rPr>
          <w:rFonts w:cs="Times New Roman"/>
          <w:szCs w:val="24"/>
        </w:rPr>
        <w:t>orthosis was fabricated from neoprene with a bonded thermoplastic</w:t>
      </w:r>
      <w:r w:rsidR="009229DE">
        <w:rPr>
          <w:rFonts w:cs="Times New Roman"/>
          <w:szCs w:val="24"/>
        </w:rPr>
        <w:t xml:space="preserve"> </w:t>
      </w:r>
      <w:r w:rsidRPr="009229DE">
        <w:rPr>
          <w:rFonts w:cs="Times New Roman"/>
          <w:szCs w:val="24"/>
        </w:rPr>
        <w:t>piece. The neoprene of the semi-rigid orthosis extended</w:t>
      </w:r>
      <w:r w:rsidR="009229DE">
        <w:rPr>
          <w:rFonts w:cs="Times New Roman"/>
          <w:szCs w:val="24"/>
        </w:rPr>
        <w:t xml:space="preserve"> </w:t>
      </w:r>
      <w:r w:rsidRPr="009229DE">
        <w:rPr>
          <w:rFonts w:cs="Times New Roman"/>
          <w:szCs w:val="24"/>
        </w:rPr>
        <w:t>from the thumb interphalangeal joint to include the distal two</w:t>
      </w:r>
      <w:r w:rsidR="009229DE">
        <w:rPr>
          <w:rFonts w:cs="Times New Roman"/>
          <w:szCs w:val="24"/>
        </w:rPr>
        <w:t xml:space="preserve"> </w:t>
      </w:r>
      <w:r w:rsidRPr="009229DE">
        <w:rPr>
          <w:rFonts w:cs="Times New Roman"/>
          <w:szCs w:val="24"/>
        </w:rPr>
        <w:t>thirds of the forearm. A thermoplastic piece on the radial aspect of</w:t>
      </w:r>
      <w:r w:rsidR="009229DE">
        <w:rPr>
          <w:rFonts w:cs="Times New Roman"/>
          <w:szCs w:val="24"/>
        </w:rPr>
        <w:t xml:space="preserve"> </w:t>
      </w:r>
      <w:r w:rsidRPr="009229DE">
        <w:rPr>
          <w:rFonts w:cs="Times New Roman"/>
          <w:szCs w:val="24"/>
        </w:rPr>
        <w:t>the thumb extending from mid proximal phalanx to just below the</w:t>
      </w:r>
      <w:r w:rsidR="009229DE">
        <w:rPr>
          <w:rFonts w:cs="Times New Roman"/>
          <w:szCs w:val="24"/>
        </w:rPr>
        <w:t xml:space="preserve"> </w:t>
      </w:r>
      <w:r w:rsidRPr="009229DE">
        <w:rPr>
          <w:rFonts w:cs="Times New Roman"/>
          <w:szCs w:val="24"/>
        </w:rPr>
        <w:t>wrist was bonded to the neoprene with the thumb in maximal</w:t>
      </w:r>
      <w:r w:rsidR="009229DE">
        <w:rPr>
          <w:rFonts w:cs="Times New Roman"/>
          <w:szCs w:val="24"/>
        </w:rPr>
        <w:t xml:space="preserve"> </w:t>
      </w:r>
      <w:r w:rsidRPr="009229DE">
        <w:rPr>
          <w:rFonts w:cs="Times New Roman"/>
          <w:szCs w:val="24"/>
        </w:rPr>
        <w:t>comfortable palmar abduction</w:t>
      </w:r>
      <w:r w:rsidR="009229DE">
        <w:rPr>
          <w:rFonts w:cs="Times New Roman"/>
          <w:szCs w:val="24"/>
        </w:rPr>
        <w:t>.</w:t>
      </w:r>
      <w:r w:rsidR="009229DE" w:rsidRPr="009229DE">
        <w:rPr>
          <w:rFonts w:cs="Times New Roman"/>
          <w:szCs w:val="24"/>
        </w:rPr>
        <w:t xml:space="preserve"> </w:t>
      </w:r>
      <w:r w:rsidR="009229DE">
        <w:rPr>
          <w:rFonts w:cs="Times New Roman"/>
          <w:szCs w:val="24"/>
        </w:rPr>
        <w:t xml:space="preserve">This orthosis </w:t>
      </w:r>
      <w:r w:rsidR="009229DE">
        <w:rPr>
          <w:rFonts w:cs="Times New Roman"/>
          <w:szCs w:val="24"/>
        </w:rPr>
        <w:lastRenderedPageBreak/>
        <w:t>allowed</w:t>
      </w:r>
      <w:r w:rsidR="009229DE" w:rsidRPr="009229DE">
        <w:rPr>
          <w:rFonts w:cs="Times New Roman"/>
          <w:szCs w:val="24"/>
        </w:rPr>
        <w:t xml:space="preserve"> limited wrist</w:t>
      </w:r>
      <w:r w:rsidR="009229DE">
        <w:rPr>
          <w:rFonts w:cs="Times New Roman"/>
          <w:szCs w:val="24"/>
        </w:rPr>
        <w:t xml:space="preserve"> </w:t>
      </w:r>
      <w:r w:rsidR="009229DE" w:rsidRPr="009229DE">
        <w:rPr>
          <w:rFonts w:cs="Times New Roman"/>
          <w:szCs w:val="24"/>
        </w:rPr>
        <w:t>(60</w:t>
      </w:r>
      <w:r w:rsidR="009229DE">
        <w:rPr>
          <w:rFonts w:cs="Times New Roman"/>
          <w:szCs w:val="24"/>
        </w:rPr>
        <w:t xml:space="preserve"> to </w:t>
      </w:r>
      <w:r w:rsidR="009229DE" w:rsidRPr="009229DE">
        <w:rPr>
          <w:rFonts w:cs="Times New Roman"/>
          <w:szCs w:val="24"/>
        </w:rPr>
        <w:t>70% of active range of extension and flexion)</w:t>
      </w:r>
      <w:r w:rsidR="004A4391">
        <w:rPr>
          <w:rFonts w:cs="Times New Roman"/>
          <w:szCs w:val="24"/>
        </w:rPr>
        <w:t xml:space="preserve"> </w:t>
      </w:r>
      <w:r w:rsidR="009229DE" w:rsidRPr="004A4391">
        <w:rPr>
          <w:rFonts w:cs="Times New Roman"/>
          <w:szCs w:val="24"/>
        </w:rPr>
        <w:t>and thumb (5</w:t>
      </w:r>
      <w:r w:rsidR="004A4391" w:rsidRPr="004A4391">
        <w:rPr>
          <w:rFonts w:cs="Times New Roman"/>
          <w:szCs w:val="24"/>
        </w:rPr>
        <w:t xml:space="preserve"> to </w:t>
      </w:r>
      <w:r w:rsidR="009229DE" w:rsidRPr="004A4391">
        <w:rPr>
          <w:rFonts w:cs="Times New Roman"/>
          <w:szCs w:val="24"/>
        </w:rPr>
        <w:t>25 degrees of MCP fl</w:t>
      </w:r>
      <w:r w:rsidR="004A4391" w:rsidRPr="004A4391">
        <w:rPr>
          <w:rFonts w:cs="Times New Roman"/>
          <w:szCs w:val="24"/>
        </w:rPr>
        <w:t>exion</w:t>
      </w:r>
      <w:r w:rsidR="009229DE" w:rsidRPr="004A4391">
        <w:rPr>
          <w:rFonts w:cs="Times New Roman"/>
          <w:szCs w:val="24"/>
        </w:rPr>
        <w:t xml:space="preserve"> </w:t>
      </w:r>
      <w:r w:rsidR="004A4391" w:rsidRPr="004A4391">
        <w:rPr>
          <w:rFonts w:cs="Times New Roman"/>
          <w:szCs w:val="24"/>
        </w:rPr>
        <w:t xml:space="preserve">and </w:t>
      </w:r>
      <w:r w:rsidR="009229DE" w:rsidRPr="004A4391">
        <w:rPr>
          <w:rFonts w:cs="Times New Roman"/>
          <w:szCs w:val="24"/>
        </w:rPr>
        <w:t>45</w:t>
      </w:r>
      <w:r w:rsidR="004A4391" w:rsidRPr="004A4391">
        <w:rPr>
          <w:rFonts w:cs="Times New Roman"/>
          <w:szCs w:val="24"/>
        </w:rPr>
        <w:t xml:space="preserve"> to </w:t>
      </w:r>
      <w:r w:rsidR="009229DE" w:rsidRPr="004A4391">
        <w:rPr>
          <w:rFonts w:cs="Times New Roman"/>
          <w:szCs w:val="24"/>
        </w:rPr>
        <w:t>55 degrees of TMC palmar abduction and opposition to</w:t>
      </w:r>
      <w:r w:rsidR="004A4391" w:rsidRPr="004A4391">
        <w:rPr>
          <w:rFonts w:cs="Times New Roman"/>
          <w:szCs w:val="24"/>
        </w:rPr>
        <w:t xml:space="preserve"> </w:t>
      </w:r>
      <w:r w:rsidR="009229DE" w:rsidRPr="004A4391">
        <w:rPr>
          <w:rFonts w:cs="Times New Roman"/>
          <w:szCs w:val="24"/>
        </w:rPr>
        <w:t>all finger tips) active motion.</w:t>
      </w:r>
    </w:p>
    <w:p w:rsidR="009229DE" w:rsidRDefault="009229DE" w:rsidP="009229DE">
      <w:pPr>
        <w:pStyle w:val="ListParagraph"/>
        <w:numPr>
          <w:ilvl w:val="0"/>
          <w:numId w:val="2"/>
        </w:numPr>
        <w:spacing w:after="200"/>
        <w:rPr>
          <w:rFonts w:cs="Times New Roman"/>
          <w:szCs w:val="24"/>
        </w:rPr>
      </w:pPr>
      <w:r w:rsidRPr="009229DE">
        <w:rPr>
          <w:rFonts w:cs="Times New Roman"/>
          <w:szCs w:val="24"/>
        </w:rPr>
        <w:t>The rigid orthosis immobilized</w:t>
      </w:r>
      <w:r>
        <w:rPr>
          <w:rFonts w:cs="Times New Roman"/>
          <w:szCs w:val="24"/>
        </w:rPr>
        <w:t xml:space="preserve"> </w:t>
      </w:r>
      <w:r w:rsidRPr="009229DE">
        <w:rPr>
          <w:rFonts w:cs="Times New Roman"/>
          <w:szCs w:val="24"/>
        </w:rPr>
        <w:t xml:space="preserve">the thumb from the interphalangeal joint to include the distal two thirds of the forearm. </w:t>
      </w:r>
      <w:r>
        <w:rPr>
          <w:rFonts w:cs="Times New Roman"/>
          <w:szCs w:val="24"/>
        </w:rPr>
        <w:t xml:space="preserve">It </w:t>
      </w:r>
      <w:r w:rsidRPr="009229DE">
        <w:rPr>
          <w:rFonts w:cs="Times New Roman"/>
          <w:szCs w:val="24"/>
        </w:rPr>
        <w:t>was fabricated</w:t>
      </w:r>
      <w:r>
        <w:rPr>
          <w:rFonts w:cs="Times New Roman"/>
          <w:szCs w:val="24"/>
        </w:rPr>
        <w:t xml:space="preserve"> </w:t>
      </w:r>
      <w:r w:rsidRPr="009229DE">
        <w:rPr>
          <w:rFonts w:cs="Times New Roman"/>
          <w:szCs w:val="24"/>
        </w:rPr>
        <w:t>from 2.4 mm thermoplastic and included the thumb metacarpophalangeal</w:t>
      </w:r>
      <w:r>
        <w:rPr>
          <w:rFonts w:cs="Times New Roman"/>
          <w:szCs w:val="24"/>
        </w:rPr>
        <w:t xml:space="preserve"> (MCP) and TMC joints</w:t>
      </w:r>
      <w:r w:rsidRPr="009229DE">
        <w:rPr>
          <w:rFonts w:cs="Times New Roman"/>
          <w:szCs w:val="24"/>
        </w:rPr>
        <w:t xml:space="preserve"> as well as the wrist</w:t>
      </w:r>
      <w:r>
        <w:rPr>
          <w:rFonts w:cs="Times New Roman"/>
          <w:szCs w:val="24"/>
        </w:rPr>
        <w:t xml:space="preserve"> </w:t>
      </w:r>
      <w:r w:rsidRPr="009229DE">
        <w:rPr>
          <w:rFonts w:cs="Times New Roman"/>
          <w:szCs w:val="24"/>
        </w:rPr>
        <w:t>(the interphalangeal joint</w:t>
      </w:r>
      <w:r>
        <w:rPr>
          <w:rFonts w:cs="Times New Roman"/>
          <w:szCs w:val="24"/>
        </w:rPr>
        <w:t xml:space="preserve"> </w:t>
      </w:r>
      <w:r w:rsidRPr="009229DE">
        <w:rPr>
          <w:rFonts w:cs="Times New Roman"/>
          <w:szCs w:val="24"/>
        </w:rPr>
        <w:t>was left free)</w:t>
      </w:r>
      <w:r w:rsidRPr="009229DE">
        <w:rPr>
          <w:rFonts w:cs="Times New Roman"/>
          <w:szCs w:val="24"/>
        </w:rPr>
        <w:t>. The thumb was in a palmar</w:t>
      </w:r>
      <w:r>
        <w:rPr>
          <w:rFonts w:cs="Times New Roman"/>
          <w:szCs w:val="24"/>
        </w:rPr>
        <w:t xml:space="preserve"> </w:t>
      </w:r>
      <w:r w:rsidRPr="009229DE">
        <w:rPr>
          <w:rFonts w:cs="Times New Roman"/>
          <w:szCs w:val="24"/>
        </w:rPr>
        <w:t xml:space="preserve">abducted position and </w:t>
      </w:r>
      <w:r>
        <w:rPr>
          <w:rFonts w:cs="Times New Roman"/>
          <w:szCs w:val="24"/>
        </w:rPr>
        <w:t xml:space="preserve">the </w:t>
      </w:r>
      <w:r w:rsidRPr="009229DE">
        <w:rPr>
          <w:rFonts w:cs="Times New Roman"/>
          <w:szCs w:val="24"/>
        </w:rPr>
        <w:t xml:space="preserve">wrist </w:t>
      </w:r>
      <w:r>
        <w:rPr>
          <w:rFonts w:cs="Times New Roman"/>
          <w:szCs w:val="24"/>
        </w:rPr>
        <w:t xml:space="preserve">was </w:t>
      </w:r>
      <w:r w:rsidRPr="009229DE">
        <w:rPr>
          <w:rFonts w:cs="Times New Roman"/>
          <w:szCs w:val="24"/>
        </w:rPr>
        <w:t>in approximately 30</w:t>
      </w:r>
      <w:r w:rsidRPr="009229DE">
        <w:rPr>
          <w:rFonts w:cs="Times New Roman"/>
          <w:szCs w:val="24"/>
          <w:vertAlign w:val="superscript"/>
        </w:rPr>
        <w:t>0</w:t>
      </w:r>
      <w:r>
        <w:rPr>
          <w:rFonts w:cs="Times New Roman"/>
          <w:szCs w:val="24"/>
        </w:rPr>
        <w:t xml:space="preserve"> </w:t>
      </w:r>
      <w:proofErr w:type="gramStart"/>
      <w:r w:rsidRPr="009229DE">
        <w:rPr>
          <w:rFonts w:cs="Times New Roman"/>
          <w:szCs w:val="24"/>
        </w:rPr>
        <w:t>extension</w:t>
      </w:r>
      <w:proofErr w:type="gramEnd"/>
      <w:r>
        <w:rPr>
          <w:rFonts w:cs="Times New Roman"/>
          <w:szCs w:val="24"/>
        </w:rPr>
        <w:t>.</w:t>
      </w:r>
      <w:r w:rsidRPr="009229DE">
        <w:rPr>
          <w:rFonts w:cs="Times New Roman"/>
          <w:szCs w:val="24"/>
        </w:rPr>
        <w:t xml:space="preserve"> </w:t>
      </w:r>
      <w:r>
        <w:rPr>
          <w:rFonts w:cs="Times New Roman"/>
          <w:szCs w:val="24"/>
        </w:rPr>
        <w:t xml:space="preserve">It did </w:t>
      </w:r>
      <w:r w:rsidRPr="009229DE">
        <w:rPr>
          <w:rFonts w:cs="Times New Roman"/>
          <w:szCs w:val="24"/>
        </w:rPr>
        <w:t>not allow wrist or thumb TMC and</w:t>
      </w:r>
      <w:r>
        <w:rPr>
          <w:rFonts w:cs="Times New Roman"/>
          <w:szCs w:val="24"/>
        </w:rPr>
        <w:t xml:space="preserve"> MCP joint motion.</w:t>
      </w:r>
      <w:r w:rsidRPr="009229DE">
        <w:rPr>
          <w:rFonts w:cs="Times New Roman"/>
          <w:szCs w:val="24"/>
        </w:rPr>
        <w:t xml:space="preserve"> </w:t>
      </w:r>
    </w:p>
    <w:p w:rsidR="004A4391" w:rsidRDefault="004A4391" w:rsidP="00DA5D90">
      <w:pPr>
        <w:pStyle w:val="ListParagraph"/>
        <w:numPr>
          <w:ilvl w:val="0"/>
          <w:numId w:val="2"/>
        </w:numPr>
        <w:spacing w:after="200"/>
        <w:rPr>
          <w:rFonts w:cs="Times New Roman"/>
          <w:szCs w:val="24"/>
        </w:rPr>
      </w:pPr>
      <w:r w:rsidRPr="004A4391">
        <w:rPr>
          <w:rFonts w:cs="Times New Roman"/>
          <w:szCs w:val="24"/>
        </w:rPr>
        <w:t>All patients underwent</w:t>
      </w:r>
      <w:r>
        <w:rPr>
          <w:rFonts w:cs="Times New Roman"/>
          <w:szCs w:val="24"/>
        </w:rPr>
        <w:t xml:space="preserve"> </w:t>
      </w:r>
      <w:r w:rsidRPr="004A4391">
        <w:rPr>
          <w:rFonts w:cs="Times New Roman"/>
          <w:szCs w:val="24"/>
        </w:rPr>
        <w:t>the same active exercise program regardless of group allocation</w:t>
      </w:r>
      <w:r>
        <w:rPr>
          <w:rFonts w:cs="Times New Roman"/>
          <w:szCs w:val="24"/>
        </w:rPr>
        <w:t xml:space="preserve"> starting 10 to14 days after surgery.</w:t>
      </w:r>
      <w:r w:rsidRPr="004A4391">
        <w:rPr>
          <w:rFonts w:cs="Times New Roman"/>
          <w:szCs w:val="24"/>
        </w:rPr>
        <w:t xml:space="preserve"> All</w:t>
      </w:r>
      <w:r>
        <w:rPr>
          <w:rFonts w:cs="Times New Roman"/>
          <w:szCs w:val="24"/>
        </w:rPr>
        <w:t xml:space="preserve"> </w:t>
      </w:r>
      <w:r w:rsidRPr="004A4391">
        <w:rPr>
          <w:rFonts w:cs="Times New Roman"/>
          <w:szCs w:val="24"/>
        </w:rPr>
        <w:t>patients were instruct</w:t>
      </w:r>
      <w:r>
        <w:rPr>
          <w:rFonts w:cs="Times New Roman"/>
          <w:szCs w:val="24"/>
        </w:rPr>
        <w:t>ed to complete each exercise 10</w:t>
      </w:r>
      <w:r w:rsidRPr="004A4391">
        <w:rPr>
          <w:rFonts w:cs="Times New Roman"/>
          <w:szCs w:val="24"/>
        </w:rPr>
        <w:t xml:space="preserve"> times, </w:t>
      </w:r>
      <w:r>
        <w:rPr>
          <w:rFonts w:cs="Times New Roman"/>
          <w:szCs w:val="24"/>
        </w:rPr>
        <w:t>4 times a day. At week 2</w:t>
      </w:r>
      <w:r w:rsidRPr="004A4391">
        <w:rPr>
          <w:rFonts w:cs="Times New Roman"/>
          <w:szCs w:val="24"/>
        </w:rPr>
        <w:t>, thumb interphalangeal flexion and</w:t>
      </w:r>
      <w:r>
        <w:rPr>
          <w:rFonts w:cs="Times New Roman"/>
          <w:szCs w:val="24"/>
        </w:rPr>
        <w:t xml:space="preserve"> </w:t>
      </w:r>
      <w:r w:rsidRPr="004A4391">
        <w:rPr>
          <w:rFonts w:cs="Times New Roman"/>
          <w:szCs w:val="24"/>
        </w:rPr>
        <w:t>extension in the orthosis, and wrist flexion and extension out of the</w:t>
      </w:r>
      <w:r>
        <w:rPr>
          <w:rFonts w:cs="Times New Roman"/>
          <w:szCs w:val="24"/>
        </w:rPr>
        <w:t xml:space="preserve"> </w:t>
      </w:r>
      <w:r w:rsidRPr="004A4391">
        <w:rPr>
          <w:rFonts w:cs="Times New Roman"/>
          <w:szCs w:val="24"/>
        </w:rPr>
        <w:t>orthosis was</w:t>
      </w:r>
      <w:r>
        <w:rPr>
          <w:rFonts w:cs="Times New Roman"/>
          <w:szCs w:val="24"/>
        </w:rPr>
        <w:t xml:space="preserve"> started</w:t>
      </w:r>
      <w:r w:rsidRPr="004A4391">
        <w:rPr>
          <w:rFonts w:cs="Times New Roman"/>
          <w:szCs w:val="24"/>
        </w:rPr>
        <w:t>.</w:t>
      </w:r>
      <w:r>
        <w:rPr>
          <w:rFonts w:cs="Times New Roman"/>
          <w:szCs w:val="24"/>
        </w:rPr>
        <w:t xml:space="preserve"> Flexion and not hyperextension were emphasized</w:t>
      </w:r>
      <w:r w:rsidR="00DA5D90">
        <w:rPr>
          <w:rFonts w:cs="Times New Roman"/>
          <w:szCs w:val="24"/>
        </w:rPr>
        <w:t>. At week 4, a</w:t>
      </w:r>
      <w:r w:rsidR="00DA5D90" w:rsidRPr="00DA5D90">
        <w:rPr>
          <w:rFonts w:cs="Times New Roman"/>
          <w:szCs w:val="24"/>
        </w:rPr>
        <w:t>ll patients were</w:t>
      </w:r>
      <w:r w:rsidR="00DA5D90">
        <w:rPr>
          <w:rFonts w:cs="Times New Roman"/>
          <w:szCs w:val="24"/>
        </w:rPr>
        <w:t xml:space="preserve"> </w:t>
      </w:r>
      <w:r w:rsidR="00DA5D90" w:rsidRPr="00DA5D90">
        <w:rPr>
          <w:rFonts w:cs="Times New Roman"/>
          <w:szCs w:val="24"/>
        </w:rPr>
        <w:t>advised to use their hand for light</w:t>
      </w:r>
      <w:r w:rsidR="00DA5D90">
        <w:rPr>
          <w:rFonts w:cs="Times New Roman"/>
          <w:szCs w:val="24"/>
        </w:rPr>
        <w:t>,</w:t>
      </w:r>
      <w:r w:rsidR="00DA5D90" w:rsidRPr="00DA5D90">
        <w:rPr>
          <w:rFonts w:cs="Times New Roman"/>
          <w:szCs w:val="24"/>
        </w:rPr>
        <w:t xml:space="preserve"> pain free activities with the orthosis on as tolerated.</w:t>
      </w:r>
      <w:r w:rsidR="00DA5D90">
        <w:rPr>
          <w:rFonts w:cs="Times New Roman"/>
          <w:szCs w:val="24"/>
        </w:rPr>
        <w:t xml:space="preserve"> At 6</w:t>
      </w:r>
      <w:r w:rsidR="00DA5D90" w:rsidRPr="00DA5D90">
        <w:rPr>
          <w:rFonts w:cs="Times New Roman"/>
          <w:szCs w:val="24"/>
        </w:rPr>
        <w:t xml:space="preserve"> weeks, a weaning period from the orthosis </w:t>
      </w:r>
      <w:r w:rsidR="00DA5D90">
        <w:rPr>
          <w:rFonts w:cs="Times New Roman"/>
          <w:szCs w:val="24"/>
        </w:rPr>
        <w:t xml:space="preserve">for light activities and strengthening exercises were started </w:t>
      </w:r>
      <w:r w:rsidR="00DA5D90" w:rsidRPr="00DA5D90">
        <w:rPr>
          <w:rFonts w:cs="Times New Roman"/>
          <w:szCs w:val="24"/>
        </w:rPr>
        <w:t>for both groups.</w:t>
      </w:r>
      <w:r w:rsidR="00DA5D90">
        <w:rPr>
          <w:rFonts w:cs="Times New Roman"/>
          <w:szCs w:val="24"/>
        </w:rPr>
        <w:t xml:space="preserve"> At 12 weeks, moderate to heavy activity was begun. </w:t>
      </w:r>
      <w:r w:rsidR="00DA5D90" w:rsidRPr="00DA5D90">
        <w:rPr>
          <w:rFonts w:cs="Times New Roman"/>
          <w:szCs w:val="24"/>
        </w:rPr>
        <w:t xml:space="preserve">Both groups </w:t>
      </w:r>
      <w:r w:rsidR="00DA5D90">
        <w:rPr>
          <w:rFonts w:cs="Times New Roman"/>
          <w:szCs w:val="24"/>
        </w:rPr>
        <w:t xml:space="preserve">had </w:t>
      </w:r>
      <w:r w:rsidR="00DA5D90" w:rsidRPr="00DA5D90">
        <w:rPr>
          <w:rFonts w:cs="Times New Roman"/>
          <w:szCs w:val="24"/>
        </w:rPr>
        <w:t xml:space="preserve">weekly visits </w:t>
      </w:r>
      <w:r w:rsidR="00DA5D90" w:rsidRPr="00DA5D90">
        <w:rPr>
          <w:rFonts w:cs="Times New Roman"/>
          <w:szCs w:val="24"/>
        </w:rPr>
        <w:t xml:space="preserve">for the first </w:t>
      </w:r>
      <w:r w:rsidR="00DA5D90">
        <w:rPr>
          <w:rFonts w:cs="Times New Roman"/>
          <w:szCs w:val="24"/>
        </w:rPr>
        <w:t xml:space="preserve">4 </w:t>
      </w:r>
      <w:r w:rsidR="00DA5D90" w:rsidRPr="00DA5D90">
        <w:rPr>
          <w:rFonts w:cs="Times New Roman"/>
          <w:szCs w:val="24"/>
        </w:rPr>
        <w:t>weeks</w:t>
      </w:r>
      <w:r w:rsidR="00DA5D90" w:rsidRPr="00DA5D90">
        <w:rPr>
          <w:rFonts w:cs="Times New Roman"/>
          <w:szCs w:val="24"/>
        </w:rPr>
        <w:t xml:space="preserve"> to hand therapy for orthosis </w:t>
      </w:r>
      <w:r w:rsidR="00DA5D90" w:rsidRPr="00DA5D90">
        <w:rPr>
          <w:rFonts w:cs="Times New Roman"/>
          <w:szCs w:val="24"/>
        </w:rPr>
        <w:t xml:space="preserve">and exercise program </w:t>
      </w:r>
      <w:r w:rsidR="00DA5D90" w:rsidRPr="00DA5D90">
        <w:rPr>
          <w:rFonts w:cs="Times New Roman"/>
          <w:szCs w:val="24"/>
        </w:rPr>
        <w:t>monitoring</w:t>
      </w:r>
      <w:r w:rsidR="00DA5D90">
        <w:rPr>
          <w:rFonts w:cs="Times New Roman"/>
          <w:szCs w:val="24"/>
        </w:rPr>
        <w:t>.</w:t>
      </w:r>
    </w:p>
    <w:p w:rsidR="00755D76" w:rsidRDefault="00EE237A" w:rsidP="00EE237A">
      <w:pPr>
        <w:pStyle w:val="ListParagraph"/>
        <w:numPr>
          <w:ilvl w:val="0"/>
          <w:numId w:val="2"/>
        </w:numPr>
        <w:spacing w:after="200"/>
        <w:rPr>
          <w:rFonts w:cs="Times New Roman"/>
          <w:szCs w:val="24"/>
        </w:rPr>
      </w:pPr>
      <w:r w:rsidRPr="00EE237A">
        <w:rPr>
          <w:rFonts w:cs="Times New Roman"/>
          <w:szCs w:val="24"/>
        </w:rPr>
        <w:t xml:space="preserve">The assessor of outcome measures was blinded to treatment group allocation. </w:t>
      </w:r>
      <w:r w:rsidR="00755D76" w:rsidRPr="00755D76">
        <w:rPr>
          <w:rFonts w:cs="Times New Roman"/>
          <w:szCs w:val="24"/>
        </w:rPr>
        <w:t>Patients could not be blinded to their treatment assignments.</w:t>
      </w:r>
    </w:p>
    <w:p w:rsidR="00CB6EA7" w:rsidRDefault="00EE237A" w:rsidP="00EE237A">
      <w:pPr>
        <w:pStyle w:val="ListParagraph"/>
        <w:numPr>
          <w:ilvl w:val="0"/>
          <w:numId w:val="2"/>
        </w:numPr>
        <w:spacing w:after="200"/>
        <w:rPr>
          <w:rFonts w:cs="Times New Roman"/>
          <w:szCs w:val="24"/>
        </w:rPr>
      </w:pPr>
      <w:r w:rsidRPr="00EE237A">
        <w:rPr>
          <w:rFonts w:cs="Times New Roman"/>
          <w:szCs w:val="24"/>
        </w:rPr>
        <w:t xml:space="preserve">The primary outcome measure was the Patient Rated Wrist and Hand Evaluation (PRWHE). Secondary outcome measures included the Michigan Hand Questionnaire (MHQ), range of motion, and pinch strength.  The MHQ is a 37-item questionnaire assessing </w:t>
      </w:r>
      <w:r>
        <w:rPr>
          <w:rFonts w:cs="Times New Roman"/>
          <w:szCs w:val="24"/>
        </w:rPr>
        <w:t xml:space="preserve">function, pain, and activities of daily living that are </w:t>
      </w:r>
      <w:r w:rsidRPr="00EE237A">
        <w:rPr>
          <w:rFonts w:cs="Times New Roman"/>
          <w:szCs w:val="24"/>
        </w:rPr>
        <w:t>important to patients with hand disorders</w:t>
      </w:r>
      <w:r>
        <w:rPr>
          <w:rFonts w:cs="Times New Roman"/>
          <w:szCs w:val="24"/>
        </w:rPr>
        <w:t>.</w:t>
      </w:r>
      <w:r w:rsidRPr="00EE237A">
        <w:rPr>
          <w:rFonts w:cs="Times New Roman"/>
          <w:szCs w:val="24"/>
        </w:rPr>
        <w:t xml:space="preserve"> Measurements were taken at 4 time points; pre-operatively, at 6 weeks, at 3 months, and one year.</w:t>
      </w:r>
    </w:p>
    <w:p w:rsidR="00755D76" w:rsidRPr="00E43F30" w:rsidRDefault="00E43F30" w:rsidP="00E43F30">
      <w:pPr>
        <w:pStyle w:val="ListParagraph"/>
        <w:numPr>
          <w:ilvl w:val="0"/>
          <w:numId w:val="2"/>
        </w:numPr>
        <w:spacing w:after="200"/>
        <w:rPr>
          <w:rFonts w:cs="Times New Roman"/>
          <w:szCs w:val="24"/>
        </w:rPr>
      </w:pPr>
      <w:r w:rsidRPr="00E43F30">
        <w:rPr>
          <w:szCs w:val="24"/>
        </w:rPr>
        <w:t xml:space="preserve">Sample size power calculations were conducted. </w:t>
      </w:r>
      <w:r w:rsidRPr="00E43F30">
        <w:rPr>
          <w:rFonts w:cs="Times New Roman"/>
          <w:szCs w:val="24"/>
        </w:rPr>
        <w:t xml:space="preserve">Twenty-eight participants were required per group to provide 80% power to detect a difference of 15 points on the PRWHE. For the primary outcome (PRWHE at one year), a </w:t>
      </w:r>
      <w:r w:rsidRPr="00E43F30">
        <w:rPr>
          <w:rFonts w:cs="Times New Roman"/>
          <w:i/>
          <w:szCs w:val="24"/>
        </w:rPr>
        <w:t>P</w:t>
      </w:r>
      <w:r w:rsidRPr="00E43F30">
        <w:rPr>
          <w:rFonts w:cs="Times New Roman"/>
          <w:szCs w:val="24"/>
        </w:rPr>
        <w:t xml:space="preserve"> value of &lt;0.05 was considered statistically significant. Intention-to-treat analyses were performed.</w:t>
      </w:r>
    </w:p>
    <w:p w:rsidR="00315686" w:rsidRDefault="000A6DB0" w:rsidP="00315686">
      <w:pPr>
        <w:spacing w:after="200"/>
        <w:ind w:left="0"/>
        <w:rPr>
          <w:rFonts w:cs="Times New Roman"/>
          <w:b/>
          <w:szCs w:val="24"/>
        </w:rPr>
      </w:pPr>
      <w:r w:rsidRPr="00315686">
        <w:rPr>
          <w:rFonts w:cs="Times New Roman"/>
          <w:b/>
          <w:szCs w:val="24"/>
        </w:rPr>
        <w:t>Results</w:t>
      </w:r>
      <w:r w:rsidR="00C57626" w:rsidRPr="00315686">
        <w:rPr>
          <w:rFonts w:cs="Times New Roman"/>
          <w:b/>
          <w:szCs w:val="24"/>
        </w:rPr>
        <w:t>:</w:t>
      </w:r>
    </w:p>
    <w:p w:rsidR="0010636C" w:rsidRDefault="0010636C" w:rsidP="0010636C">
      <w:pPr>
        <w:pStyle w:val="ListParagraph"/>
        <w:numPr>
          <w:ilvl w:val="0"/>
          <w:numId w:val="14"/>
        </w:numPr>
        <w:spacing w:after="200"/>
        <w:rPr>
          <w:rFonts w:cs="Times New Roman"/>
          <w:szCs w:val="24"/>
        </w:rPr>
      </w:pPr>
      <w:r>
        <w:rPr>
          <w:rFonts w:cs="Times New Roman"/>
          <w:szCs w:val="24"/>
        </w:rPr>
        <w:t>A total of 53 patients completed the study. T</w:t>
      </w:r>
      <w:r w:rsidRPr="0010636C">
        <w:rPr>
          <w:rFonts w:cs="Times New Roman"/>
          <w:szCs w:val="24"/>
        </w:rPr>
        <w:t>hree were lost to follow</w:t>
      </w:r>
      <w:r>
        <w:rPr>
          <w:rFonts w:cs="Times New Roman"/>
          <w:szCs w:val="24"/>
        </w:rPr>
        <w:t xml:space="preserve"> u</w:t>
      </w:r>
      <w:r w:rsidRPr="0010636C">
        <w:rPr>
          <w:rFonts w:cs="Times New Roman"/>
          <w:szCs w:val="24"/>
        </w:rPr>
        <w:t>p.</w:t>
      </w:r>
      <w:r>
        <w:rPr>
          <w:rFonts w:cs="Times New Roman"/>
          <w:szCs w:val="24"/>
        </w:rPr>
        <w:t xml:space="preserve"> Twenty-six subjects were in the </w:t>
      </w:r>
      <w:r w:rsidRPr="0010636C">
        <w:rPr>
          <w:rFonts w:cs="Times New Roman"/>
          <w:szCs w:val="24"/>
        </w:rPr>
        <w:t xml:space="preserve">rigid orthotic </w:t>
      </w:r>
      <w:r>
        <w:rPr>
          <w:rFonts w:cs="Times New Roman"/>
          <w:szCs w:val="24"/>
        </w:rPr>
        <w:t xml:space="preserve">group </w:t>
      </w:r>
      <w:r w:rsidRPr="0010636C">
        <w:rPr>
          <w:rFonts w:cs="Times New Roman"/>
          <w:szCs w:val="24"/>
        </w:rPr>
        <w:t xml:space="preserve">and 27 </w:t>
      </w:r>
      <w:r>
        <w:rPr>
          <w:rFonts w:cs="Times New Roman"/>
          <w:szCs w:val="24"/>
        </w:rPr>
        <w:t xml:space="preserve">were in </w:t>
      </w:r>
      <w:r w:rsidRPr="0010636C">
        <w:rPr>
          <w:rFonts w:cs="Times New Roman"/>
          <w:szCs w:val="24"/>
        </w:rPr>
        <w:t>the semi-rigid</w:t>
      </w:r>
      <w:r>
        <w:rPr>
          <w:rFonts w:cs="Times New Roman"/>
          <w:szCs w:val="24"/>
        </w:rPr>
        <w:t xml:space="preserve"> o</w:t>
      </w:r>
      <w:r w:rsidRPr="0010636C">
        <w:rPr>
          <w:rFonts w:cs="Times New Roman"/>
          <w:szCs w:val="24"/>
        </w:rPr>
        <w:t>rthotic group. All participants had experienced symptoms</w:t>
      </w:r>
      <w:r>
        <w:rPr>
          <w:rFonts w:cs="Times New Roman"/>
          <w:szCs w:val="24"/>
        </w:rPr>
        <w:t xml:space="preserve"> </w:t>
      </w:r>
      <w:r w:rsidRPr="0010636C">
        <w:rPr>
          <w:rFonts w:cs="Times New Roman"/>
          <w:szCs w:val="24"/>
        </w:rPr>
        <w:t>for 12 months or more prior to surgery.</w:t>
      </w:r>
    </w:p>
    <w:p w:rsidR="00C53F12" w:rsidRPr="00C53F12" w:rsidRDefault="00C53F12" w:rsidP="00C53F12">
      <w:pPr>
        <w:pStyle w:val="ListParagraph"/>
        <w:numPr>
          <w:ilvl w:val="0"/>
          <w:numId w:val="14"/>
        </w:numPr>
        <w:spacing w:after="200"/>
        <w:rPr>
          <w:rFonts w:cs="Times New Roman"/>
          <w:szCs w:val="24"/>
        </w:rPr>
      </w:pPr>
      <w:r>
        <w:rPr>
          <w:rFonts w:cs="Times New Roman"/>
          <w:szCs w:val="24"/>
        </w:rPr>
        <w:t>Only 3</w:t>
      </w:r>
      <w:r w:rsidRPr="00C53F12">
        <w:rPr>
          <w:rFonts w:cs="Times New Roman"/>
          <w:szCs w:val="24"/>
        </w:rPr>
        <w:t xml:space="preserve"> participants underwent trapeziectomy alone</w:t>
      </w:r>
      <w:r>
        <w:rPr>
          <w:rFonts w:cs="Times New Roman"/>
          <w:szCs w:val="24"/>
        </w:rPr>
        <w:t xml:space="preserve"> with t</w:t>
      </w:r>
      <w:r w:rsidRPr="00C53F12">
        <w:rPr>
          <w:rFonts w:cs="Times New Roman"/>
          <w:szCs w:val="24"/>
        </w:rPr>
        <w:t>he</w:t>
      </w:r>
      <w:r>
        <w:rPr>
          <w:rFonts w:cs="Times New Roman"/>
          <w:szCs w:val="24"/>
        </w:rPr>
        <w:t xml:space="preserve"> remaining 53 patients undergoing </w:t>
      </w:r>
      <w:r w:rsidRPr="00C53F12">
        <w:rPr>
          <w:rFonts w:cs="Times New Roman"/>
          <w:szCs w:val="24"/>
        </w:rPr>
        <w:t>trapeziectomy with ligament</w:t>
      </w:r>
      <w:r>
        <w:rPr>
          <w:rFonts w:cs="Times New Roman"/>
          <w:szCs w:val="24"/>
        </w:rPr>
        <w:t xml:space="preserve"> </w:t>
      </w:r>
      <w:r w:rsidRPr="00C53F12">
        <w:rPr>
          <w:rFonts w:cs="Times New Roman"/>
          <w:szCs w:val="24"/>
        </w:rPr>
        <w:t>reconstruction tendon interposition.</w:t>
      </w:r>
    </w:p>
    <w:p w:rsidR="00C53F12" w:rsidRDefault="00C53F12" w:rsidP="00C53F12">
      <w:pPr>
        <w:pStyle w:val="ListParagraph"/>
        <w:numPr>
          <w:ilvl w:val="0"/>
          <w:numId w:val="14"/>
        </w:numPr>
        <w:spacing w:after="200"/>
        <w:rPr>
          <w:rFonts w:cs="Times New Roman"/>
          <w:szCs w:val="24"/>
        </w:rPr>
      </w:pPr>
      <w:r>
        <w:rPr>
          <w:rFonts w:cs="Times New Roman"/>
          <w:szCs w:val="24"/>
        </w:rPr>
        <w:t>P</w:t>
      </w:r>
      <w:r w:rsidRPr="00C53F12">
        <w:rPr>
          <w:rFonts w:cs="Times New Roman"/>
          <w:szCs w:val="24"/>
        </w:rPr>
        <w:t xml:space="preserve">articipants allocated to the semi-rigid orthoses </w:t>
      </w:r>
      <w:r>
        <w:rPr>
          <w:rFonts w:cs="Times New Roman"/>
          <w:szCs w:val="24"/>
        </w:rPr>
        <w:t xml:space="preserve">group </w:t>
      </w:r>
      <w:r w:rsidRPr="00C53F12">
        <w:rPr>
          <w:rFonts w:cs="Times New Roman"/>
          <w:szCs w:val="24"/>
        </w:rPr>
        <w:t>had somewhat</w:t>
      </w:r>
      <w:r>
        <w:rPr>
          <w:rFonts w:cs="Times New Roman"/>
          <w:szCs w:val="24"/>
        </w:rPr>
        <w:t xml:space="preserve"> </w:t>
      </w:r>
      <w:r w:rsidRPr="00C53F12">
        <w:rPr>
          <w:rFonts w:cs="Times New Roman"/>
          <w:szCs w:val="24"/>
        </w:rPr>
        <w:t>higher baseline PRWHE scores (indicating greater pain and</w:t>
      </w:r>
      <w:r>
        <w:rPr>
          <w:rFonts w:cs="Times New Roman"/>
          <w:szCs w:val="24"/>
        </w:rPr>
        <w:t xml:space="preserve"> </w:t>
      </w:r>
      <w:r w:rsidRPr="00C53F12">
        <w:rPr>
          <w:rFonts w:cs="Times New Roman"/>
          <w:szCs w:val="24"/>
        </w:rPr>
        <w:t>disability)</w:t>
      </w:r>
      <w:proofErr w:type="gramStart"/>
      <w:r w:rsidRPr="00C53F12">
        <w:rPr>
          <w:rFonts w:cs="Times New Roman"/>
          <w:szCs w:val="24"/>
        </w:rPr>
        <w:t>,</w:t>
      </w:r>
      <w:proofErr w:type="gramEnd"/>
      <w:r w:rsidRPr="00C53F12">
        <w:rPr>
          <w:rFonts w:cs="Times New Roman"/>
          <w:szCs w:val="24"/>
        </w:rPr>
        <w:t xml:space="preserve"> however they also had higher pinch strengths (greater</w:t>
      </w:r>
      <w:r>
        <w:rPr>
          <w:rFonts w:cs="Times New Roman"/>
          <w:szCs w:val="24"/>
        </w:rPr>
        <w:t xml:space="preserve"> </w:t>
      </w:r>
      <w:r w:rsidRPr="00C53F12">
        <w:rPr>
          <w:rFonts w:cs="Times New Roman"/>
          <w:szCs w:val="24"/>
        </w:rPr>
        <w:t>strength) than those in the rigid orthotic group. The differences in these outcome measures were not statistically significant.</w:t>
      </w:r>
    </w:p>
    <w:p w:rsidR="005D7A71" w:rsidRDefault="005D7A71" w:rsidP="005D7A71">
      <w:pPr>
        <w:pStyle w:val="ListParagraph"/>
        <w:numPr>
          <w:ilvl w:val="0"/>
          <w:numId w:val="14"/>
        </w:numPr>
        <w:spacing w:after="200"/>
        <w:rPr>
          <w:rFonts w:cs="Times New Roman"/>
          <w:szCs w:val="24"/>
        </w:rPr>
      </w:pPr>
      <w:r w:rsidRPr="005D7A71">
        <w:rPr>
          <w:rFonts w:cs="Times New Roman"/>
          <w:szCs w:val="24"/>
        </w:rPr>
        <w:t xml:space="preserve">At one year follow-up, there was no </w:t>
      </w:r>
      <w:r>
        <w:rPr>
          <w:rFonts w:cs="Times New Roman"/>
          <w:szCs w:val="24"/>
        </w:rPr>
        <w:t xml:space="preserve">significant </w:t>
      </w:r>
      <w:r w:rsidRPr="005D7A71">
        <w:rPr>
          <w:rFonts w:cs="Times New Roman"/>
          <w:szCs w:val="24"/>
        </w:rPr>
        <w:t>between-group difference</w:t>
      </w:r>
      <w:r>
        <w:rPr>
          <w:rFonts w:cs="Times New Roman"/>
          <w:szCs w:val="24"/>
        </w:rPr>
        <w:t xml:space="preserve"> </w:t>
      </w:r>
      <w:r w:rsidRPr="005D7A71">
        <w:rPr>
          <w:rFonts w:cs="Times New Roman"/>
          <w:szCs w:val="24"/>
        </w:rPr>
        <w:t xml:space="preserve">in the primary outcome of total PRWHE score (0.47, 95% CI </w:t>
      </w:r>
      <w:r>
        <w:rPr>
          <w:rFonts w:cs="Times New Roman"/>
          <w:szCs w:val="24"/>
        </w:rPr>
        <w:t>-</w:t>
      </w:r>
      <w:r w:rsidRPr="005D7A71">
        <w:rPr>
          <w:rFonts w:cs="Times New Roman"/>
          <w:szCs w:val="24"/>
        </w:rPr>
        <w:t>11.5 to12.4).</w:t>
      </w:r>
      <w:r>
        <w:rPr>
          <w:rFonts w:cs="Times New Roman"/>
          <w:szCs w:val="24"/>
        </w:rPr>
        <w:t xml:space="preserve"> The confidence intervals did not even contain the MCID of 15 points </w:t>
      </w:r>
      <w:r w:rsidRPr="005D7A71">
        <w:rPr>
          <w:rFonts w:cs="Times New Roman"/>
          <w:szCs w:val="24"/>
        </w:rPr>
        <w:t xml:space="preserve">providing conclusive evidence that the rigid </w:t>
      </w:r>
      <w:r w:rsidRPr="005D7A71">
        <w:rPr>
          <w:rFonts w:cs="Times New Roman"/>
          <w:szCs w:val="24"/>
        </w:rPr>
        <w:lastRenderedPageBreak/>
        <w:t>orthotic</w:t>
      </w:r>
      <w:r>
        <w:rPr>
          <w:rFonts w:cs="Times New Roman"/>
          <w:szCs w:val="24"/>
        </w:rPr>
        <w:t xml:space="preserve"> </w:t>
      </w:r>
      <w:r w:rsidRPr="005D7A71">
        <w:rPr>
          <w:rFonts w:cs="Times New Roman"/>
          <w:szCs w:val="24"/>
        </w:rPr>
        <w:t xml:space="preserve">was no better, or worse, than the semi-rigid orthotic. </w:t>
      </w:r>
      <w:r>
        <w:rPr>
          <w:rFonts w:cs="Times New Roman"/>
          <w:szCs w:val="24"/>
        </w:rPr>
        <w:t xml:space="preserve">There were </w:t>
      </w:r>
      <w:r w:rsidRPr="005D7A71">
        <w:rPr>
          <w:rFonts w:cs="Times New Roman"/>
          <w:szCs w:val="24"/>
        </w:rPr>
        <w:t>no differences between groups for</w:t>
      </w:r>
      <w:r>
        <w:rPr>
          <w:rFonts w:cs="Times New Roman"/>
          <w:szCs w:val="24"/>
        </w:rPr>
        <w:t xml:space="preserve"> the </w:t>
      </w:r>
      <w:r w:rsidRPr="005D7A71">
        <w:rPr>
          <w:rFonts w:cs="Times New Roman"/>
          <w:szCs w:val="24"/>
        </w:rPr>
        <w:t>PRWHE subscales of pain and function</w:t>
      </w:r>
      <w:r>
        <w:rPr>
          <w:rFonts w:cs="Times New Roman"/>
          <w:szCs w:val="24"/>
        </w:rPr>
        <w:t>.</w:t>
      </w:r>
    </w:p>
    <w:p w:rsidR="002678F0" w:rsidRPr="002678F0" w:rsidRDefault="002678F0" w:rsidP="002678F0">
      <w:pPr>
        <w:pStyle w:val="ListParagraph"/>
        <w:numPr>
          <w:ilvl w:val="0"/>
          <w:numId w:val="14"/>
        </w:numPr>
        <w:spacing w:after="200"/>
        <w:rPr>
          <w:szCs w:val="24"/>
        </w:rPr>
      </w:pPr>
      <w:r w:rsidRPr="002678F0">
        <w:rPr>
          <w:szCs w:val="24"/>
        </w:rPr>
        <w:t xml:space="preserve">For the primary outcome of total PRWHE score, within group comparisons showed continuous improvement in function and decreased pain for the participants between the preoperative mean scores, and all follow-up mean scores for both groups. </w:t>
      </w:r>
    </w:p>
    <w:p w:rsidR="005D7A71" w:rsidRDefault="005D7A71" w:rsidP="005D7A71">
      <w:pPr>
        <w:pStyle w:val="ListParagraph"/>
        <w:numPr>
          <w:ilvl w:val="0"/>
          <w:numId w:val="14"/>
        </w:numPr>
        <w:spacing w:after="200"/>
        <w:rPr>
          <w:rFonts w:cs="Times New Roman"/>
          <w:szCs w:val="24"/>
        </w:rPr>
      </w:pPr>
      <w:r w:rsidRPr="005D7A71">
        <w:rPr>
          <w:rFonts w:cs="Times New Roman"/>
          <w:szCs w:val="24"/>
        </w:rPr>
        <w:t xml:space="preserve">For the secondary outcome measures, MHQ total score, </w:t>
      </w:r>
      <w:r>
        <w:rPr>
          <w:rFonts w:cs="Times New Roman"/>
          <w:szCs w:val="24"/>
        </w:rPr>
        <w:t xml:space="preserve">range of motion, </w:t>
      </w:r>
      <w:r w:rsidRPr="005D7A71">
        <w:rPr>
          <w:rFonts w:cs="Times New Roman"/>
          <w:szCs w:val="24"/>
        </w:rPr>
        <w:t xml:space="preserve">and three point pinch grip, </w:t>
      </w:r>
      <w:r>
        <w:rPr>
          <w:rFonts w:cs="Times New Roman"/>
          <w:szCs w:val="24"/>
        </w:rPr>
        <w:t xml:space="preserve">there were </w:t>
      </w:r>
      <w:r w:rsidRPr="005D7A71">
        <w:rPr>
          <w:rFonts w:cs="Times New Roman"/>
          <w:szCs w:val="24"/>
        </w:rPr>
        <w:t>no significant differences between the two orthoses at</w:t>
      </w:r>
      <w:r>
        <w:rPr>
          <w:rFonts w:cs="Times New Roman"/>
          <w:szCs w:val="24"/>
        </w:rPr>
        <w:t xml:space="preserve"> any of the 3 follow-up time points.</w:t>
      </w:r>
    </w:p>
    <w:p w:rsidR="002678F0" w:rsidRPr="002678F0" w:rsidRDefault="002678F0" w:rsidP="002678F0">
      <w:pPr>
        <w:pStyle w:val="ListParagraph"/>
        <w:numPr>
          <w:ilvl w:val="0"/>
          <w:numId w:val="14"/>
        </w:numPr>
        <w:spacing w:after="200"/>
        <w:rPr>
          <w:rFonts w:cs="Times New Roman"/>
          <w:szCs w:val="24"/>
        </w:rPr>
      </w:pPr>
      <w:r w:rsidRPr="002678F0">
        <w:rPr>
          <w:rFonts w:cs="Times New Roman"/>
          <w:szCs w:val="24"/>
        </w:rPr>
        <w:t>Si</w:t>
      </w:r>
      <w:r>
        <w:rPr>
          <w:rFonts w:cs="Times New Roman"/>
          <w:szCs w:val="24"/>
        </w:rPr>
        <w:t>x participants experienced post</w:t>
      </w:r>
      <w:r w:rsidRPr="002678F0">
        <w:rPr>
          <w:rFonts w:cs="Times New Roman"/>
          <w:szCs w:val="24"/>
        </w:rPr>
        <w:t>operative complications, four</w:t>
      </w:r>
      <w:r>
        <w:rPr>
          <w:rFonts w:cs="Times New Roman"/>
          <w:szCs w:val="24"/>
        </w:rPr>
        <w:t xml:space="preserve"> </w:t>
      </w:r>
      <w:r w:rsidRPr="002678F0">
        <w:rPr>
          <w:rFonts w:cs="Times New Roman"/>
          <w:szCs w:val="24"/>
        </w:rPr>
        <w:t>from the rigid and two from the semi-rigid orthotic group.</w:t>
      </w:r>
    </w:p>
    <w:p w:rsidR="00666CF8" w:rsidRPr="009E39DF" w:rsidRDefault="00666CF8" w:rsidP="00666CF8">
      <w:pPr>
        <w:pStyle w:val="ListParagraph"/>
        <w:ind w:left="720"/>
        <w:rPr>
          <w:rFonts w:cs="Times New Roman"/>
          <w:szCs w:val="24"/>
          <w:highlight w:val="yellow"/>
        </w:rPr>
      </w:pPr>
    </w:p>
    <w:p w:rsidR="005F4A8C" w:rsidRDefault="00113473" w:rsidP="00535BE1">
      <w:pPr>
        <w:ind w:left="0"/>
        <w:rPr>
          <w:rFonts w:cs="Times New Roman"/>
          <w:b/>
          <w:szCs w:val="24"/>
        </w:rPr>
      </w:pPr>
      <w:r w:rsidRPr="00203DEC">
        <w:rPr>
          <w:rFonts w:cs="Times New Roman"/>
          <w:b/>
          <w:szCs w:val="24"/>
        </w:rPr>
        <w:t>Authors’ conclusions:</w:t>
      </w:r>
    </w:p>
    <w:p w:rsidR="00451629" w:rsidRDefault="00451629" w:rsidP="00535BE1">
      <w:pPr>
        <w:ind w:left="0"/>
        <w:rPr>
          <w:rFonts w:cs="Times New Roman"/>
          <w:b/>
          <w:szCs w:val="24"/>
        </w:rPr>
      </w:pPr>
    </w:p>
    <w:p w:rsidR="00451629" w:rsidRDefault="00451629" w:rsidP="00451629">
      <w:pPr>
        <w:pStyle w:val="ListParagraph"/>
        <w:numPr>
          <w:ilvl w:val="0"/>
          <w:numId w:val="15"/>
        </w:numPr>
        <w:rPr>
          <w:rFonts w:cs="Times New Roman"/>
          <w:szCs w:val="24"/>
        </w:rPr>
      </w:pPr>
      <w:r w:rsidRPr="00451629">
        <w:rPr>
          <w:rFonts w:cs="Times New Roman"/>
          <w:szCs w:val="24"/>
        </w:rPr>
        <w:t>The results of this study show</w:t>
      </w:r>
      <w:r>
        <w:rPr>
          <w:rFonts w:cs="Times New Roman"/>
          <w:szCs w:val="24"/>
        </w:rPr>
        <w:t xml:space="preserve"> that in the post</w:t>
      </w:r>
      <w:r w:rsidRPr="00451629">
        <w:rPr>
          <w:rFonts w:cs="Times New Roman"/>
          <w:szCs w:val="24"/>
        </w:rPr>
        <w:t>operative management</w:t>
      </w:r>
      <w:r>
        <w:rPr>
          <w:rFonts w:cs="Times New Roman"/>
          <w:szCs w:val="24"/>
        </w:rPr>
        <w:t xml:space="preserve"> </w:t>
      </w:r>
      <w:r w:rsidRPr="00451629">
        <w:rPr>
          <w:rFonts w:cs="Times New Roman"/>
          <w:szCs w:val="24"/>
        </w:rPr>
        <w:t>at one year following TMC arthroplasty</w:t>
      </w:r>
      <w:r>
        <w:rPr>
          <w:rFonts w:cs="Times New Roman"/>
          <w:szCs w:val="24"/>
        </w:rPr>
        <w:t>,</w:t>
      </w:r>
      <w:r w:rsidRPr="00451629">
        <w:rPr>
          <w:rFonts w:cs="Times New Roman"/>
          <w:szCs w:val="24"/>
        </w:rPr>
        <w:t xml:space="preserve"> there is no </w:t>
      </w:r>
      <w:r w:rsidR="00A54330">
        <w:rPr>
          <w:rFonts w:cs="Times New Roman"/>
          <w:szCs w:val="24"/>
        </w:rPr>
        <w:t xml:space="preserve">significant </w:t>
      </w:r>
      <w:r w:rsidRPr="00451629">
        <w:rPr>
          <w:rFonts w:cs="Times New Roman"/>
          <w:szCs w:val="24"/>
        </w:rPr>
        <w:t>difference</w:t>
      </w:r>
      <w:r>
        <w:rPr>
          <w:rFonts w:cs="Times New Roman"/>
          <w:szCs w:val="24"/>
        </w:rPr>
        <w:t xml:space="preserve"> </w:t>
      </w:r>
      <w:r w:rsidRPr="00451629">
        <w:rPr>
          <w:rFonts w:cs="Times New Roman"/>
          <w:szCs w:val="24"/>
        </w:rPr>
        <w:t xml:space="preserve">in pain, function, range </w:t>
      </w:r>
      <w:r>
        <w:rPr>
          <w:rFonts w:cs="Times New Roman"/>
          <w:szCs w:val="24"/>
        </w:rPr>
        <w:t xml:space="preserve">of motion, </w:t>
      </w:r>
      <w:r w:rsidRPr="00451629">
        <w:rPr>
          <w:rFonts w:cs="Times New Roman"/>
          <w:szCs w:val="24"/>
        </w:rPr>
        <w:t>or strength between the group who</w:t>
      </w:r>
      <w:r>
        <w:rPr>
          <w:rFonts w:cs="Times New Roman"/>
          <w:szCs w:val="24"/>
        </w:rPr>
        <w:t xml:space="preserve"> </w:t>
      </w:r>
      <w:r w:rsidRPr="00451629">
        <w:rPr>
          <w:rFonts w:cs="Times New Roman"/>
          <w:szCs w:val="24"/>
        </w:rPr>
        <w:t>wore rigid orthoses and the group who wore semi-rigid orthoses.</w:t>
      </w:r>
    </w:p>
    <w:p w:rsidR="00451629" w:rsidRDefault="00451629" w:rsidP="00A54330">
      <w:pPr>
        <w:pStyle w:val="ListParagraph"/>
        <w:numPr>
          <w:ilvl w:val="0"/>
          <w:numId w:val="15"/>
        </w:numPr>
        <w:rPr>
          <w:rFonts w:cs="Times New Roman"/>
          <w:szCs w:val="24"/>
        </w:rPr>
      </w:pPr>
      <w:r w:rsidRPr="00451629">
        <w:rPr>
          <w:rFonts w:cs="Times New Roman"/>
          <w:szCs w:val="24"/>
        </w:rPr>
        <w:t>This study is the first randomized controlled trial to provide</w:t>
      </w:r>
      <w:r>
        <w:rPr>
          <w:rFonts w:cs="Times New Roman"/>
          <w:szCs w:val="24"/>
        </w:rPr>
        <w:t xml:space="preserve"> </w:t>
      </w:r>
      <w:r w:rsidRPr="00451629">
        <w:rPr>
          <w:rFonts w:cs="Times New Roman"/>
          <w:szCs w:val="24"/>
        </w:rPr>
        <w:t>evidence that a semi-rigid orthosis performs as well as a rigid</w:t>
      </w:r>
      <w:r>
        <w:rPr>
          <w:rFonts w:cs="Times New Roman"/>
          <w:szCs w:val="24"/>
        </w:rPr>
        <w:t xml:space="preserve"> </w:t>
      </w:r>
      <w:r w:rsidRPr="00451629">
        <w:rPr>
          <w:rFonts w:cs="Times New Roman"/>
          <w:szCs w:val="24"/>
        </w:rPr>
        <w:t>orthosis following TMC arthroplasty.</w:t>
      </w:r>
      <w:r w:rsidR="00A54330">
        <w:rPr>
          <w:rFonts w:cs="Times New Roman"/>
          <w:szCs w:val="24"/>
        </w:rPr>
        <w:t xml:space="preserve"> </w:t>
      </w:r>
      <w:r w:rsidR="00A54330" w:rsidRPr="00A54330">
        <w:rPr>
          <w:rFonts w:cs="Times New Roman"/>
          <w:szCs w:val="24"/>
        </w:rPr>
        <w:t xml:space="preserve">Pain and function outcomes for the semi-rigid orthosis </w:t>
      </w:r>
      <w:proofErr w:type="gramStart"/>
      <w:r w:rsidR="00A54330" w:rsidRPr="00A54330">
        <w:rPr>
          <w:rFonts w:cs="Times New Roman"/>
          <w:szCs w:val="24"/>
        </w:rPr>
        <w:t>group</w:t>
      </w:r>
      <w:r w:rsidR="00A54330">
        <w:rPr>
          <w:rFonts w:cs="Times New Roman"/>
          <w:szCs w:val="24"/>
        </w:rPr>
        <w:t xml:space="preserve"> </w:t>
      </w:r>
      <w:r w:rsidR="00A54330" w:rsidRPr="00A54330">
        <w:rPr>
          <w:rFonts w:cs="Times New Roman"/>
          <w:szCs w:val="24"/>
        </w:rPr>
        <w:t>were</w:t>
      </w:r>
      <w:proofErr w:type="gramEnd"/>
      <w:r w:rsidR="00A54330" w:rsidRPr="00A54330">
        <w:rPr>
          <w:rFonts w:cs="Times New Roman"/>
          <w:szCs w:val="24"/>
        </w:rPr>
        <w:t xml:space="preserve"> as good as the rigid orthosis group.</w:t>
      </w:r>
    </w:p>
    <w:p w:rsidR="001C0FB1" w:rsidRPr="001C0FB1" w:rsidRDefault="001C0FB1" w:rsidP="001C0FB1">
      <w:pPr>
        <w:pStyle w:val="ListParagraph"/>
        <w:numPr>
          <w:ilvl w:val="0"/>
          <w:numId w:val="15"/>
        </w:numPr>
        <w:rPr>
          <w:rFonts w:cs="Times New Roman"/>
          <w:szCs w:val="24"/>
        </w:rPr>
      </w:pPr>
      <w:r w:rsidRPr="001C0FB1">
        <w:rPr>
          <w:rFonts w:cs="Times New Roman"/>
          <w:szCs w:val="24"/>
        </w:rPr>
        <w:t>There was no</w:t>
      </w:r>
      <w:r>
        <w:rPr>
          <w:rFonts w:cs="Times New Roman"/>
          <w:szCs w:val="24"/>
        </w:rPr>
        <w:t xml:space="preserve"> </w:t>
      </w:r>
      <w:r w:rsidRPr="001C0FB1">
        <w:rPr>
          <w:rFonts w:cs="Times New Roman"/>
          <w:szCs w:val="24"/>
        </w:rPr>
        <w:t>significant difference between the two groups at one year for the</w:t>
      </w:r>
      <w:r>
        <w:rPr>
          <w:rFonts w:cs="Times New Roman"/>
          <w:szCs w:val="24"/>
        </w:rPr>
        <w:t xml:space="preserve"> </w:t>
      </w:r>
      <w:r w:rsidRPr="001C0FB1">
        <w:rPr>
          <w:rFonts w:cs="Times New Roman"/>
          <w:szCs w:val="24"/>
        </w:rPr>
        <w:t>primary outcome of PRWHE scores or for any secondary outcome.</w:t>
      </w:r>
    </w:p>
    <w:p w:rsidR="00451629" w:rsidRDefault="00357386" w:rsidP="00357386">
      <w:pPr>
        <w:pStyle w:val="ListParagraph"/>
        <w:numPr>
          <w:ilvl w:val="0"/>
          <w:numId w:val="15"/>
        </w:numPr>
        <w:rPr>
          <w:rFonts w:cs="Times New Roman"/>
          <w:szCs w:val="24"/>
        </w:rPr>
      </w:pPr>
      <w:r>
        <w:rPr>
          <w:rFonts w:cs="Times New Roman"/>
          <w:szCs w:val="24"/>
        </w:rPr>
        <w:t>T</w:t>
      </w:r>
      <w:r w:rsidRPr="00357386">
        <w:rPr>
          <w:rFonts w:cs="Times New Roman"/>
          <w:szCs w:val="24"/>
        </w:rPr>
        <w:t>he confidence intervals for the primary</w:t>
      </w:r>
      <w:r>
        <w:rPr>
          <w:rFonts w:cs="Times New Roman"/>
          <w:szCs w:val="24"/>
        </w:rPr>
        <w:t xml:space="preserve"> </w:t>
      </w:r>
      <w:r w:rsidRPr="00357386">
        <w:rPr>
          <w:rFonts w:cs="Times New Roman"/>
          <w:szCs w:val="24"/>
        </w:rPr>
        <w:t>outcome of PRWHE total</w:t>
      </w:r>
      <w:r>
        <w:rPr>
          <w:rFonts w:cs="Times New Roman"/>
          <w:szCs w:val="24"/>
        </w:rPr>
        <w:t xml:space="preserve"> score </w:t>
      </w:r>
      <w:r w:rsidRPr="00357386">
        <w:rPr>
          <w:rFonts w:cs="Times New Roman"/>
          <w:szCs w:val="24"/>
        </w:rPr>
        <w:t>do not cross the</w:t>
      </w:r>
      <w:r>
        <w:rPr>
          <w:rFonts w:cs="Times New Roman"/>
          <w:szCs w:val="24"/>
        </w:rPr>
        <w:t xml:space="preserve"> </w:t>
      </w:r>
      <w:r w:rsidRPr="00357386">
        <w:rPr>
          <w:rFonts w:cs="Times New Roman"/>
          <w:szCs w:val="24"/>
        </w:rPr>
        <w:t>clinically important difference between groups which was set a priori of</w:t>
      </w:r>
      <w:r>
        <w:rPr>
          <w:rFonts w:cs="Times New Roman"/>
          <w:szCs w:val="24"/>
        </w:rPr>
        <w:t xml:space="preserve"> </w:t>
      </w:r>
      <w:r w:rsidRPr="00357386">
        <w:rPr>
          <w:rFonts w:cs="Times New Roman"/>
          <w:szCs w:val="24"/>
          <w:u w:val="single"/>
        </w:rPr>
        <w:t>+</w:t>
      </w:r>
      <w:r w:rsidRPr="00357386">
        <w:rPr>
          <w:rFonts w:cs="Times New Roman"/>
          <w:szCs w:val="24"/>
        </w:rPr>
        <w:t xml:space="preserve">15 points. This provides strong evidence that </w:t>
      </w:r>
      <w:r>
        <w:rPr>
          <w:rFonts w:cs="Times New Roman"/>
          <w:szCs w:val="24"/>
        </w:rPr>
        <w:t xml:space="preserve">the study did </w:t>
      </w:r>
      <w:r w:rsidRPr="00357386">
        <w:rPr>
          <w:rFonts w:cs="Times New Roman"/>
          <w:szCs w:val="24"/>
        </w:rPr>
        <w:t>not miss any</w:t>
      </w:r>
      <w:r>
        <w:rPr>
          <w:rFonts w:cs="Times New Roman"/>
          <w:szCs w:val="24"/>
        </w:rPr>
        <w:t xml:space="preserve"> </w:t>
      </w:r>
      <w:r w:rsidRPr="00357386">
        <w:rPr>
          <w:rFonts w:cs="Times New Roman"/>
          <w:szCs w:val="24"/>
        </w:rPr>
        <w:t>worthwhile effects.</w:t>
      </w:r>
    </w:p>
    <w:p w:rsidR="00357386" w:rsidRDefault="00357386" w:rsidP="00E42E4E">
      <w:pPr>
        <w:pStyle w:val="ListParagraph"/>
        <w:numPr>
          <w:ilvl w:val="0"/>
          <w:numId w:val="15"/>
        </w:numPr>
        <w:rPr>
          <w:rFonts w:cs="Times New Roman"/>
          <w:szCs w:val="24"/>
        </w:rPr>
      </w:pPr>
      <w:r w:rsidRPr="00357386">
        <w:rPr>
          <w:rFonts w:cs="Times New Roman"/>
          <w:szCs w:val="24"/>
        </w:rPr>
        <w:t xml:space="preserve">The results </w:t>
      </w:r>
      <w:r>
        <w:rPr>
          <w:rFonts w:cs="Times New Roman"/>
          <w:szCs w:val="24"/>
        </w:rPr>
        <w:t xml:space="preserve">of this study </w:t>
      </w:r>
      <w:r w:rsidRPr="00357386">
        <w:rPr>
          <w:rFonts w:cs="Times New Roman"/>
          <w:szCs w:val="24"/>
        </w:rPr>
        <w:t>are most generalizable</w:t>
      </w:r>
      <w:r>
        <w:rPr>
          <w:rFonts w:cs="Times New Roman"/>
          <w:szCs w:val="24"/>
        </w:rPr>
        <w:t xml:space="preserve"> </w:t>
      </w:r>
      <w:r w:rsidRPr="00357386">
        <w:rPr>
          <w:rFonts w:cs="Times New Roman"/>
          <w:szCs w:val="24"/>
        </w:rPr>
        <w:t>to patients following LRTI</w:t>
      </w:r>
      <w:r w:rsidR="00E42E4E">
        <w:rPr>
          <w:rFonts w:cs="Times New Roman"/>
          <w:szCs w:val="24"/>
        </w:rPr>
        <w:t xml:space="preserve">, since only 3 patients </w:t>
      </w:r>
      <w:r w:rsidRPr="00357386">
        <w:rPr>
          <w:rFonts w:cs="Times New Roman"/>
          <w:szCs w:val="24"/>
        </w:rPr>
        <w:t>underwent</w:t>
      </w:r>
      <w:r w:rsidR="00E42E4E">
        <w:rPr>
          <w:rFonts w:cs="Times New Roman"/>
          <w:szCs w:val="24"/>
        </w:rPr>
        <w:t xml:space="preserve"> </w:t>
      </w:r>
      <w:r w:rsidRPr="00E42E4E">
        <w:rPr>
          <w:rFonts w:cs="Times New Roman"/>
          <w:szCs w:val="24"/>
        </w:rPr>
        <w:t>trapeziectomy alone</w:t>
      </w:r>
      <w:r w:rsidR="00E42E4E">
        <w:rPr>
          <w:rFonts w:cs="Times New Roman"/>
          <w:szCs w:val="24"/>
        </w:rPr>
        <w:t>.</w:t>
      </w:r>
    </w:p>
    <w:p w:rsidR="00B64E65" w:rsidRDefault="00B64E65" w:rsidP="00B64E65">
      <w:pPr>
        <w:pStyle w:val="ListParagraph"/>
        <w:numPr>
          <w:ilvl w:val="0"/>
          <w:numId w:val="15"/>
        </w:numPr>
        <w:rPr>
          <w:rFonts w:cs="Times New Roman"/>
          <w:szCs w:val="24"/>
        </w:rPr>
      </w:pPr>
      <w:proofErr w:type="gramStart"/>
      <w:r w:rsidRPr="00B64E65">
        <w:rPr>
          <w:rFonts w:cs="Times New Roman"/>
          <w:szCs w:val="24"/>
        </w:rPr>
        <w:t>T</w:t>
      </w:r>
      <w:r>
        <w:rPr>
          <w:rFonts w:cs="Times New Roman"/>
          <w:szCs w:val="24"/>
        </w:rPr>
        <w:t xml:space="preserve">his </w:t>
      </w:r>
      <w:r w:rsidRPr="00B64E65">
        <w:rPr>
          <w:rFonts w:cs="Times New Roman"/>
          <w:szCs w:val="24"/>
        </w:rPr>
        <w:t>study</w:t>
      </w:r>
      <w:proofErr w:type="gramEnd"/>
      <w:r w:rsidRPr="00B64E65">
        <w:rPr>
          <w:rFonts w:cs="Times New Roman"/>
          <w:szCs w:val="24"/>
        </w:rPr>
        <w:t xml:space="preserve"> had a relatively low rate of adverse events</w:t>
      </w:r>
      <w:r>
        <w:rPr>
          <w:rFonts w:cs="Times New Roman"/>
          <w:szCs w:val="24"/>
        </w:rPr>
        <w:t xml:space="preserve"> (10.7%</w:t>
      </w:r>
      <w:r w:rsidRPr="00B64E65">
        <w:rPr>
          <w:rFonts w:cs="Times New Roman"/>
          <w:szCs w:val="24"/>
        </w:rPr>
        <w:t xml:space="preserve">) </w:t>
      </w:r>
      <w:r>
        <w:rPr>
          <w:rFonts w:cs="Times New Roman"/>
          <w:szCs w:val="24"/>
        </w:rPr>
        <w:t xml:space="preserve">compared to the </w:t>
      </w:r>
      <w:r>
        <w:rPr>
          <w:rFonts w:cs="Times New Roman"/>
          <w:szCs w:val="24"/>
        </w:rPr>
        <w:t xml:space="preserve">typically </w:t>
      </w:r>
      <w:r>
        <w:rPr>
          <w:rFonts w:cs="Times New Roman"/>
          <w:szCs w:val="24"/>
        </w:rPr>
        <w:t>reported</w:t>
      </w:r>
      <w:r w:rsidRPr="00B64E65">
        <w:rPr>
          <w:rFonts w:cs="Times New Roman"/>
          <w:szCs w:val="24"/>
        </w:rPr>
        <w:t xml:space="preserve"> r</w:t>
      </w:r>
      <w:r>
        <w:rPr>
          <w:rFonts w:cs="Times New Roman"/>
          <w:szCs w:val="24"/>
        </w:rPr>
        <w:t xml:space="preserve">ate of adverse events associated </w:t>
      </w:r>
      <w:r w:rsidRPr="00B64E65">
        <w:rPr>
          <w:rFonts w:cs="Times New Roman"/>
          <w:szCs w:val="24"/>
        </w:rPr>
        <w:t>with LRTI of 22%.</w:t>
      </w:r>
    </w:p>
    <w:p w:rsidR="00A54330" w:rsidRDefault="00A54330" w:rsidP="00A54330">
      <w:pPr>
        <w:pStyle w:val="ListParagraph"/>
        <w:numPr>
          <w:ilvl w:val="0"/>
          <w:numId w:val="15"/>
        </w:numPr>
        <w:rPr>
          <w:rFonts w:cs="Times New Roman"/>
          <w:szCs w:val="24"/>
        </w:rPr>
      </w:pPr>
      <w:r w:rsidRPr="00A54330">
        <w:rPr>
          <w:rFonts w:cs="Times New Roman"/>
          <w:szCs w:val="24"/>
        </w:rPr>
        <w:t>The semi-rigid orthosis</w:t>
      </w:r>
      <w:r>
        <w:rPr>
          <w:rFonts w:cs="Times New Roman"/>
          <w:szCs w:val="24"/>
        </w:rPr>
        <w:t xml:space="preserve"> </w:t>
      </w:r>
      <w:r w:rsidRPr="00A54330">
        <w:rPr>
          <w:rFonts w:cs="Times New Roman"/>
          <w:szCs w:val="24"/>
        </w:rPr>
        <w:t>eliminates the cost of a second orthosis as it can be converted to a</w:t>
      </w:r>
      <w:r>
        <w:rPr>
          <w:rFonts w:cs="Times New Roman"/>
          <w:szCs w:val="24"/>
        </w:rPr>
        <w:t xml:space="preserve"> </w:t>
      </w:r>
      <w:r w:rsidRPr="00A54330">
        <w:rPr>
          <w:rFonts w:cs="Times New Roman"/>
          <w:szCs w:val="24"/>
        </w:rPr>
        <w:t>soft orthosis simply by removal of the thermoplastic piece.</w:t>
      </w:r>
    </w:p>
    <w:p w:rsidR="00A54330" w:rsidRPr="00A54330" w:rsidRDefault="00A54330" w:rsidP="00A54330">
      <w:pPr>
        <w:pStyle w:val="ListParagraph"/>
        <w:numPr>
          <w:ilvl w:val="0"/>
          <w:numId w:val="15"/>
        </w:numPr>
        <w:rPr>
          <w:rFonts w:cs="Times New Roman"/>
          <w:szCs w:val="24"/>
        </w:rPr>
      </w:pPr>
      <w:r w:rsidRPr="00A54330">
        <w:rPr>
          <w:rFonts w:cs="Times New Roman"/>
          <w:szCs w:val="24"/>
        </w:rPr>
        <w:t>Clinically, either orthosis could be recommended. Patient</w:t>
      </w:r>
      <w:r>
        <w:rPr>
          <w:rFonts w:cs="Times New Roman"/>
          <w:szCs w:val="24"/>
        </w:rPr>
        <w:t xml:space="preserve"> </w:t>
      </w:r>
      <w:r w:rsidRPr="00A54330">
        <w:rPr>
          <w:rFonts w:cs="Times New Roman"/>
          <w:szCs w:val="24"/>
        </w:rPr>
        <w:t>satisfaction regarding comfort was not evaluated, however it could</w:t>
      </w:r>
      <w:r>
        <w:rPr>
          <w:rFonts w:cs="Times New Roman"/>
          <w:szCs w:val="24"/>
        </w:rPr>
        <w:t xml:space="preserve"> </w:t>
      </w:r>
      <w:r w:rsidRPr="00A54330">
        <w:rPr>
          <w:rFonts w:cs="Times New Roman"/>
          <w:szCs w:val="24"/>
        </w:rPr>
        <w:t>be postulated that the semi-rigid orthosis may be more comfortable,</w:t>
      </w:r>
      <w:r>
        <w:rPr>
          <w:rFonts w:cs="Times New Roman"/>
          <w:szCs w:val="24"/>
        </w:rPr>
        <w:t xml:space="preserve"> </w:t>
      </w:r>
      <w:r w:rsidRPr="00A54330">
        <w:rPr>
          <w:rFonts w:cs="Times New Roman"/>
          <w:szCs w:val="24"/>
        </w:rPr>
        <w:t>perhaps have less adverse effects</w:t>
      </w:r>
      <w:r>
        <w:rPr>
          <w:rFonts w:cs="Times New Roman"/>
          <w:szCs w:val="24"/>
        </w:rPr>
        <w:t>,</w:t>
      </w:r>
      <w:r w:rsidRPr="00A54330">
        <w:rPr>
          <w:rFonts w:cs="Times New Roman"/>
          <w:szCs w:val="24"/>
        </w:rPr>
        <w:t xml:space="preserve"> and may be more cost</w:t>
      </w:r>
      <w:r>
        <w:rPr>
          <w:rFonts w:cs="Times New Roman"/>
          <w:szCs w:val="24"/>
        </w:rPr>
        <w:t xml:space="preserve"> </w:t>
      </w:r>
      <w:r w:rsidRPr="00A54330">
        <w:rPr>
          <w:rFonts w:cs="Times New Roman"/>
          <w:szCs w:val="24"/>
        </w:rPr>
        <w:t>effective than a rigid orthosis</w:t>
      </w:r>
      <w:r>
        <w:rPr>
          <w:rFonts w:cs="Times New Roman"/>
          <w:szCs w:val="24"/>
        </w:rPr>
        <w:t xml:space="preserve">. </w:t>
      </w:r>
      <w:r w:rsidRPr="00A54330">
        <w:rPr>
          <w:rFonts w:cs="Times New Roman"/>
          <w:szCs w:val="24"/>
        </w:rPr>
        <w:t>Patient comfort,</w:t>
      </w:r>
      <w:r>
        <w:rPr>
          <w:rFonts w:cs="Times New Roman"/>
          <w:szCs w:val="24"/>
        </w:rPr>
        <w:t xml:space="preserve"> </w:t>
      </w:r>
      <w:r w:rsidRPr="00A54330">
        <w:rPr>
          <w:rFonts w:cs="Times New Roman"/>
          <w:szCs w:val="24"/>
        </w:rPr>
        <w:t>cost and availability may determine choice between orthoses in</w:t>
      </w:r>
      <w:r>
        <w:rPr>
          <w:rFonts w:cs="Times New Roman"/>
          <w:szCs w:val="24"/>
        </w:rPr>
        <w:t xml:space="preserve"> </w:t>
      </w:r>
      <w:r w:rsidRPr="00A54330">
        <w:rPr>
          <w:rFonts w:cs="Times New Roman"/>
          <w:szCs w:val="24"/>
        </w:rPr>
        <w:t>clinical practice.</w:t>
      </w:r>
    </w:p>
    <w:p w:rsidR="00B64E65" w:rsidRPr="00B64E65" w:rsidRDefault="00B64E65" w:rsidP="00B64E65">
      <w:pPr>
        <w:pStyle w:val="ListParagraph"/>
        <w:numPr>
          <w:ilvl w:val="0"/>
          <w:numId w:val="15"/>
        </w:numPr>
        <w:rPr>
          <w:rFonts w:cs="Times New Roman"/>
          <w:szCs w:val="24"/>
        </w:rPr>
      </w:pPr>
      <w:r w:rsidRPr="00B64E65">
        <w:rPr>
          <w:rFonts w:cs="Times New Roman"/>
          <w:szCs w:val="24"/>
        </w:rPr>
        <w:t>Further investigation of rates</w:t>
      </w:r>
      <w:r>
        <w:rPr>
          <w:rFonts w:cs="Times New Roman"/>
          <w:szCs w:val="24"/>
        </w:rPr>
        <w:t xml:space="preserve"> </w:t>
      </w:r>
      <w:r w:rsidRPr="00B64E65">
        <w:rPr>
          <w:rFonts w:cs="Times New Roman"/>
          <w:szCs w:val="24"/>
        </w:rPr>
        <w:t>of adverse events between different types of orthoses is warranted.</w:t>
      </w:r>
    </w:p>
    <w:p w:rsidR="00B64E65" w:rsidRDefault="00B64E65" w:rsidP="00B64E65">
      <w:pPr>
        <w:pStyle w:val="ListParagraph"/>
        <w:numPr>
          <w:ilvl w:val="0"/>
          <w:numId w:val="15"/>
        </w:numPr>
        <w:rPr>
          <w:rFonts w:cs="Times New Roman"/>
          <w:szCs w:val="24"/>
        </w:rPr>
      </w:pPr>
      <w:r w:rsidRPr="00C04A09">
        <w:rPr>
          <w:rFonts w:cs="Times New Roman"/>
          <w:szCs w:val="24"/>
        </w:rPr>
        <w:t>Future research could investigate if there</w:t>
      </w:r>
      <w:r>
        <w:rPr>
          <w:rFonts w:cs="Times New Roman"/>
          <w:szCs w:val="24"/>
        </w:rPr>
        <w:t xml:space="preserve"> </w:t>
      </w:r>
      <w:r w:rsidRPr="00C04A09">
        <w:rPr>
          <w:rFonts w:cs="Times New Roman"/>
          <w:szCs w:val="24"/>
        </w:rPr>
        <w:t>is a need for any immobilization of the wrist and thumb apart from</w:t>
      </w:r>
      <w:r>
        <w:rPr>
          <w:rFonts w:cs="Times New Roman"/>
          <w:szCs w:val="24"/>
        </w:rPr>
        <w:t xml:space="preserve"> </w:t>
      </w:r>
      <w:r w:rsidRPr="00C04A09">
        <w:rPr>
          <w:rFonts w:cs="Times New Roman"/>
          <w:szCs w:val="24"/>
        </w:rPr>
        <w:t>the TMC joint, after TMC arthroplasty.</w:t>
      </w:r>
    </w:p>
    <w:p w:rsidR="005B740E" w:rsidRDefault="005B740E" w:rsidP="00117BF6">
      <w:pPr>
        <w:pStyle w:val="ListParagraph"/>
        <w:ind w:left="720"/>
        <w:rPr>
          <w:rFonts w:cs="Times New Roman"/>
          <w:b/>
          <w:szCs w:val="24"/>
        </w:rPr>
      </w:pPr>
    </w:p>
    <w:p w:rsidR="00766677" w:rsidRDefault="00766677" w:rsidP="00117BF6">
      <w:pPr>
        <w:pStyle w:val="ListParagraph"/>
        <w:ind w:left="720"/>
        <w:rPr>
          <w:rFonts w:cs="Times New Roman"/>
          <w:b/>
          <w:szCs w:val="24"/>
        </w:rPr>
      </w:pPr>
    </w:p>
    <w:p w:rsidR="00766677" w:rsidRDefault="00766677" w:rsidP="00117BF6">
      <w:pPr>
        <w:pStyle w:val="ListParagraph"/>
        <w:ind w:left="720"/>
        <w:rPr>
          <w:rFonts w:cs="Times New Roman"/>
          <w:b/>
          <w:szCs w:val="24"/>
        </w:rPr>
      </w:pPr>
    </w:p>
    <w:p w:rsidR="00766677" w:rsidRDefault="00766677" w:rsidP="00117BF6">
      <w:pPr>
        <w:pStyle w:val="ListParagraph"/>
        <w:ind w:left="720"/>
        <w:rPr>
          <w:rFonts w:cs="Times New Roman"/>
          <w:b/>
          <w:szCs w:val="24"/>
        </w:rPr>
      </w:pPr>
    </w:p>
    <w:p w:rsidR="00766677" w:rsidRPr="00117BF6" w:rsidRDefault="00766677" w:rsidP="00117BF6">
      <w:pPr>
        <w:pStyle w:val="ListParagraph"/>
        <w:ind w:left="720"/>
        <w:rPr>
          <w:rFonts w:cs="Times New Roman"/>
          <w:b/>
          <w:szCs w:val="24"/>
        </w:rPr>
      </w:pPr>
    </w:p>
    <w:p w:rsidR="00991F49" w:rsidRDefault="00991F49" w:rsidP="008A3029">
      <w:pPr>
        <w:ind w:left="0"/>
        <w:rPr>
          <w:rFonts w:cs="Times New Roman"/>
          <w:b/>
          <w:szCs w:val="24"/>
        </w:rPr>
      </w:pPr>
      <w:r>
        <w:rPr>
          <w:rFonts w:cs="Times New Roman"/>
          <w:b/>
          <w:szCs w:val="24"/>
        </w:rPr>
        <w:lastRenderedPageBreak/>
        <w:t>Comments:</w:t>
      </w:r>
    </w:p>
    <w:p w:rsidR="00357386" w:rsidRDefault="00357386" w:rsidP="008A3029">
      <w:pPr>
        <w:ind w:left="0"/>
        <w:rPr>
          <w:rFonts w:cs="Times New Roman"/>
          <w:b/>
          <w:szCs w:val="24"/>
        </w:rPr>
      </w:pPr>
    </w:p>
    <w:p w:rsidR="001C0FB1" w:rsidRPr="001C0FB1" w:rsidRDefault="00C32872" w:rsidP="001C0FB1">
      <w:pPr>
        <w:pStyle w:val="ListParagraph"/>
        <w:numPr>
          <w:ilvl w:val="0"/>
          <w:numId w:val="17"/>
        </w:numPr>
        <w:rPr>
          <w:rFonts w:cs="Times New Roman"/>
          <w:szCs w:val="24"/>
        </w:rPr>
      </w:pPr>
      <w:r w:rsidRPr="00C32872">
        <w:rPr>
          <w:rFonts w:cs="Times New Roman"/>
          <w:szCs w:val="24"/>
        </w:rPr>
        <w:t xml:space="preserve">This study supports the conclusion that </w:t>
      </w:r>
      <w:r w:rsidRPr="00C32872">
        <w:rPr>
          <w:rFonts w:cs="Times New Roman"/>
          <w:szCs w:val="24"/>
        </w:rPr>
        <w:t>t</w:t>
      </w:r>
      <w:r w:rsidR="001C0FB1" w:rsidRPr="00C32872">
        <w:rPr>
          <w:rFonts w:cs="Times New Roman"/>
          <w:szCs w:val="24"/>
        </w:rPr>
        <w:t>he</w:t>
      </w:r>
      <w:r w:rsidR="001C0FB1" w:rsidRPr="001C0FB1">
        <w:rPr>
          <w:rFonts w:cs="Times New Roman"/>
          <w:szCs w:val="24"/>
        </w:rPr>
        <w:t xml:space="preserve"> rigid orthosis and semi-rigid orthosis (allowing more wrist</w:t>
      </w:r>
      <w:r w:rsidR="001C0FB1">
        <w:rPr>
          <w:rFonts w:cs="Times New Roman"/>
          <w:szCs w:val="24"/>
        </w:rPr>
        <w:t xml:space="preserve"> </w:t>
      </w:r>
      <w:r w:rsidR="001C0FB1" w:rsidRPr="001C0FB1">
        <w:rPr>
          <w:rFonts w:cs="Times New Roman"/>
          <w:szCs w:val="24"/>
        </w:rPr>
        <w:t>and thumb motion) used from 2 to 6 weeks following TMC</w:t>
      </w:r>
      <w:r w:rsidR="001C0FB1">
        <w:rPr>
          <w:rFonts w:cs="Times New Roman"/>
          <w:szCs w:val="24"/>
        </w:rPr>
        <w:t xml:space="preserve"> </w:t>
      </w:r>
      <w:r w:rsidR="001C0FB1" w:rsidRPr="001C0FB1">
        <w:rPr>
          <w:rFonts w:cs="Times New Roman"/>
          <w:szCs w:val="24"/>
        </w:rPr>
        <w:t xml:space="preserve">arthroplasty performed equally well in this study. </w:t>
      </w:r>
    </w:p>
    <w:p w:rsidR="001C0FB1" w:rsidRPr="001C0FB1" w:rsidRDefault="001C0FB1" w:rsidP="001C0FB1">
      <w:pPr>
        <w:pStyle w:val="ListParagraph"/>
        <w:numPr>
          <w:ilvl w:val="0"/>
          <w:numId w:val="17"/>
        </w:numPr>
        <w:rPr>
          <w:rFonts w:cs="Times New Roman"/>
          <w:szCs w:val="24"/>
        </w:rPr>
      </w:pPr>
      <w:r w:rsidRPr="001C0FB1">
        <w:rPr>
          <w:rFonts w:cs="Times New Roman"/>
          <w:szCs w:val="24"/>
        </w:rPr>
        <w:t>There was no</w:t>
      </w:r>
      <w:r>
        <w:rPr>
          <w:rFonts w:cs="Times New Roman"/>
          <w:szCs w:val="24"/>
        </w:rPr>
        <w:t xml:space="preserve"> </w:t>
      </w:r>
      <w:r w:rsidRPr="001C0FB1">
        <w:rPr>
          <w:rFonts w:cs="Times New Roman"/>
          <w:szCs w:val="24"/>
        </w:rPr>
        <w:t>significant difference between the two groups for the</w:t>
      </w:r>
      <w:r>
        <w:rPr>
          <w:rFonts w:cs="Times New Roman"/>
          <w:szCs w:val="24"/>
        </w:rPr>
        <w:t xml:space="preserve"> </w:t>
      </w:r>
      <w:r w:rsidRPr="001C0FB1">
        <w:rPr>
          <w:rFonts w:cs="Times New Roman"/>
          <w:szCs w:val="24"/>
        </w:rPr>
        <w:t xml:space="preserve">primary outcome of PRWHE scores </w:t>
      </w:r>
      <w:r w:rsidR="00C32872" w:rsidRPr="001C0FB1">
        <w:rPr>
          <w:rFonts w:cs="Times New Roman"/>
          <w:szCs w:val="24"/>
        </w:rPr>
        <w:t xml:space="preserve">at one year </w:t>
      </w:r>
      <w:r w:rsidR="00C32872">
        <w:rPr>
          <w:rFonts w:cs="Times New Roman"/>
          <w:szCs w:val="24"/>
        </w:rPr>
        <w:t xml:space="preserve">or any of </w:t>
      </w:r>
      <w:r w:rsidR="00C32872" w:rsidRPr="00C32872">
        <w:rPr>
          <w:rFonts w:cs="Times New Roman"/>
          <w:szCs w:val="24"/>
        </w:rPr>
        <w:t xml:space="preserve">the </w:t>
      </w:r>
      <w:r w:rsidR="00C32872" w:rsidRPr="00C32872">
        <w:rPr>
          <w:rFonts w:cs="Times New Roman"/>
          <w:szCs w:val="24"/>
        </w:rPr>
        <w:t>follow-up time point</w:t>
      </w:r>
      <w:r w:rsidR="00C32872" w:rsidRPr="00C32872">
        <w:rPr>
          <w:rFonts w:cs="Times New Roman"/>
          <w:szCs w:val="24"/>
        </w:rPr>
        <w:t xml:space="preserve">s </w:t>
      </w:r>
      <w:r w:rsidRPr="00C32872">
        <w:rPr>
          <w:rFonts w:cs="Times New Roman"/>
          <w:szCs w:val="24"/>
        </w:rPr>
        <w:t>or</w:t>
      </w:r>
      <w:r w:rsidRPr="001C0FB1">
        <w:rPr>
          <w:rFonts w:cs="Times New Roman"/>
          <w:szCs w:val="24"/>
        </w:rPr>
        <w:t xml:space="preserve"> for any secondary outcome</w:t>
      </w:r>
      <w:r w:rsidR="00C32872">
        <w:rPr>
          <w:rFonts w:cs="Times New Roman"/>
          <w:szCs w:val="24"/>
        </w:rPr>
        <w:t xml:space="preserve"> at any of the follow-up time points</w:t>
      </w:r>
      <w:r w:rsidRPr="001C0FB1">
        <w:rPr>
          <w:rFonts w:cs="Times New Roman"/>
          <w:szCs w:val="24"/>
        </w:rPr>
        <w:t>.</w:t>
      </w:r>
    </w:p>
    <w:p w:rsidR="00357386" w:rsidRDefault="00357386" w:rsidP="00357386">
      <w:pPr>
        <w:pStyle w:val="ListParagraph"/>
        <w:numPr>
          <w:ilvl w:val="0"/>
          <w:numId w:val="16"/>
        </w:numPr>
        <w:rPr>
          <w:rFonts w:cs="Times New Roman"/>
          <w:szCs w:val="24"/>
        </w:rPr>
      </w:pPr>
      <w:r>
        <w:rPr>
          <w:rFonts w:cs="Times New Roman"/>
          <w:szCs w:val="24"/>
        </w:rPr>
        <w:t xml:space="preserve">This study </w:t>
      </w:r>
      <w:r w:rsidRPr="00357386">
        <w:rPr>
          <w:rFonts w:cs="Times New Roman"/>
          <w:szCs w:val="24"/>
        </w:rPr>
        <w:t>achieved high rates of</w:t>
      </w:r>
      <w:r>
        <w:rPr>
          <w:rFonts w:cs="Times New Roman"/>
          <w:szCs w:val="24"/>
        </w:rPr>
        <w:t xml:space="preserve"> </w:t>
      </w:r>
      <w:r w:rsidRPr="00357386">
        <w:rPr>
          <w:rFonts w:cs="Times New Roman"/>
          <w:szCs w:val="24"/>
        </w:rPr>
        <w:t>follow-up for the six week, three month and one year assessment</w:t>
      </w:r>
      <w:r>
        <w:rPr>
          <w:rFonts w:cs="Times New Roman"/>
          <w:szCs w:val="24"/>
        </w:rPr>
        <w:t xml:space="preserve"> with only 3 participants lost to follow-up.</w:t>
      </w:r>
    </w:p>
    <w:p w:rsidR="00357386" w:rsidRDefault="00C172F3" w:rsidP="005C63E7">
      <w:pPr>
        <w:pStyle w:val="ListParagraph"/>
        <w:numPr>
          <w:ilvl w:val="0"/>
          <w:numId w:val="16"/>
        </w:numPr>
        <w:rPr>
          <w:rFonts w:cs="Times New Roman"/>
          <w:szCs w:val="24"/>
        </w:rPr>
      </w:pPr>
      <w:proofErr w:type="gramStart"/>
      <w:r w:rsidRPr="00C172F3">
        <w:rPr>
          <w:rFonts w:cs="Times New Roman"/>
          <w:szCs w:val="24"/>
        </w:rPr>
        <w:t>A strength</w:t>
      </w:r>
      <w:proofErr w:type="gramEnd"/>
      <w:r w:rsidRPr="00C172F3">
        <w:rPr>
          <w:rFonts w:cs="Times New Roman"/>
          <w:szCs w:val="24"/>
        </w:rPr>
        <w:t xml:space="preserve"> of the study</w:t>
      </w:r>
      <w:r>
        <w:rPr>
          <w:rFonts w:cs="Times New Roman"/>
          <w:szCs w:val="24"/>
        </w:rPr>
        <w:t xml:space="preserve"> was its use of </w:t>
      </w:r>
      <w:r w:rsidRPr="00C172F3">
        <w:rPr>
          <w:rFonts w:cs="Times New Roman"/>
          <w:szCs w:val="24"/>
        </w:rPr>
        <w:t xml:space="preserve">an identical exercise program </w:t>
      </w:r>
      <w:r>
        <w:rPr>
          <w:rFonts w:cs="Times New Roman"/>
          <w:szCs w:val="24"/>
        </w:rPr>
        <w:t xml:space="preserve">initiated at the same post-surgery time point </w:t>
      </w:r>
      <w:r w:rsidRPr="00C172F3">
        <w:rPr>
          <w:rFonts w:cs="Times New Roman"/>
          <w:szCs w:val="24"/>
        </w:rPr>
        <w:t>for both groups</w:t>
      </w:r>
      <w:r>
        <w:rPr>
          <w:rFonts w:cs="Times New Roman"/>
          <w:szCs w:val="24"/>
        </w:rPr>
        <w:t>,</w:t>
      </w:r>
      <w:r w:rsidRPr="00C172F3">
        <w:rPr>
          <w:rFonts w:cs="Times New Roman"/>
          <w:szCs w:val="24"/>
        </w:rPr>
        <w:t xml:space="preserve"> so </w:t>
      </w:r>
      <w:r>
        <w:rPr>
          <w:rFonts w:cs="Times New Roman"/>
          <w:szCs w:val="24"/>
        </w:rPr>
        <w:t xml:space="preserve">that a </w:t>
      </w:r>
      <w:r w:rsidRPr="00C172F3">
        <w:rPr>
          <w:rFonts w:cs="Times New Roman"/>
          <w:szCs w:val="24"/>
        </w:rPr>
        <w:t>defi</w:t>
      </w:r>
      <w:r>
        <w:rPr>
          <w:rFonts w:cs="Times New Roman"/>
          <w:szCs w:val="24"/>
        </w:rPr>
        <w:t>nitive</w:t>
      </w:r>
      <w:r w:rsidR="00C04A09">
        <w:rPr>
          <w:rFonts w:cs="Times New Roman"/>
          <w:szCs w:val="24"/>
        </w:rPr>
        <w:t>, singular</w:t>
      </w:r>
      <w:r>
        <w:rPr>
          <w:rFonts w:cs="Times New Roman"/>
          <w:szCs w:val="24"/>
        </w:rPr>
        <w:t xml:space="preserve"> investigation</w:t>
      </w:r>
      <w:r w:rsidRPr="00C172F3">
        <w:rPr>
          <w:rFonts w:cs="Times New Roman"/>
          <w:szCs w:val="24"/>
        </w:rPr>
        <w:t xml:space="preserve"> </w:t>
      </w:r>
      <w:r>
        <w:rPr>
          <w:rFonts w:cs="Times New Roman"/>
          <w:szCs w:val="24"/>
        </w:rPr>
        <w:t xml:space="preserve">of </w:t>
      </w:r>
      <w:r w:rsidRPr="00C172F3">
        <w:rPr>
          <w:rFonts w:cs="Times New Roman"/>
          <w:szCs w:val="24"/>
        </w:rPr>
        <w:t>the effect of the two orthoses</w:t>
      </w:r>
      <w:r>
        <w:rPr>
          <w:rFonts w:cs="Times New Roman"/>
          <w:szCs w:val="24"/>
        </w:rPr>
        <w:t xml:space="preserve"> </w:t>
      </w:r>
      <w:r w:rsidRPr="00C172F3">
        <w:rPr>
          <w:rFonts w:cs="Times New Roman"/>
          <w:szCs w:val="24"/>
        </w:rPr>
        <w:t>types</w:t>
      </w:r>
      <w:r>
        <w:rPr>
          <w:rFonts w:cs="Times New Roman"/>
          <w:szCs w:val="24"/>
        </w:rPr>
        <w:t xml:space="preserve"> could be carried out</w:t>
      </w:r>
      <w:r w:rsidRPr="00C172F3">
        <w:rPr>
          <w:rFonts w:cs="Times New Roman"/>
          <w:szCs w:val="24"/>
        </w:rPr>
        <w:t>.</w:t>
      </w:r>
      <w:r w:rsidR="005C63E7">
        <w:rPr>
          <w:rFonts w:cs="Times New Roman"/>
          <w:szCs w:val="24"/>
        </w:rPr>
        <w:t xml:space="preserve"> </w:t>
      </w:r>
      <w:r w:rsidR="00167DDE">
        <w:rPr>
          <w:rFonts w:cs="Times New Roman"/>
          <w:szCs w:val="24"/>
        </w:rPr>
        <w:t>All of the patients in this</w:t>
      </w:r>
      <w:r w:rsidR="005C63E7" w:rsidRPr="005C63E7">
        <w:rPr>
          <w:rFonts w:cs="Times New Roman"/>
          <w:szCs w:val="24"/>
        </w:rPr>
        <w:t xml:space="preserve"> study began mobilization two</w:t>
      </w:r>
      <w:r w:rsidR="005C63E7">
        <w:rPr>
          <w:rFonts w:cs="Times New Roman"/>
          <w:szCs w:val="24"/>
        </w:rPr>
        <w:t xml:space="preserve"> </w:t>
      </w:r>
      <w:r w:rsidR="005C63E7" w:rsidRPr="005C63E7">
        <w:rPr>
          <w:rFonts w:cs="Times New Roman"/>
          <w:szCs w:val="24"/>
        </w:rPr>
        <w:t>weeks following surgery</w:t>
      </w:r>
      <w:r w:rsidR="005C63E7">
        <w:rPr>
          <w:rFonts w:cs="Times New Roman"/>
          <w:szCs w:val="24"/>
        </w:rPr>
        <w:t>.</w:t>
      </w:r>
    </w:p>
    <w:p w:rsidR="00C32872" w:rsidRPr="00B52562" w:rsidRDefault="00C32872" w:rsidP="00C32872">
      <w:pPr>
        <w:pStyle w:val="ListParagraph"/>
        <w:numPr>
          <w:ilvl w:val="0"/>
          <w:numId w:val="16"/>
        </w:numPr>
        <w:rPr>
          <w:rFonts w:cs="Times New Roman"/>
          <w:szCs w:val="24"/>
        </w:rPr>
      </w:pPr>
      <w:r w:rsidRPr="00B52562">
        <w:rPr>
          <w:rFonts w:cs="Times New Roman"/>
          <w:szCs w:val="24"/>
        </w:rPr>
        <w:t>Strengths of this study included outcomes assessor blinding, an adequate sample size and power, and primary outcome clearly designated.</w:t>
      </w:r>
    </w:p>
    <w:p w:rsidR="00167DDE" w:rsidRPr="00167DDE" w:rsidRDefault="00167DDE" w:rsidP="00167DDE">
      <w:pPr>
        <w:pStyle w:val="ListParagraph"/>
        <w:numPr>
          <w:ilvl w:val="0"/>
          <w:numId w:val="16"/>
        </w:numPr>
        <w:rPr>
          <w:rFonts w:cs="Times New Roman"/>
          <w:szCs w:val="24"/>
        </w:rPr>
      </w:pPr>
      <w:r w:rsidRPr="00167DDE">
        <w:rPr>
          <w:rFonts w:cs="Times New Roman"/>
          <w:szCs w:val="24"/>
        </w:rPr>
        <w:t>One weakness of the study was that a preoperative clinical difference (</w:t>
      </w:r>
      <w:r w:rsidRPr="00167DDE">
        <w:rPr>
          <w:rFonts w:cs="Times New Roman"/>
          <w:szCs w:val="24"/>
        </w:rPr>
        <w:t>PWHRE scores</w:t>
      </w:r>
      <w:r w:rsidRPr="00167DDE">
        <w:rPr>
          <w:rFonts w:cs="Times New Roman"/>
          <w:szCs w:val="24"/>
        </w:rPr>
        <w:t xml:space="preserve">) </w:t>
      </w:r>
      <w:r>
        <w:rPr>
          <w:rFonts w:cs="Times New Roman"/>
          <w:szCs w:val="24"/>
        </w:rPr>
        <w:t xml:space="preserve">between groups </w:t>
      </w:r>
      <w:r w:rsidRPr="00167DDE">
        <w:rPr>
          <w:rFonts w:cs="Times New Roman"/>
          <w:szCs w:val="24"/>
        </w:rPr>
        <w:t>was present that should have been normalized by the randomization process, but was not.</w:t>
      </w:r>
      <w:r w:rsidRPr="00167DDE">
        <w:rPr>
          <w:rFonts w:cs="Times New Roman"/>
          <w:szCs w:val="24"/>
        </w:rPr>
        <w:t xml:space="preserve"> </w:t>
      </w:r>
      <w:r w:rsidR="00B52562" w:rsidRPr="00B52562">
        <w:rPr>
          <w:rFonts w:cs="Times New Roman"/>
          <w:szCs w:val="24"/>
          <w:lang w:val="en"/>
        </w:rPr>
        <w:t xml:space="preserve">This baseline imbalance may influence outcome, and </w:t>
      </w:r>
      <w:r w:rsidR="00B52562">
        <w:rPr>
          <w:rFonts w:cs="Times New Roman"/>
          <w:szCs w:val="24"/>
          <w:lang w:val="en"/>
        </w:rPr>
        <w:t xml:space="preserve">could </w:t>
      </w:r>
      <w:r w:rsidR="00B52562" w:rsidRPr="00B52562">
        <w:rPr>
          <w:rFonts w:cs="Times New Roman"/>
          <w:szCs w:val="24"/>
          <w:lang w:val="en"/>
        </w:rPr>
        <w:t>introduce chance bias.</w:t>
      </w:r>
      <w:r w:rsidR="00B52562">
        <w:rPr>
          <w:rFonts w:cs="Times New Roman"/>
          <w:szCs w:val="24"/>
          <w:lang w:val="en"/>
        </w:rPr>
        <w:t xml:space="preserve"> </w:t>
      </w:r>
      <w:proofErr w:type="gramStart"/>
      <w:r w:rsidRPr="00B52562">
        <w:rPr>
          <w:rFonts w:cs="Times New Roman"/>
          <w:szCs w:val="24"/>
        </w:rPr>
        <w:t>A</w:t>
      </w:r>
      <w:r w:rsidRPr="00167DDE">
        <w:rPr>
          <w:rFonts w:cs="Times New Roman"/>
          <w:szCs w:val="24"/>
        </w:rPr>
        <w:t xml:space="preserve"> strength</w:t>
      </w:r>
      <w:proofErr w:type="gramEnd"/>
      <w:r w:rsidRPr="00167DDE">
        <w:rPr>
          <w:rFonts w:cs="Times New Roman"/>
          <w:szCs w:val="24"/>
        </w:rPr>
        <w:t xml:space="preserve"> of the study was that the analysis adjusted for this baseline imbalance between groups</w:t>
      </w:r>
      <w:r w:rsidR="00C32872">
        <w:rPr>
          <w:rFonts w:cs="Times New Roman"/>
          <w:szCs w:val="24"/>
        </w:rPr>
        <w:t>, thus eliminating this source of bias</w:t>
      </w:r>
      <w:r w:rsidRPr="00167DDE">
        <w:rPr>
          <w:rFonts w:cs="Times New Roman"/>
          <w:szCs w:val="24"/>
        </w:rPr>
        <w:t>.</w:t>
      </w:r>
    </w:p>
    <w:p w:rsidR="00B52562" w:rsidRPr="001C0FB1" w:rsidRDefault="00B52562" w:rsidP="00B52562">
      <w:pPr>
        <w:pStyle w:val="ListParagraph"/>
        <w:numPr>
          <w:ilvl w:val="0"/>
          <w:numId w:val="16"/>
        </w:numPr>
        <w:rPr>
          <w:rFonts w:cs="Times New Roman"/>
          <w:szCs w:val="24"/>
        </w:rPr>
      </w:pPr>
      <w:r w:rsidRPr="001C0FB1">
        <w:rPr>
          <w:rFonts w:cs="Times New Roman"/>
          <w:szCs w:val="24"/>
        </w:rPr>
        <w:t>The study did not evaluate patients’ satisfaction to wearing either orthotic. Asking patients about how they felt when wearing the orthotic would have been beneficial.</w:t>
      </w:r>
    </w:p>
    <w:p w:rsidR="006B45B2" w:rsidRPr="00C32872" w:rsidRDefault="00167DDE" w:rsidP="00C32872">
      <w:pPr>
        <w:pStyle w:val="ListParagraph"/>
        <w:numPr>
          <w:ilvl w:val="0"/>
          <w:numId w:val="16"/>
        </w:numPr>
        <w:rPr>
          <w:rFonts w:cs="Times New Roman"/>
          <w:szCs w:val="24"/>
        </w:rPr>
      </w:pPr>
      <w:r w:rsidRPr="008324F4">
        <w:rPr>
          <w:rFonts w:cs="Times New Roman"/>
          <w:szCs w:val="24"/>
        </w:rPr>
        <w:t xml:space="preserve">A possible source of error </w:t>
      </w:r>
      <w:r w:rsidR="008324F4">
        <w:rPr>
          <w:rFonts w:cs="Times New Roman"/>
          <w:szCs w:val="24"/>
        </w:rPr>
        <w:t>in this study is</w:t>
      </w:r>
      <w:r w:rsidRPr="008324F4">
        <w:rPr>
          <w:rFonts w:cs="Times New Roman"/>
          <w:szCs w:val="24"/>
        </w:rPr>
        <w:t xml:space="preserve"> patient-related factors such as</w:t>
      </w:r>
      <w:r w:rsidR="008324F4" w:rsidRPr="008324F4">
        <w:rPr>
          <w:rFonts w:cs="Times New Roman"/>
          <w:szCs w:val="24"/>
        </w:rPr>
        <w:t xml:space="preserve"> inconsistent wearing of the orthotic.</w:t>
      </w:r>
      <w:r w:rsidRPr="008324F4">
        <w:rPr>
          <w:rFonts w:cs="Times New Roman"/>
          <w:szCs w:val="24"/>
        </w:rPr>
        <w:t xml:space="preserve"> </w:t>
      </w:r>
      <w:r w:rsidR="00B52562">
        <w:rPr>
          <w:rFonts w:cs="Times New Roman"/>
          <w:szCs w:val="24"/>
        </w:rPr>
        <w:t>P</w:t>
      </w:r>
      <w:r w:rsidRPr="008324F4">
        <w:rPr>
          <w:rFonts w:cs="Times New Roman"/>
          <w:szCs w:val="24"/>
        </w:rPr>
        <w:t xml:space="preserve">atients </w:t>
      </w:r>
      <w:r w:rsidR="008324F4">
        <w:rPr>
          <w:rFonts w:cs="Times New Roman"/>
          <w:szCs w:val="24"/>
        </w:rPr>
        <w:t xml:space="preserve">were not required to report </w:t>
      </w:r>
      <w:r w:rsidRPr="008324F4">
        <w:rPr>
          <w:rFonts w:cs="Times New Roman"/>
          <w:szCs w:val="24"/>
        </w:rPr>
        <w:t>compliance</w:t>
      </w:r>
      <w:r w:rsidR="008324F4">
        <w:rPr>
          <w:rFonts w:cs="Times New Roman"/>
          <w:szCs w:val="24"/>
        </w:rPr>
        <w:t xml:space="preserve"> with orthotic use</w:t>
      </w:r>
      <w:r w:rsidRPr="008324F4">
        <w:rPr>
          <w:rFonts w:cs="Times New Roman"/>
          <w:szCs w:val="24"/>
        </w:rPr>
        <w:t xml:space="preserve">, </w:t>
      </w:r>
      <w:r w:rsidR="008324F4">
        <w:rPr>
          <w:rFonts w:cs="Times New Roman"/>
          <w:szCs w:val="24"/>
        </w:rPr>
        <w:t>an</w:t>
      </w:r>
      <w:r w:rsidR="00B52562">
        <w:rPr>
          <w:rFonts w:cs="Times New Roman"/>
          <w:szCs w:val="24"/>
        </w:rPr>
        <w:t>d monitoring was not conducted. This is a failure of the study to measure a factor that could influence the outcome.</w:t>
      </w:r>
    </w:p>
    <w:p w:rsidR="000A50B6" w:rsidRPr="00B52562" w:rsidRDefault="00375173" w:rsidP="00315686">
      <w:pPr>
        <w:pStyle w:val="ListParagraph"/>
        <w:numPr>
          <w:ilvl w:val="0"/>
          <w:numId w:val="4"/>
        </w:numPr>
        <w:rPr>
          <w:rFonts w:cs="Times New Roman"/>
          <w:szCs w:val="24"/>
        </w:rPr>
      </w:pPr>
      <w:r w:rsidRPr="00B52562">
        <w:rPr>
          <w:rFonts w:cs="Times New Roman"/>
          <w:szCs w:val="24"/>
        </w:rPr>
        <w:t xml:space="preserve">Analysis </w:t>
      </w:r>
      <w:r w:rsidR="008E3D23" w:rsidRPr="00B52562">
        <w:rPr>
          <w:rFonts w:cs="Times New Roman"/>
          <w:szCs w:val="24"/>
        </w:rPr>
        <w:t xml:space="preserve">data on </w:t>
      </w:r>
      <w:r w:rsidRPr="00B52562">
        <w:rPr>
          <w:rFonts w:cs="Times New Roman"/>
          <w:szCs w:val="24"/>
        </w:rPr>
        <w:t xml:space="preserve">differences between groups in </w:t>
      </w:r>
      <w:r w:rsidR="008E3D23" w:rsidRPr="00B52562">
        <w:rPr>
          <w:rFonts w:cs="Times New Roman"/>
          <w:szCs w:val="24"/>
        </w:rPr>
        <w:t xml:space="preserve">demographic characteristics were </w:t>
      </w:r>
      <w:r w:rsidRPr="00B52562">
        <w:rPr>
          <w:rFonts w:cs="Times New Roman"/>
          <w:szCs w:val="24"/>
        </w:rPr>
        <w:t xml:space="preserve">not </w:t>
      </w:r>
      <w:r w:rsidR="008E3D23" w:rsidRPr="00B52562">
        <w:rPr>
          <w:rFonts w:cs="Times New Roman"/>
          <w:szCs w:val="24"/>
        </w:rPr>
        <w:t>given</w:t>
      </w:r>
      <w:r w:rsidRPr="00B52562">
        <w:rPr>
          <w:rFonts w:cs="Times New Roman"/>
          <w:szCs w:val="24"/>
        </w:rPr>
        <w:t>,</w:t>
      </w:r>
      <w:r w:rsidR="008E3D23" w:rsidRPr="00B52562">
        <w:rPr>
          <w:rFonts w:cs="Times New Roman"/>
          <w:szCs w:val="24"/>
        </w:rPr>
        <w:t xml:space="preserve"> and so it is unknown if the </w:t>
      </w:r>
      <w:r w:rsidR="000A50B6" w:rsidRPr="00B52562">
        <w:rPr>
          <w:rFonts w:cs="Times New Roman"/>
          <w:szCs w:val="24"/>
        </w:rPr>
        <w:t>groups differ</w:t>
      </w:r>
      <w:r w:rsidR="008E3D23" w:rsidRPr="00B52562">
        <w:rPr>
          <w:rFonts w:cs="Times New Roman"/>
          <w:szCs w:val="24"/>
        </w:rPr>
        <w:t>ed</w:t>
      </w:r>
      <w:r w:rsidR="000A50B6" w:rsidRPr="00B52562">
        <w:rPr>
          <w:rFonts w:cs="Times New Roman"/>
          <w:szCs w:val="24"/>
        </w:rPr>
        <w:t xml:space="preserve"> significantly in </w:t>
      </w:r>
      <w:r w:rsidRPr="00B52562">
        <w:rPr>
          <w:rFonts w:cs="Times New Roman"/>
          <w:szCs w:val="24"/>
        </w:rPr>
        <w:t xml:space="preserve">any of the </w:t>
      </w:r>
      <w:r w:rsidR="000A50B6" w:rsidRPr="00B52562">
        <w:rPr>
          <w:rFonts w:cs="Times New Roman"/>
          <w:szCs w:val="24"/>
        </w:rPr>
        <w:t>demographic characteristics</w:t>
      </w:r>
      <w:r w:rsidR="008E3D23" w:rsidRPr="00B52562">
        <w:rPr>
          <w:rFonts w:cs="Times New Roman"/>
          <w:szCs w:val="24"/>
        </w:rPr>
        <w:t>.</w:t>
      </w:r>
      <w:r w:rsidR="000A50B6" w:rsidRPr="00B52562">
        <w:rPr>
          <w:rFonts w:cs="Times New Roman"/>
          <w:szCs w:val="24"/>
        </w:rPr>
        <w:t xml:space="preserve"> </w:t>
      </w:r>
    </w:p>
    <w:p w:rsidR="008F7D63" w:rsidRPr="008F7D63" w:rsidRDefault="008F7D63" w:rsidP="008F7D63">
      <w:pPr>
        <w:pStyle w:val="ListParagraph"/>
        <w:ind w:left="720"/>
        <w:rPr>
          <w:rFonts w:cs="Times New Roman"/>
          <w:szCs w:val="24"/>
        </w:rPr>
      </w:pPr>
    </w:p>
    <w:p w:rsidR="00C705EC" w:rsidRDefault="00A21533" w:rsidP="00915B20">
      <w:pPr>
        <w:ind w:left="0"/>
        <w:rPr>
          <w:rFonts w:cs="Times New Roman"/>
          <w:b/>
          <w:i/>
          <w:szCs w:val="24"/>
        </w:rPr>
      </w:pPr>
      <w:r w:rsidRPr="00915B20">
        <w:rPr>
          <w:rFonts w:cs="Times New Roman"/>
          <w:b/>
          <w:szCs w:val="24"/>
        </w:rPr>
        <w:t>Assessment</w:t>
      </w:r>
      <w:r w:rsidRPr="00915B20">
        <w:rPr>
          <w:rFonts w:cs="Times New Roman"/>
          <w:b/>
          <w:i/>
          <w:szCs w:val="24"/>
        </w:rPr>
        <w:t>:</w:t>
      </w:r>
    </w:p>
    <w:p w:rsidR="00DD1281" w:rsidRDefault="00DD1281" w:rsidP="00AC55B6">
      <w:pPr>
        <w:pStyle w:val="ListParagraph"/>
        <w:ind w:left="0"/>
        <w:rPr>
          <w:rFonts w:cs="Times New Roman"/>
          <w:szCs w:val="24"/>
        </w:rPr>
      </w:pPr>
      <w:bookmarkStart w:id="0" w:name="_GoBack"/>
      <w:bookmarkEnd w:id="0"/>
    </w:p>
    <w:p w:rsidR="00DD1281" w:rsidRDefault="00DD1281" w:rsidP="00DD1281">
      <w:pPr>
        <w:pStyle w:val="ListParagraph"/>
        <w:numPr>
          <w:ilvl w:val="0"/>
          <w:numId w:val="17"/>
        </w:numPr>
        <w:rPr>
          <w:rFonts w:cs="Times New Roman"/>
          <w:szCs w:val="24"/>
        </w:rPr>
      </w:pPr>
      <w:r w:rsidRPr="007D3855">
        <w:rPr>
          <w:rFonts w:cs="Times New Roman"/>
          <w:szCs w:val="24"/>
        </w:rPr>
        <w:t xml:space="preserve">This adequate study provides some evidence </w:t>
      </w:r>
      <w:r w:rsidRPr="006F490F">
        <w:rPr>
          <w:rFonts w:cs="Times New Roman"/>
          <w:szCs w:val="24"/>
        </w:rPr>
        <w:t xml:space="preserve">that </w:t>
      </w:r>
      <w:r>
        <w:rPr>
          <w:rFonts w:cs="Times New Roman"/>
          <w:szCs w:val="24"/>
        </w:rPr>
        <w:t>in the post</w:t>
      </w:r>
      <w:r w:rsidRPr="00451629">
        <w:rPr>
          <w:rFonts w:cs="Times New Roman"/>
          <w:szCs w:val="24"/>
        </w:rPr>
        <w:t>operative management</w:t>
      </w:r>
      <w:r>
        <w:rPr>
          <w:rFonts w:cs="Times New Roman"/>
          <w:szCs w:val="24"/>
        </w:rPr>
        <w:t xml:space="preserve"> </w:t>
      </w:r>
      <w:r w:rsidRPr="00451629">
        <w:rPr>
          <w:rFonts w:cs="Times New Roman"/>
          <w:szCs w:val="24"/>
        </w:rPr>
        <w:t xml:space="preserve">at one year following </w:t>
      </w:r>
      <w:r w:rsidR="00EC001A" w:rsidRPr="00766677">
        <w:rPr>
          <w:rFonts w:cs="Times New Roman"/>
          <w:szCs w:val="24"/>
        </w:rPr>
        <w:t xml:space="preserve">trapeziometacarpal </w:t>
      </w:r>
      <w:r w:rsidR="00EC001A">
        <w:rPr>
          <w:rFonts w:cs="Times New Roman"/>
          <w:szCs w:val="24"/>
        </w:rPr>
        <w:t>(</w:t>
      </w:r>
      <w:r w:rsidRPr="00451629">
        <w:rPr>
          <w:rFonts w:cs="Times New Roman"/>
          <w:szCs w:val="24"/>
        </w:rPr>
        <w:t>TMC</w:t>
      </w:r>
      <w:r w:rsidR="00EC001A">
        <w:rPr>
          <w:rFonts w:cs="Times New Roman"/>
          <w:szCs w:val="24"/>
        </w:rPr>
        <w:t>)</w:t>
      </w:r>
      <w:r w:rsidRPr="00451629">
        <w:rPr>
          <w:rFonts w:cs="Times New Roman"/>
          <w:szCs w:val="24"/>
        </w:rPr>
        <w:t xml:space="preserve"> arthroplasty</w:t>
      </w:r>
      <w:r>
        <w:rPr>
          <w:rFonts w:cs="Times New Roman"/>
          <w:szCs w:val="24"/>
        </w:rPr>
        <w:t>,</w:t>
      </w:r>
      <w:r w:rsidRPr="00451629">
        <w:rPr>
          <w:rFonts w:cs="Times New Roman"/>
          <w:szCs w:val="24"/>
        </w:rPr>
        <w:t xml:space="preserve"> there is no </w:t>
      </w:r>
      <w:r>
        <w:rPr>
          <w:rFonts w:cs="Times New Roman"/>
          <w:szCs w:val="24"/>
        </w:rPr>
        <w:t xml:space="preserve">significant </w:t>
      </w:r>
      <w:r w:rsidRPr="00451629">
        <w:rPr>
          <w:rFonts w:cs="Times New Roman"/>
          <w:szCs w:val="24"/>
        </w:rPr>
        <w:t>difference</w:t>
      </w:r>
      <w:r>
        <w:rPr>
          <w:rFonts w:cs="Times New Roman"/>
          <w:szCs w:val="24"/>
        </w:rPr>
        <w:t xml:space="preserve"> </w:t>
      </w:r>
      <w:r w:rsidRPr="00451629">
        <w:rPr>
          <w:rFonts w:cs="Times New Roman"/>
          <w:szCs w:val="24"/>
        </w:rPr>
        <w:t xml:space="preserve">in pain, function, range </w:t>
      </w:r>
      <w:r>
        <w:rPr>
          <w:rFonts w:cs="Times New Roman"/>
          <w:szCs w:val="24"/>
        </w:rPr>
        <w:t xml:space="preserve">of motion, </w:t>
      </w:r>
      <w:r w:rsidRPr="00451629">
        <w:rPr>
          <w:rFonts w:cs="Times New Roman"/>
          <w:szCs w:val="24"/>
        </w:rPr>
        <w:t xml:space="preserve">or </w:t>
      </w:r>
      <w:r>
        <w:rPr>
          <w:rFonts w:cs="Times New Roman"/>
          <w:szCs w:val="24"/>
        </w:rPr>
        <w:t xml:space="preserve">grip </w:t>
      </w:r>
      <w:r w:rsidRPr="00451629">
        <w:rPr>
          <w:rFonts w:cs="Times New Roman"/>
          <w:szCs w:val="24"/>
        </w:rPr>
        <w:t xml:space="preserve">strength between </w:t>
      </w:r>
      <w:r w:rsidR="00EC001A">
        <w:rPr>
          <w:rFonts w:cs="Times New Roman"/>
          <w:szCs w:val="24"/>
        </w:rPr>
        <w:t xml:space="preserve">patients </w:t>
      </w:r>
      <w:r w:rsidRPr="00451629">
        <w:rPr>
          <w:rFonts w:cs="Times New Roman"/>
          <w:szCs w:val="24"/>
        </w:rPr>
        <w:t>who</w:t>
      </w:r>
      <w:r>
        <w:rPr>
          <w:rFonts w:cs="Times New Roman"/>
          <w:szCs w:val="24"/>
        </w:rPr>
        <w:t xml:space="preserve"> </w:t>
      </w:r>
      <w:r w:rsidRPr="00451629">
        <w:rPr>
          <w:rFonts w:cs="Times New Roman"/>
          <w:szCs w:val="24"/>
        </w:rPr>
        <w:t xml:space="preserve">wore </w:t>
      </w:r>
      <w:r>
        <w:rPr>
          <w:rFonts w:cs="Times New Roman"/>
          <w:szCs w:val="24"/>
        </w:rPr>
        <w:t xml:space="preserve">standard </w:t>
      </w:r>
      <w:r w:rsidRPr="00451629">
        <w:rPr>
          <w:rFonts w:cs="Times New Roman"/>
          <w:szCs w:val="24"/>
        </w:rPr>
        <w:t xml:space="preserve">rigid orthoses and </w:t>
      </w:r>
      <w:r w:rsidR="00EC001A">
        <w:rPr>
          <w:rFonts w:cs="Times New Roman"/>
          <w:szCs w:val="24"/>
        </w:rPr>
        <w:t xml:space="preserve">patients who wore semi-rigid orthoses </w:t>
      </w:r>
      <w:r w:rsidR="00EC001A" w:rsidRPr="00DD1281">
        <w:rPr>
          <w:rFonts w:cs="Times New Roman"/>
          <w:szCs w:val="24"/>
        </w:rPr>
        <w:t>from 2 to 6 weeks following TMC arthroplasty</w:t>
      </w:r>
      <w:r w:rsidR="00EC001A">
        <w:rPr>
          <w:rFonts w:cs="Times New Roman"/>
          <w:szCs w:val="24"/>
        </w:rPr>
        <w:t>.</w:t>
      </w:r>
    </w:p>
    <w:p w:rsidR="00DD1281" w:rsidRPr="007D3855" w:rsidRDefault="00DD1281" w:rsidP="00AC55B6">
      <w:pPr>
        <w:pStyle w:val="ListParagraph"/>
        <w:ind w:left="0"/>
        <w:rPr>
          <w:rFonts w:cs="Times New Roman"/>
          <w:szCs w:val="24"/>
        </w:rPr>
      </w:pPr>
    </w:p>
    <w:sectPr w:rsidR="00DD1281" w:rsidRPr="007D385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3F77" w:rsidRDefault="00953F77" w:rsidP="00953F77">
      <w:r>
        <w:separator/>
      </w:r>
    </w:p>
  </w:endnote>
  <w:endnote w:type="continuationSeparator" w:id="0">
    <w:p w:rsidR="00953F77" w:rsidRDefault="00953F77" w:rsidP="00953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illerText RomanSC">
    <w:altName w:val="MillerText RomanSC"/>
    <w:panose1 w:val="00000000000000000000"/>
    <w:charset w:val="00"/>
    <w:family w:val="roman"/>
    <w:notTrueType/>
    <w:pitch w:val="default"/>
    <w:sig w:usb0="00000003" w:usb1="00000000" w:usb2="00000000" w:usb3="00000000" w:csb0="00000001" w:csb1="00000000"/>
  </w:font>
  <w:font w:name="MillerText Roman">
    <w:altName w:val="MillerText Roman"/>
    <w:panose1 w:val="00000000000000000000"/>
    <w:charset w:val="00"/>
    <w:family w:val="roman"/>
    <w:notTrueType/>
    <w:pitch w:val="default"/>
    <w:sig w:usb0="00000003" w:usb1="00000000" w:usb2="00000000" w:usb3="00000000" w:csb0="00000001" w:csb1="00000000"/>
  </w:font>
  <w:font w:name="BentonGothicCond Bold">
    <w:altName w:val="BentonGothicCond Bold"/>
    <w:panose1 w:val="00000000000000000000"/>
    <w:charset w:val="00"/>
    <w:family w:val="swiss"/>
    <w:notTrueType/>
    <w:pitch w:val="default"/>
    <w:sig w:usb0="00000003" w:usb1="00000000" w:usb2="00000000" w:usb3="00000000" w:csb0="00000001" w:csb1="00000000"/>
  </w:font>
  <w:font w:name="BentonGothicCond Regular">
    <w:altName w:val="BentonGothicCond Regular"/>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vOT863180fb">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3F77" w:rsidRDefault="00953F77" w:rsidP="00953F77">
      <w:r>
        <w:separator/>
      </w:r>
    </w:p>
  </w:footnote>
  <w:footnote w:type="continuationSeparator" w:id="0">
    <w:p w:rsidR="00953F77" w:rsidRDefault="00953F77" w:rsidP="00953F7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7001A"/>
    <w:multiLevelType w:val="hybridMultilevel"/>
    <w:tmpl w:val="04A0C172"/>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246A3E"/>
    <w:multiLevelType w:val="hybridMultilevel"/>
    <w:tmpl w:val="1B38BD72"/>
    <w:lvl w:ilvl="0" w:tplc="6D70D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1214DF"/>
    <w:multiLevelType w:val="hybridMultilevel"/>
    <w:tmpl w:val="B2863D02"/>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38721E"/>
    <w:multiLevelType w:val="hybridMultilevel"/>
    <w:tmpl w:val="5ACEF9A0"/>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74C028D"/>
    <w:multiLevelType w:val="hybridMultilevel"/>
    <w:tmpl w:val="0C821128"/>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8025BE"/>
    <w:multiLevelType w:val="hybridMultilevel"/>
    <w:tmpl w:val="42B21892"/>
    <w:lvl w:ilvl="0" w:tplc="6D70D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A3217F"/>
    <w:multiLevelType w:val="hybridMultilevel"/>
    <w:tmpl w:val="8AA41662"/>
    <w:lvl w:ilvl="0" w:tplc="6D70D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6356AD"/>
    <w:multiLevelType w:val="hybridMultilevel"/>
    <w:tmpl w:val="CDCCB90E"/>
    <w:lvl w:ilvl="0" w:tplc="6D70D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EE722B"/>
    <w:multiLevelType w:val="hybridMultilevel"/>
    <w:tmpl w:val="467429B0"/>
    <w:lvl w:ilvl="0" w:tplc="6D70D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86565D0"/>
    <w:multiLevelType w:val="hybridMultilevel"/>
    <w:tmpl w:val="C8B8DD88"/>
    <w:lvl w:ilvl="0" w:tplc="3232F9D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DE7ECE"/>
    <w:multiLevelType w:val="hybridMultilevel"/>
    <w:tmpl w:val="1660E670"/>
    <w:lvl w:ilvl="0" w:tplc="6D70D07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F806C96"/>
    <w:multiLevelType w:val="hybridMultilevel"/>
    <w:tmpl w:val="2EE8C6FE"/>
    <w:lvl w:ilvl="0" w:tplc="6D70D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4F023C4"/>
    <w:multiLevelType w:val="hybridMultilevel"/>
    <w:tmpl w:val="9C4C81FA"/>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A452AA8"/>
    <w:multiLevelType w:val="hybridMultilevel"/>
    <w:tmpl w:val="46744948"/>
    <w:lvl w:ilvl="0" w:tplc="6D70D07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FCD6882"/>
    <w:multiLevelType w:val="multilevel"/>
    <w:tmpl w:val="4724C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1713C50"/>
    <w:multiLevelType w:val="multilevel"/>
    <w:tmpl w:val="30627EF6"/>
    <w:lvl w:ilvl="0">
      <w:numFmt w:val="bullet"/>
      <w:lvlText w:val="-"/>
      <w:lvlJc w:val="left"/>
      <w:pPr>
        <w:ind w:left="720" w:hanging="360"/>
      </w:pPr>
      <w:rPr>
        <w:rFonts w:ascii="Times New Roman" w:eastAsiaTheme="minorHAnsi" w:hAnsi="Times New Roman" w:cs="Times New Roman" w:hint="default"/>
      </w:rPr>
    </w:lvl>
    <w:lvl w:ilvl="1">
      <w:start w:val="1"/>
      <w:numFmt w:val="bullet"/>
      <w:lvlText w:val=""/>
      <w:lvlJc w:val="left"/>
      <w:pPr>
        <w:ind w:left="1440" w:hanging="360"/>
      </w:pPr>
      <w:rPr>
        <w:rFonts w:ascii="Symbol" w:hAnsi="Symbol"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7F8F5957"/>
    <w:multiLevelType w:val="hybridMultilevel"/>
    <w:tmpl w:val="118A3F6C"/>
    <w:lvl w:ilvl="0" w:tplc="3232F9D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9"/>
  </w:num>
  <w:num w:numId="3">
    <w:abstractNumId w:val="2"/>
  </w:num>
  <w:num w:numId="4">
    <w:abstractNumId w:val="4"/>
  </w:num>
  <w:num w:numId="5">
    <w:abstractNumId w:val="5"/>
  </w:num>
  <w:num w:numId="6">
    <w:abstractNumId w:val="12"/>
  </w:num>
  <w:num w:numId="7">
    <w:abstractNumId w:val="13"/>
  </w:num>
  <w:num w:numId="8">
    <w:abstractNumId w:val="8"/>
  </w:num>
  <w:num w:numId="9">
    <w:abstractNumId w:val="6"/>
  </w:num>
  <w:num w:numId="10">
    <w:abstractNumId w:val="14"/>
  </w:num>
  <w:num w:numId="11">
    <w:abstractNumId w:val="3"/>
  </w:num>
  <w:num w:numId="12">
    <w:abstractNumId w:val="16"/>
  </w:num>
  <w:num w:numId="13">
    <w:abstractNumId w:val="0"/>
  </w:num>
  <w:num w:numId="14">
    <w:abstractNumId w:val="1"/>
  </w:num>
  <w:num w:numId="15">
    <w:abstractNumId w:val="10"/>
  </w:num>
  <w:num w:numId="16">
    <w:abstractNumId w:val="11"/>
  </w:num>
  <w:num w:numId="1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2BE4"/>
    <w:rsid w:val="00000E3F"/>
    <w:rsid w:val="00001867"/>
    <w:rsid w:val="00003229"/>
    <w:rsid w:val="0000327D"/>
    <w:rsid w:val="00003409"/>
    <w:rsid w:val="00005670"/>
    <w:rsid w:val="000154D1"/>
    <w:rsid w:val="0001776B"/>
    <w:rsid w:val="00020B0C"/>
    <w:rsid w:val="00021D84"/>
    <w:rsid w:val="000247A8"/>
    <w:rsid w:val="00026811"/>
    <w:rsid w:val="00030C5A"/>
    <w:rsid w:val="00037D4F"/>
    <w:rsid w:val="00053CA3"/>
    <w:rsid w:val="00054D9A"/>
    <w:rsid w:val="000566CC"/>
    <w:rsid w:val="00067CA9"/>
    <w:rsid w:val="00072FF4"/>
    <w:rsid w:val="0007303B"/>
    <w:rsid w:val="00076EBE"/>
    <w:rsid w:val="000865CA"/>
    <w:rsid w:val="00087193"/>
    <w:rsid w:val="000932C2"/>
    <w:rsid w:val="0009600D"/>
    <w:rsid w:val="000A1CD5"/>
    <w:rsid w:val="000A50B6"/>
    <w:rsid w:val="000A6DB0"/>
    <w:rsid w:val="000A7A76"/>
    <w:rsid w:val="000B15B1"/>
    <w:rsid w:val="000B62E0"/>
    <w:rsid w:val="000B67FB"/>
    <w:rsid w:val="000B76E6"/>
    <w:rsid w:val="000C4FC2"/>
    <w:rsid w:val="000C6334"/>
    <w:rsid w:val="000D0134"/>
    <w:rsid w:val="000D60AB"/>
    <w:rsid w:val="000E07D9"/>
    <w:rsid w:val="000E294B"/>
    <w:rsid w:val="000E4446"/>
    <w:rsid w:val="000F01BF"/>
    <w:rsid w:val="000F1426"/>
    <w:rsid w:val="000F2E6E"/>
    <w:rsid w:val="000F33CD"/>
    <w:rsid w:val="00101375"/>
    <w:rsid w:val="00105D09"/>
    <w:rsid w:val="0010636C"/>
    <w:rsid w:val="00106B4C"/>
    <w:rsid w:val="001075DA"/>
    <w:rsid w:val="00112D23"/>
    <w:rsid w:val="00113473"/>
    <w:rsid w:val="0011358F"/>
    <w:rsid w:val="00114DAF"/>
    <w:rsid w:val="00117BF6"/>
    <w:rsid w:val="0012019A"/>
    <w:rsid w:val="00123438"/>
    <w:rsid w:val="001239E0"/>
    <w:rsid w:val="00124546"/>
    <w:rsid w:val="00130A9C"/>
    <w:rsid w:val="001322F7"/>
    <w:rsid w:val="00134E24"/>
    <w:rsid w:val="00137167"/>
    <w:rsid w:val="001379BA"/>
    <w:rsid w:val="001402BE"/>
    <w:rsid w:val="00141CC0"/>
    <w:rsid w:val="00146A06"/>
    <w:rsid w:val="00146D9E"/>
    <w:rsid w:val="00156C33"/>
    <w:rsid w:val="00160C64"/>
    <w:rsid w:val="001612BF"/>
    <w:rsid w:val="00162CEF"/>
    <w:rsid w:val="001631AC"/>
    <w:rsid w:val="001671A8"/>
    <w:rsid w:val="00167DDE"/>
    <w:rsid w:val="0017334C"/>
    <w:rsid w:val="00173C26"/>
    <w:rsid w:val="001755BF"/>
    <w:rsid w:val="00183CB5"/>
    <w:rsid w:val="00185B7D"/>
    <w:rsid w:val="00186557"/>
    <w:rsid w:val="00190A66"/>
    <w:rsid w:val="00192AD1"/>
    <w:rsid w:val="00193BBB"/>
    <w:rsid w:val="001A30CA"/>
    <w:rsid w:val="001A3190"/>
    <w:rsid w:val="001A40A4"/>
    <w:rsid w:val="001B514F"/>
    <w:rsid w:val="001B799D"/>
    <w:rsid w:val="001B799E"/>
    <w:rsid w:val="001C0FB1"/>
    <w:rsid w:val="001C1EE7"/>
    <w:rsid w:val="001C3D47"/>
    <w:rsid w:val="001C5323"/>
    <w:rsid w:val="001C60CE"/>
    <w:rsid w:val="001C7F1D"/>
    <w:rsid w:val="001D051B"/>
    <w:rsid w:val="001D7B91"/>
    <w:rsid w:val="001E161E"/>
    <w:rsid w:val="001E245C"/>
    <w:rsid w:val="001E4B6F"/>
    <w:rsid w:val="001E5322"/>
    <w:rsid w:val="001E7100"/>
    <w:rsid w:val="001F29EF"/>
    <w:rsid w:val="001F62DB"/>
    <w:rsid w:val="001F7F9F"/>
    <w:rsid w:val="00202041"/>
    <w:rsid w:val="00203DEC"/>
    <w:rsid w:val="00204475"/>
    <w:rsid w:val="00206053"/>
    <w:rsid w:val="00207378"/>
    <w:rsid w:val="002100EF"/>
    <w:rsid w:val="00210AD5"/>
    <w:rsid w:val="00210CAB"/>
    <w:rsid w:val="0022236C"/>
    <w:rsid w:val="002239B5"/>
    <w:rsid w:val="002252EC"/>
    <w:rsid w:val="002256F4"/>
    <w:rsid w:val="00225707"/>
    <w:rsid w:val="00226B21"/>
    <w:rsid w:val="002310AC"/>
    <w:rsid w:val="00232F12"/>
    <w:rsid w:val="00233AEC"/>
    <w:rsid w:val="00235C1F"/>
    <w:rsid w:val="002362F1"/>
    <w:rsid w:val="00236665"/>
    <w:rsid w:val="00237E68"/>
    <w:rsid w:val="0024294B"/>
    <w:rsid w:val="002463CD"/>
    <w:rsid w:val="0024640A"/>
    <w:rsid w:val="00247792"/>
    <w:rsid w:val="0025385E"/>
    <w:rsid w:val="00254238"/>
    <w:rsid w:val="00261C1E"/>
    <w:rsid w:val="0026538D"/>
    <w:rsid w:val="002678F0"/>
    <w:rsid w:val="00273DE4"/>
    <w:rsid w:val="00277135"/>
    <w:rsid w:val="002818BA"/>
    <w:rsid w:val="00282963"/>
    <w:rsid w:val="00284637"/>
    <w:rsid w:val="00285FEB"/>
    <w:rsid w:val="0029056E"/>
    <w:rsid w:val="00291C4F"/>
    <w:rsid w:val="00295E1C"/>
    <w:rsid w:val="0029623C"/>
    <w:rsid w:val="002977A9"/>
    <w:rsid w:val="002A0E04"/>
    <w:rsid w:val="002A3661"/>
    <w:rsid w:val="002A44C2"/>
    <w:rsid w:val="002A77B9"/>
    <w:rsid w:val="002B3233"/>
    <w:rsid w:val="002B3483"/>
    <w:rsid w:val="002B751C"/>
    <w:rsid w:val="002C32E8"/>
    <w:rsid w:val="002D0637"/>
    <w:rsid w:val="002D1DB0"/>
    <w:rsid w:val="002D28BF"/>
    <w:rsid w:val="002D31E6"/>
    <w:rsid w:val="002D54E3"/>
    <w:rsid w:val="002E0E37"/>
    <w:rsid w:val="002E16DD"/>
    <w:rsid w:val="002E27B0"/>
    <w:rsid w:val="002E3789"/>
    <w:rsid w:val="002E3E5C"/>
    <w:rsid w:val="002E4252"/>
    <w:rsid w:val="002E479B"/>
    <w:rsid w:val="002E7108"/>
    <w:rsid w:val="002F15E1"/>
    <w:rsid w:val="002F4C65"/>
    <w:rsid w:val="002F6BF6"/>
    <w:rsid w:val="00305931"/>
    <w:rsid w:val="003148D1"/>
    <w:rsid w:val="00315686"/>
    <w:rsid w:val="003162CF"/>
    <w:rsid w:val="00316A0E"/>
    <w:rsid w:val="00320444"/>
    <w:rsid w:val="0032565B"/>
    <w:rsid w:val="00326A12"/>
    <w:rsid w:val="00326ADD"/>
    <w:rsid w:val="0032702E"/>
    <w:rsid w:val="00327FBF"/>
    <w:rsid w:val="0033415D"/>
    <w:rsid w:val="00340EEF"/>
    <w:rsid w:val="00342A70"/>
    <w:rsid w:val="00342DF5"/>
    <w:rsid w:val="00352D9D"/>
    <w:rsid w:val="003562F4"/>
    <w:rsid w:val="00356E1E"/>
    <w:rsid w:val="00357386"/>
    <w:rsid w:val="00357B7B"/>
    <w:rsid w:val="00357DCB"/>
    <w:rsid w:val="0036020B"/>
    <w:rsid w:val="003617BD"/>
    <w:rsid w:val="00361BA7"/>
    <w:rsid w:val="003620F0"/>
    <w:rsid w:val="0036394B"/>
    <w:rsid w:val="00364255"/>
    <w:rsid w:val="00364C45"/>
    <w:rsid w:val="00365A45"/>
    <w:rsid w:val="003665BE"/>
    <w:rsid w:val="00367227"/>
    <w:rsid w:val="00367C04"/>
    <w:rsid w:val="00374CBC"/>
    <w:rsid w:val="00374DF9"/>
    <w:rsid w:val="00375173"/>
    <w:rsid w:val="003761FE"/>
    <w:rsid w:val="00376536"/>
    <w:rsid w:val="0037742F"/>
    <w:rsid w:val="0038056F"/>
    <w:rsid w:val="00381F3C"/>
    <w:rsid w:val="00393824"/>
    <w:rsid w:val="00393F08"/>
    <w:rsid w:val="00394877"/>
    <w:rsid w:val="003962C6"/>
    <w:rsid w:val="003A1A39"/>
    <w:rsid w:val="003A6E98"/>
    <w:rsid w:val="003A7F1C"/>
    <w:rsid w:val="003B000A"/>
    <w:rsid w:val="003B102B"/>
    <w:rsid w:val="003B43B1"/>
    <w:rsid w:val="003B46E2"/>
    <w:rsid w:val="003B587A"/>
    <w:rsid w:val="003B59E1"/>
    <w:rsid w:val="003C2D3E"/>
    <w:rsid w:val="003C2DD4"/>
    <w:rsid w:val="003C2F54"/>
    <w:rsid w:val="003C5BC9"/>
    <w:rsid w:val="003C63EA"/>
    <w:rsid w:val="003C6FAD"/>
    <w:rsid w:val="003C752F"/>
    <w:rsid w:val="003C78DC"/>
    <w:rsid w:val="003D0C39"/>
    <w:rsid w:val="003D5C5E"/>
    <w:rsid w:val="003E35D7"/>
    <w:rsid w:val="003E3EE6"/>
    <w:rsid w:val="003E50C1"/>
    <w:rsid w:val="003E7006"/>
    <w:rsid w:val="003F676E"/>
    <w:rsid w:val="003F7668"/>
    <w:rsid w:val="004007E9"/>
    <w:rsid w:val="00400A4F"/>
    <w:rsid w:val="004038ED"/>
    <w:rsid w:val="0041033D"/>
    <w:rsid w:val="00411BE8"/>
    <w:rsid w:val="0041508D"/>
    <w:rsid w:val="00422A5B"/>
    <w:rsid w:val="004240A0"/>
    <w:rsid w:val="0042475D"/>
    <w:rsid w:val="00425E3A"/>
    <w:rsid w:val="00426C3A"/>
    <w:rsid w:val="0042746D"/>
    <w:rsid w:val="00430CA1"/>
    <w:rsid w:val="004337DF"/>
    <w:rsid w:val="00436D33"/>
    <w:rsid w:val="00440A32"/>
    <w:rsid w:val="00442D27"/>
    <w:rsid w:val="00443BB9"/>
    <w:rsid w:val="00446110"/>
    <w:rsid w:val="0044792D"/>
    <w:rsid w:val="00450CAD"/>
    <w:rsid w:val="00451629"/>
    <w:rsid w:val="00452611"/>
    <w:rsid w:val="0045408D"/>
    <w:rsid w:val="00454579"/>
    <w:rsid w:val="00462322"/>
    <w:rsid w:val="0046655E"/>
    <w:rsid w:val="00472443"/>
    <w:rsid w:val="00475C8A"/>
    <w:rsid w:val="00484D66"/>
    <w:rsid w:val="00490437"/>
    <w:rsid w:val="004916DF"/>
    <w:rsid w:val="00493432"/>
    <w:rsid w:val="0049584B"/>
    <w:rsid w:val="00497357"/>
    <w:rsid w:val="004A035F"/>
    <w:rsid w:val="004A05BE"/>
    <w:rsid w:val="004A088F"/>
    <w:rsid w:val="004A4391"/>
    <w:rsid w:val="004A4E2A"/>
    <w:rsid w:val="004B19DB"/>
    <w:rsid w:val="004B576E"/>
    <w:rsid w:val="004B71F0"/>
    <w:rsid w:val="004B7529"/>
    <w:rsid w:val="004C0125"/>
    <w:rsid w:val="004C33CA"/>
    <w:rsid w:val="004C3F77"/>
    <w:rsid w:val="004C41B9"/>
    <w:rsid w:val="004C4EED"/>
    <w:rsid w:val="004C4F1B"/>
    <w:rsid w:val="004C6A60"/>
    <w:rsid w:val="004C7A27"/>
    <w:rsid w:val="004D0168"/>
    <w:rsid w:val="004D051A"/>
    <w:rsid w:val="004D0EA0"/>
    <w:rsid w:val="004D3081"/>
    <w:rsid w:val="004D4B69"/>
    <w:rsid w:val="004D5790"/>
    <w:rsid w:val="004D5F0B"/>
    <w:rsid w:val="004E00A0"/>
    <w:rsid w:val="004E06DC"/>
    <w:rsid w:val="004E19BC"/>
    <w:rsid w:val="004E19E4"/>
    <w:rsid w:val="004E1B1C"/>
    <w:rsid w:val="004E324D"/>
    <w:rsid w:val="004E45A0"/>
    <w:rsid w:val="004E482F"/>
    <w:rsid w:val="004F2CF1"/>
    <w:rsid w:val="0050062A"/>
    <w:rsid w:val="00500A18"/>
    <w:rsid w:val="00502764"/>
    <w:rsid w:val="00504ACA"/>
    <w:rsid w:val="00505D22"/>
    <w:rsid w:val="0050615C"/>
    <w:rsid w:val="00507EB9"/>
    <w:rsid w:val="00510839"/>
    <w:rsid w:val="005116C2"/>
    <w:rsid w:val="005144BE"/>
    <w:rsid w:val="00515215"/>
    <w:rsid w:val="00515794"/>
    <w:rsid w:val="0051606B"/>
    <w:rsid w:val="005237BB"/>
    <w:rsid w:val="00523B45"/>
    <w:rsid w:val="00525E6E"/>
    <w:rsid w:val="005271CD"/>
    <w:rsid w:val="005319C1"/>
    <w:rsid w:val="00531B27"/>
    <w:rsid w:val="005356E8"/>
    <w:rsid w:val="00535BE1"/>
    <w:rsid w:val="00540A28"/>
    <w:rsid w:val="005441DA"/>
    <w:rsid w:val="00544D06"/>
    <w:rsid w:val="00550F6C"/>
    <w:rsid w:val="00551AEF"/>
    <w:rsid w:val="005543FC"/>
    <w:rsid w:val="00555B3C"/>
    <w:rsid w:val="0055780B"/>
    <w:rsid w:val="005621EA"/>
    <w:rsid w:val="005648EF"/>
    <w:rsid w:val="0056633B"/>
    <w:rsid w:val="00581117"/>
    <w:rsid w:val="0058189A"/>
    <w:rsid w:val="0058598F"/>
    <w:rsid w:val="0059193C"/>
    <w:rsid w:val="00597B83"/>
    <w:rsid w:val="005A14AD"/>
    <w:rsid w:val="005A1705"/>
    <w:rsid w:val="005A1844"/>
    <w:rsid w:val="005A2AED"/>
    <w:rsid w:val="005B0A2D"/>
    <w:rsid w:val="005B1BDB"/>
    <w:rsid w:val="005B46B7"/>
    <w:rsid w:val="005B4A88"/>
    <w:rsid w:val="005B524E"/>
    <w:rsid w:val="005B740E"/>
    <w:rsid w:val="005C0C92"/>
    <w:rsid w:val="005C18C2"/>
    <w:rsid w:val="005C5385"/>
    <w:rsid w:val="005C5CBD"/>
    <w:rsid w:val="005C63E7"/>
    <w:rsid w:val="005D2104"/>
    <w:rsid w:val="005D7A71"/>
    <w:rsid w:val="005E51A2"/>
    <w:rsid w:val="005E5584"/>
    <w:rsid w:val="005E767C"/>
    <w:rsid w:val="005F4A8C"/>
    <w:rsid w:val="005F6820"/>
    <w:rsid w:val="00601BDE"/>
    <w:rsid w:val="00602DD6"/>
    <w:rsid w:val="00604865"/>
    <w:rsid w:val="006064D3"/>
    <w:rsid w:val="00607475"/>
    <w:rsid w:val="00607B6F"/>
    <w:rsid w:val="00611064"/>
    <w:rsid w:val="0061666B"/>
    <w:rsid w:val="00626417"/>
    <w:rsid w:val="006266D2"/>
    <w:rsid w:val="006271F5"/>
    <w:rsid w:val="00634029"/>
    <w:rsid w:val="006409AB"/>
    <w:rsid w:val="00643667"/>
    <w:rsid w:val="00646C82"/>
    <w:rsid w:val="006510CA"/>
    <w:rsid w:val="0065724D"/>
    <w:rsid w:val="0065746E"/>
    <w:rsid w:val="00661BE3"/>
    <w:rsid w:val="006632E9"/>
    <w:rsid w:val="00663604"/>
    <w:rsid w:val="00666CF8"/>
    <w:rsid w:val="006701D9"/>
    <w:rsid w:val="006708FB"/>
    <w:rsid w:val="00671173"/>
    <w:rsid w:val="00672BAD"/>
    <w:rsid w:val="00673218"/>
    <w:rsid w:val="00673CDB"/>
    <w:rsid w:val="00675998"/>
    <w:rsid w:val="00677EEC"/>
    <w:rsid w:val="0068124B"/>
    <w:rsid w:val="006907ED"/>
    <w:rsid w:val="00692CEE"/>
    <w:rsid w:val="00692F53"/>
    <w:rsid w:val="0069616B"/>
    <w:rsid w:val="006A087B"/>
    <w:rsid w:val="006A0B96"/>
    <w:rsid w:val="006A37CF"/>
    <w:rsid w:val="006A655F"/>
    <w:rsid w:val="006B45B2"/>
    <w:rsid w:val="006B58AD"/>
    <w:rsid w:val="006B7F3F"/>
    <w:rsid w:val="006C05FB"/>
    <w:rsid w:val="006C0715"/>
    <w:rsid w:val="006C193B"/>
    <w:rsid w:val="006C4F2A"/>
    <w:rsid w:val="006C5DAF"/>
    <w:rsid w:val="006C70AC"/>
    <w:rsid w:val="006C7930"/>
    <w:rsid w:val="006D10A0"/>
    <w:rsid w:val="006D1EF2"/>
    <w:rsid w:val="006D22D0"/>
    <w:rsid w:val="006D2941"/>
    <w:rsid w:val="006D48B9"/>
    <w:rsid w:val="006D619E"/>
    <w:rsid w:val="006D672B"/>
    <w:rsid w:val="006E129C"/>
    <w:rsid w:val="006E195A"/>
    <w:rsid w:val="006E30F8"/>
    <w:rsid w:val="006E55B1"/>
    <w:rsid w:val="006E59F7"/>
    <w:rsid w:val="006F29BA"/>
    <w:rsid w:val="006F2F22"/>
    <w:rsid w:val="006F490F"/>
    <w:rsid w:val="00700C84"/>
    <w:rsid w:val="00702468"/>
    <w:rsid w:val="007024E3"/>
    <w:rsid w:val="00702F27"/>
    <w:rsid w:val="00706FE7"/>
    <w:rsid w:val="00712483"/>
    <w:rsid w:val="00713CAA"/>
    <w:rsid w:val="007141D5"/>
    <w:rsid w:val="00717931"/>
    <w:rsid w:val="007179B8"/>
    <w:rsid w:val="00720495"/>
    <w:rsid w:val="0072247E"/>
    <w:rsid w:val="00724AA0"/>
    <w:rsid w:val="00725DBF"/>
    <w:rsid w:val="00732531"/>
    <w:rsid w:val="00734FEA"/>
    <w:rsid w:val="00735652"/>
    <w:rsid w:val="00736042"/>
    <w:rsid w:val="00736E82"/>
    <w:rsid w:val="00740553"/>
    <w:rsid w:val="00740CD1"/>
    <w:rsid w:val="007507C3"/>
    <w:rsid w:val="00751E2C"/>
    <w:rsid w:val="00752599"/>
    <w:rsid w:val="00752A63"/>
    <w:rsid w:val="00755A14"/>
    <w:rsid w:val="00755D76"/>
    <w:rsid w:val="00756C4C"/>
    <w:rsid w:val="00757153"/>
    <w:rsid w:val="00761F0D"/>
    <w:rsid w:val="00766677"/>
    <w:rsid w:val="00766762"/>
    <w:rsid w:val="00771734"/>
    <w:rsid w:val="007773E8"/>
    <w:rsid w:val="00782DC1"/>
    <w:rsid w:val="00784337"/>
    <w:rsid w:val="00790CD2"/>
    <w:rsid w:val="00790E94"/>
    <w:rsid w:val="00794BDB"/>
    <w:rsid w:val="0079579B"/>
    <w:rsid w:val="00795FFE"/>
    <w:rsid w:val="007A1C62"/>
    <w:rsid w:val="007A28C1"/>
    <w:rsid w:val="007A426E"/>
    <w:rsid w:val="007A4CA4"/>
    <w:rsid w:val="007B147A"/>
    <w:rsid w:val="007B4BFC"/>
    <w:rsid w:val="007B5AE8"/>
    <w:rsid w:val="007B71C4"/>
    <w:rsid w:val="007B7CDE"/>
    <w:rsid w:val="007C0213"/>
    <w:rsid w:val="007C11C1"/>
    <w:rsid w:val="007C223C"/>
    <w:rsid w:val="007C4034"/>
    <w:rsid w:val="007C4303"/>
    <w:rsid w:val="007C53FE"/>
    <w:rsid w:val="007C57A3"/>
    <w:rsid w:val="007C5FAF"/>
    <w:rsid w:val="007C6DC1"/>
    <w:rsid w:val="007C71A4"/>
    <w:rsid w:val="007C73EF"/>
    <w:rsid w:val="007D29DB"/>
    <w:rsid w:val="007D2C06"/>
    <w:rsid w:val="007D3855"/>
    <w:rsid w:val="007E3FC7"/>
    <w:rsid w:val="007E4E5D"/>
    <w:rsid w:val="007E7C44"/>
    <w:rsid w:val="007F066E"/>
    <w:rsid w:val="007F148E"/>
    <w:rsid w:val="007F1F8C"/>
    <w:rsid w:val="007F2FAA"/>
    <w:rsid w:val="007F5A1A"/>
    <w:rsid w:val="007F647F"/>
    <w:rsid w:val="007F7743"/>
    <w:rsid w:val="0080204B"/>
    <w:rsid w:val="00805F2C"/>
    <w:rsid w:val="008079DA"/>
    <w:rsid w:val="00810238"/>
    <w:rsid w:val="008112EF"/>
    <w:rsid w:val="00820146"/>
    <w:rsid w:val="008217DF"/>
    <w:rsid w:val="008243D6"/>
    <w:rsid w:val="00824F44"/>
    <w:rsid w:val="008324F4"/>
    <w:rsid w:val="008335F6"/>
    <w:rsid w:val="0083525D"/>
    <w:rsid w:val="00837627"/>
    <w:rsid w:val="0084138A"/>
    <w:rsid w:val="008414A9"/>
    <w:rsid w:val="008460F9"/>
    <w:rsid w:val="0084683D"/>
    <w:rsid w:val="00847919"/>
    <w:rsid w:val="008501EF"/>
    <w:rsid w:val="00855AF8"/>
    <w:rsid w:val="008603C7"/>
    <w:rsid w:val="00863B28"/>
    <w:rsid w:val="00865DD9"/>
    <w:rsid w:val="00874367"/>
    <w:rsid w:val="0087489D"/>
    <w:rsid w:val="0087550D"/>
    <w:rsid w:val="008756DC"/>
    <w:rsid w:val="00875E30"/>
    <w:rsid w:val="0087638E"/>
    <w:rsid w:val="00877FDD"/>
    <w:rsid w:val="008820A0"/>
    <w:rsid w:val="008829F6"/>
    <w:rsid w:val="008934D9"/>
    <w:rsid w:val="008940C9"/>
    <w:rsid w:val="008A1950"/>
    <w:rsid w:val="008A3029"/>
    <w:rsid w:val="008A39DA"/>
    <w:rsid w:val="008A6445"/>
    <w:rsid w:val="008B1EE4"/>
    <w:rsid w:val="008B55C0"/>
    <w:rsid w:val="008C0AB5"/>
    <w:rsid w:val="008C1CC9"/>
    <w:rsid w:val="008C5B1A"/>
    <w:rsid w:val="008C6804"/>
    <w:rsid w:val="008D0FA9"/>
    <w:rsid w:val="008D11C3"/>
    <w:rsid w:val="008D264D"/>
    <w:rsid w:val="008D669D"/>
    <w:rsid w:val="008D7925"/>
    <w:rsid w:val="008E2D48"/>
    <w:rsid w:val="008E3D23"/>
    <w:rsid w:val="008E4290"/>
    <w:rsid w:val="008E790D"/>
    <w:rsid w:val="008F1524"/>
    <w:rsid w:val="008F2422"/>
    <w:rsid w:val="008F39B7"/>
    <w:rsid w:val="008F5526"/>
    <w:rsid w:val="008F7D63"/>
    <w:rsid w:val="00900F3B"/>
    <w:rsid w:val="009015F1"/>
    <w:rsid w:val="009016D6"/>
    <w:rsid w:val="009070D4"/>
    <w:rsid w:val="0091119B"/>
    <w:rsid w:val="00915B20"/>
    <w:rsid w:val="00916C0E"/>
    <w:rsid w:val="00917123"/>
    <w:rsid w:val="009229DE"/>
    <w:rsid w:val="009304B7"/>
    <w:rsid w:val="009361B4"/>
    <w:rsid w:val="0093660C"/>
    <w:rsid w:val="00937522"/>
    <w:rsid w:val="00940986"/>
    <w:rsid w:val="00942880"/>
    <w:rsid w:val="0095020D"/>
    <w:rsid w:val="009517A8"/>
    <w:rsid w:val="009529F1"/>
    <w:rsid w:val="00953B7E"/>
    <w:rsid w:val="00953F77"/>
    <w:rsid w:val="00960DA0"/>
    <w:rsid w:val="00960E29"/>
    <w:rsid w:val="00961746"/>
    <w:rsid w:val="00962745"/>
    <w:rsid w:val="00962EA7"/>
    <w:rsid w:val="00964621"/>
    <w:rsid w:val="00971540"/>
    <w:rsid w:val="009720CE"/>
    <w:rsid w:val="00975367"/>
    <w:rsid w:val="00976BAE"/>
    <w:rsid w:val="00976C0D"/>
    <w:rsid w:val="009772F6"/>
    <w:rsid w:val="009823D6"/>
    <w:rsid w:val="009844C7"/>
    <w:rsid w:val="009853DB"/>
    <w:rsid w:val="00986A06"/>
    <w:rsid w:val="00991F49"/>
    <w:rsid w:val="00993F5E"/>
    <w:rsid w:val="0099404B"/>
    <w:rsid w:val="009A331F"/>
    <w:rsid w:val="009A7293"/>
    <w:rsid w:val="009B2A24"/>
    <w:rsid w:val="009B4E35"/>
    <w:rsid w:val="009C276F"/>
    <w:rsid w:val="009C2BA1"/>
    <w:rsid w:val="009D0928"/>
    <w:rsid w:val="009D2C02"/>
    <w:rsid w:val="009D4E8A"/>
    <w:rsid w:val="009D5517"/>
    <w:rsid w:val="009D67A9"/>
    <w:rsid w:val="009E2C74"/>
    <w:rsid w:val="009E39DF"/>
    <w:rsid w:val="009E7137"/>
    <w:rsid w:val="009F0FCF"/>
    <w:rsid w:val="009F49BF"/>
    <w:rsid w:val="009F4A7A"/>
    <w:rsid w:val="009F4FA1"/>
    <w:rsid w:val="009F70A8"/>
    <w:rsid w:val="00A02798"/>
    <w:rsid w:val="00A02C5C"/>
    <w:rsid w:val="00A036A2"/>
    <w:rsid w:val="00A062D0"/>
    <w:rsid w:val="00A06F45"/>
    <w:rsid w:val="00A07132"/>
    <w:rsid w:val="00A10D41"/>
    <w:rsid w:val="00A125FE"/>
    <w:rsid w:val="00A12801"/>
    <w:rsid w:val="00A17346"/>
    <w:rsid w:val="00A206E6"/>
    <w:rsid w:val="00A21533"/>
    <w:rsid w:val="00A230A3"/>
    <w:rsid w:val="00A23863"/>
    <w:rsid w:val="00A23E36"/>
    <w:rsid w:val="00A279CC"/>
    <w:rsid w:val="00A305B6"/>
    <w:rsid w:val="00A36337"/>
    <w:rsid w:val="00A44500"/>
    <w:rsid w:val="00A44E78"/>
    <w:rsid w:val="00A44EA0"/>
    <w:rsid w:val="00A46DFE"/>
    <w:rsid w:val="00A54330"/>
    <w:rsid w:val="00A569C8"/>
    <w:rsid w:val="00A6654C"/>
    <w:rsid w:val="00A671C3"/>
    <w:rsid w:val="00A71987"/>
    <w:rsid w:val="00A7594D"/>
    <w:rsid w:val="00A81B93"/>
    <w:rsid w:val="00A81C2D"/>
    <w:rsid w:val="00A8295D"/>
    <w:rsid w:val="00A91370"/>
    <w:rsid w:val="00A91D71"/>
    <w:rsid w:val="00A9321A"/>
    <w:rsid w:val="00A93853"/>
    <w:rsid w:val="00A93D02"/>
    <w:rsid w:val="00A95447"/>
    <w:rsid w:val="00A9612B"/>
    <w:rsid w:val="00AA1AD3"/>
    <w:rsid w:val="00AA1F06"/>
    <w:rsid w:val="00AA32EF"/>
    <w:rsid w:val="00AA7335"/>
    <w:rsid w:val="00AA79C0"/>
    <w:rsid w:val="00AB0B64"/>
    <w:rsid w:val="00AB3D9D"/>
    <w:rsid w:val="00AB43E9"/>
    <w:rsid w:val="00AB6DD6"/>
    <w:rsid w:val="00AB6ED5"/>
    <w:rsid w:val="00AB7F12"/>
    <w:rsid w:val="00AC0A15"/>
    <w:rsid w:val="00AC168F"/>
    <w:rsid w:val="00AC55B6"/>
    <w:rsid w:val="00AC6B1B"/>
    <w:rsid w:val="00AC6C4E"/>
    <w:rsid w:val="00AC7911"/>
    <w:rsid w:val="00AD665C"/>
    <w:rsid w:val="00AD6D40"/>
    <w:rsid w:val="00AE3C82"/>
    <w:rsid w:val="00AE45DB"/>
    <w:rsid w:val="00AE576A"/>
    <w:rsid w:val="00AF062E"/>
    <w:rsid w:val="00AF07C4"/>
    <w:rsid w:val="00AF26C9"/>
    <w:rsid w:val="00AF5DA6"/>
    <w:rsid w:val="00B0300F"/>
    <w:rsid w:val="00B068BD"/>
    <w:rsid w:val="00B07414"/>
    <w:rsid w:val="00B11E12"/>
    <w:rsid w:val="00B1421E"/>
    <w:rsid w:val="00B16E0E"/>
    <w:rsid w:val="00B16F74"/>
    <w:rsid w:val="00B33AD8"/>
    <w:rsid w:val="00B34B64"/>
    <w:rsid w:val="00B354DF"/>
    <w:rsid w:val="00B36CAF"/>
    <w:rsid w:val="00B37717"/>
    <w:rsid w:val="00B41B6E"/>
    <w:rsid w:val="00B44C6E"/>
    <w:rsid w:val="00B4678C"/>
    <w:rsid w:val="00B51260"/>
    <w:rsid w:val="00B52562"/>
    <w:rsid w:val="00B61204"/>
    <w:rsid w:val="00B63061"/>
    <w:rsid w:val="00B64E65"/>
    <w:rsid w:val="00B65679"/>
    <w:rsid w:val="00B6712D"/>
    <w:rsid w:val="00B679E3"/>
    <w:rsid w:val="00B74253"/>
    <w:rsid w:val="00B77339"/>
    <w:rsid w:val="00B775D4"/>
    <w:rsid w:val="00B831EE"/>
    <w:rsid w:val="00B851C6"/>
    <w:rsid w:val="00B90951"/>
    <w:rsid w:val="00B94634"/>
    <w:rsid w:val="00B95BD8"/>
    <w:rsid w:val="00B964C7"/>
    <w:rsid w:val="00B974CE"/>
    <w:rsid w:val="00BA0F4A"/>
    <w:rsid w:val="00BA12FD"/>
    <w:rsid w:val="00BB3A5D"/>
    <w:rsid w:val="00BB3B96"/>
    <w:rsid w:val="00BB5EEB"/>
    <w:rsid w:val="00BC196C"/>
    <w:rsid w:val="00BC77CB"/>
    <w:rsid w:val="00BD45E5"/>
    <w:rsid w:val="00BE19BE"/>
    <w:rsid w:val="00BE4FF0"/>
    <w:rsid w:val="00BE5BAE"/>
    <w:rsid w:val="00BE6954"/>
    <w:rsid w:val="00BF3803"/>
    <w:rsid w:val="00BF3FBD"/>
    <w:rsid w:val="00BF423F"/>
    <w:rsid w:val="00BF529C"/>
    <w:rsid w:val="00BF5F75"/>
    <w:rsid w:val="00BF6515"/>
    <w:rsid w:val="00BF684B"/>
    <w:rsid w:val="00BF6BC7"/>
    <w:rsid w:val="00BF7023"/>
    <w:rsid w:val="00BF7703"/>
    <w:rsid w:val="00C00C14"/>
    <w:rsid w:val="00C0242B"/>
    <w:rsid w:val="00C03A86"/>
    <w:rsid w:val="00C04A09"/>
    <w:rsid w:val="00C04F0F"/>
    <w:rsid w:val="00C05CD8"/>
    <w:rsid w:val="00C10EB3"/>
    <w:rsid w:val="00C11C69"/>
    <w:rsid w:val="00C13D5C"/>
    <w:rsid w:val="00C152B8"/>
    <w:rsid w:val="00C15D84"/>
    <w:rsid w:val="00C164FB"/>
    <w:rsid w:val="00C172F3"/>
    <w:rsid w:val="00C2126A"/>
    <w:rsid w:val="00C25DF3"/>
    <w:rsid w:val="00C26EBB"/>
    <w:rsid w:val="00C278B1"/>
    <w:rsid w:val="00C32872"/>
    <w:rsid w:val="00C328D2"/>
    <w:rsid w:val="00C4154D"/>
    <w:rsid w:val="00C435EB"/>
    <w:rsid w:val="00C45A18"/>
    <w:rsid w:val="00C5280C"/>
    <w:rsid w:val="00C53F12"/>
    <w:rsid w:val="00C5665E"/>
    <w:rsid w:val="00C56D65"/>
    <w:rsid w:val="00C57626"/>
    <w:rsid w:val="00C601D3"/>
    <w:rsid w:val="00C610A0"/>
    <w:rsid w:val="00C61819"/>
    <w:rsid w:val="00C6592B"/>
    <w:rsid w:val="00C674D5"/>
    <w:rsid w:val="00C705EC"/>
    <w:rsid w:val="00C70C7C"/>
    <w:rsid w:val="00C7472E"/>
    <w:rsid w:val="00C7547C"/>
    <w:rsid w:val="00C7588C"/>
    <w:rsid w:val="00C81470"/>
    <w:rsid w:val="00C876D8"/>
    <w:rsid w:val="00C8789B"/>
    <w:rsid w:val="00C9214F"/>
    <w:rsid w:val="00C92437"/>
    <w:rsid w:val="00C934A9"/>
    <w:rsid w:val="00C94931"/>
    <w:rsid w:val="00C95C80"/>
    <w:rsid w:val="00C96242"/>
    <w:rsid w:val="00CA0824"/>
    <w:rsid w:val="00CA447C"/>
    <w:rsid w:val="00CA6DF1"/>
    <w:rsid w:val="00CB203F"/>
    <w:rsid w:val="00CB3D2B"/>
    <w:rsid w:val="00CB3F9E"/>
    <w:rsid w:val="00CB6598"/>
    <w:rsid w:val="00CB673E"/>
    <w:rsid w:val="00CB6EA7"/>
    <w:rsid w:val="00CB7DF4"/>
    <w:rsid w:val="00CC1437"/>
    <w:rsid w:val="00CC183E"/>
    <w:rsid w:val="00CC3086"/>
    <w:rsid w:val="00CC68A5"/>
    <w:rsid w:val="00CD151D"/>
    <w:rsid w:val="00CD43C1"/>
    <w:rsid w:val="00CD611D"/>
    <w:rsid w:val="00CD6C9A"/>
    <w:rsid w:val="00CD743E"/>
    <w:rsid w:val="00CE0972"/>
    <w:rsid w:val="00CE7555"/>
    <w:rsid w:val="00CE7D86"/>
    <w:rsid w:val="00CF0995"/>
    <w:rsid w:val="00CF1FBB"/>
    <w:rsid w:val="00CF38EB"/>
    <w:rsid w:val="00CF4517"/>
    <w:rsid w:val="00CF541C"/>
    <w:rsid w:val="00D00D5C"/>
    <w:rsid w:val="00D058EB"/>
    <w:rsid w:val="00D07458"/>
    <w:rsid w:val="00D11AB5"/>
    <w:rsid w:val="00D1465B"/>
    <w:rsid w:val="00D20ACD"/>
    <w:rsid w:val="00D22CD4"/>
    <w:rsid w:val="00D236A4"/>
    <w:rsid w:val="00D250DA"/>
    <w:rsid w:val="00D265BD"/>
    <w:rsid w:val="00D27109"/>
    <w:rsid w:val="00D2732E"/>
    <w:rsid w:val="00D27CD7"/>
    <w:rsid w:val="00D27CF9"/>
    <w:rsid w:val="00D27F8E"/>
    <w:rsid w:val="00D32346"/>
    <w:rsid w:val="00D325C3"/>
    <w:rsid w:val="00D35545"/>
    <w:rsid w:val="00D36136"/>
    <w:rsid w:val="00D4140E"/>
    <w:rsid w:val="00D41BE3"/>
    <w:rsid w:val="00D421A0"/>
    <w:rsid w:val="00D4264D"/>
    <w:rsid w:val="00D42BE7"/>
    <w:rsid w:val="00D44326"/>
    <w:rsid w:val="00D47076"/>
    <w:rsid w:val="00D47253"/>
    <w:rsid w:val="00D50E60"/>
    <w:rsid w:val="00D649D5"/>
    <w:rsid w:val="00D6542A"/>
    <w:rsid w:val="00D65A96"/>
    <w:rsid w:val="00D7075C"/>
    <w:rsid w:val="00D70C26"/>
    <w:rsid w:val="00D72A1D"/>
    <w:rsid w:val="00D75E71"/>
    <w:rsid w:val="00D80FC0"/>
    <w:rsid w:val="00D81899"/>
    <w:rsid w:val="00D81FA4"/>
    <w:rsid w:val="00D82C55"/>
    <w:rsid w:val="00D8677D"/>
    <w:rsid w:val="00D96858"/>
    <w:rsid w:val="00DA542B"/>
    <w:rsid w:val="00DA5AB9"/>
    <w:rsid w:val="00DA5D90"/>
    <w:rsid w:val="00DB1879"/>
    <w:rsid w:val="00DB2C52"/>
    <w:rsid w:val="00DB56E2"/>
    <w:rsid w:val="00DB5B8C"/>
    <w:rsid w:val="00DB6B6A"/>
    <w:rsid w:val="00DB707D"/>
    <w:rsid w:val="00DC0193"/>
    <w:rsid w:val="00DC10E9"/>
    <w:rsid w:val="00DC1379"/>
    <w:rsid w:val="00DC1787"/>
    <w:rsid w:val="00DC33A1"/>
    <w:rsid w:val="00DC4067"/>
    <w:rsid w:val="00DC540F"/>
    <w:rsid w:val="00DC558D"/>
    <w:rsid w:val="00DD1281"/>
    <w:rsid w:val="00DD17DB"/>
    <w:rsid w:val="00DD1E46"/>
    <w:rsid w:val="00DD7A32"/>
    <w:rsid w:val="00DF0D14"/>
    <w:rsid w:val="00DF123B"/>
    <w:rsid w:val="00DF3CEF"/>
    <w:rsid w:val="00DF61EB"/>
    <w:rsid w:val="00E0113A"/>
    <w:rsid w:val="00E037D1"/>
    <w:rsid w:val="00E0460F"/>
    <w:rsid w:val="00E058AA"/>
    <w:rsid w:val="00E10C4E"/>
    <w:rsid w:val="00E13945"/>
    <w:rsid w:val="00E14162"/>
    <w:rsid w:val="00E1447C"/>
    <w:rsid w:val="00E15D35"/>
    <w:rsid w:val="00E16106"/>
    <w:rsid w:val="00E162B2"/>
    <w:rsid w:val="00E2028C"/>
    <w:rsid w:val="00E211D9"/>
    <w:rsid w:val="00E22BE4"/>
    <w:rsid w:val="00E23BC8"/>
    <w:rsid w:val="00E26030"/>
    <w:rsid w:val="00E34C5C"/>
    <w:rsid w:val="00E35FF9"/>
    <w:rsid w:val="00E40883"/>
    <w:rsid w:val="00E40EB3"/>
    <w:rsid w:val="00E4275F"/>
    <w:rsid w:val="00E42E4E"/>
    <w:rsid w:val="00E43F30"/>
    <w:rsid w:val="00E45DFC"/>
    <w:rsid w:val="00E4746C"/>
    <w:rsid w:val="00E526A9"/>
    <w:rsid w:val="00E5571C"/>
    <w:rsid w:val="00E60B53"/>
    <w:rsid w:val="00E636A4"/>
    <w:rsid w:val="00E65091"/>
    <w:rsid w:val="00E65191"/>
    <w:rsid w:val="00E656BE"/>
    <w:rsid w:val="00E66492"/>
    <w:rsid w:val="00E73A4F"/>
    <w:rsid w:val="00E73BB2"/>
    <w:rsid w:val="00E745A3"/>
    <w:rsid w:val="00E90B2C"/>
    <w:rsid w:val="00E90BB4"/>
    <w:rsid w:val="00E90C22"/>
    <w:rsid w:val="00E92A2B"/>
    <w:rsid w:val="00E92C20"/>
    <w:rsid w:val="00E97757"/>
    <w:rsid w:val="00EA0D81"/>
    <w:rsid w:val="00EA4567"/>
    <w:rsid w:val="00EA752F"/>
    <w:rsid w:val="00EB21FB"/>
    <w:rsid w:val="00EB3A4D"/>
    <w:rsid w:val="00EB44BE"/>
    <w:rsid w:val="00EB699E"/>
    <w:rsid w:val="00EC001A"/>
    <w:rsid w:val="00EC1A58"/>
    <w:rsid w:val="00EC334E"/>
    <w:rsid w:val="00EC4D96"/>
    <w:rsid w:val="00EC5A14"/>
    <w:rsid w:val="00ED15A1"/>
    <w:rsid w:val="00ED4E0F"/>
    <w:rsid w:val="00ED5E76"/>
    <w:rsid w:val="00EE22D8"/>
    <w:rsid w:val="00EE237A"/>
    <w:rsid w:val="00EE381F"/>
    <w:rsid w:val="00EE5DA2"/>
    <w:rsid w:val="00EE6CC0"/>
    <w:rsid w:val="00EF2605"/>
    <w:rsid w:val="00EF3D1A"/>
    <w:rsid w:val="00EF5EAC"/>
    <w:rsid w:val="00F040E6"/>
    <w:rsid w:val="00F12B61"/>
    <w:rsid w:val="00F14669"/>
    <w:rsid w:val="00F15A8D"/>
    <w:rsid w:val="00F17D24"/>
    <w:rsid w:val="00F204A1"/>
    <w:rsid w:val="00F21E4E"/>
    <w:rsid w:val="00F22925"/>
    <w:rsid w:val="00F2530E"/>
    <w:rsid w:val="00F25F89"/>
    <w:rsid w:val="00F26A2E"/>
    <w:rsid w:val="00F310C5"/>
    <w:rsid w:val="00F331A6"/>
    <w:rsid w:val="00F34551"/>
    <w:rsid w:val="00F35372"/>
    <w:rsid w:val="00F4385D"/>
    <w:rsid w:val="00F4394A"/>
    <w:rsid w:val="00F45C9B"/>
    <w:rsid w:val="00F47BB1"/>
    <w:rsid w:val="00F521FD"/>
    <w:rsid w:val="00F53632"/>
    <w:rsid w:val="00F54B58"/>
    <w:rsid w:val="00F557A8"/>
    <w:rsid w:val="00F56F84"/>
    <w:rsid w:val="00F60CAF"/>
    <w:rsid w:val="00F60F83"/>
    <w:rsid w:val="00F6455B"/>
    <w:rsid w:val="00F65845"/>
    <w:rsid w:val="00F66C42"/>
    <w:rsid w:val="00F67FBD"/>
    <w:rsid w:val="00F706C7"/>
    <w:rsid w:val="00F732B7"/>
    <w:rsid w:val="00F75A71"/>
    <w:rsid w:val="00F76A69"/>
    <w:rsid w:val="00F82D85"/>
    <w:rsid w:val="00F84A9A"/>
    <w:rsid w:val="00F90844"/>
    <w:rsid w:val="00F9177A"/>
    <w:rsid w:val="00F939FC"/>
    <w:rsid w:val="00F95D14"/>
    <w:rsid w:val="00FA2A41"/>
    <w:rsid w:val="00FA370C"/>
    <w:rsid w:val="00FA40F1"/>
    <w:rsid w:val="00FB38E4"/>
    <w:rsid w:val="00FB5DBF"/>
    <w:rsid w:val="00FB7251"/>
    <w:rsid w:val="00FC2CAA"/>
    <w:rsid w:val="00FC3CE6"/>
    <w:rsid w:val="00FC3EF6"/>
    <w:rsid w:val="00FC42D8"/>
    <w:rsid w:val="00FC7E58"/>
    <w:rsid w:val="00FD1A85"/>
    <w:rsid w:val="00FD408F"/>
    <w:rsid w:val="00FD5248"/>
    <w:rsid w:val="00FD6601"/>
    <w:rsid w:val="00FE1477"/>
    <w:rsid w:val="00FE428E"/>
    <w:rsid w:val="00FE45E4"/>
    <w:rsid w:val="00FE4EAC"/>
    <w:rsid w:val="00FE60FB"/>
    <w:rsid w:val="00FF0DA3"/>
    <w:rsid w:val="00FF13DF"/>
    <w:rsid w:val="00FF6C0C"/>
    <w:rsid w:val="00FF77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HAnsi"/>
        <w:color w:val="231F20"/>
        <w:sz w:val="24"/>
        <w:szCs w:val="22"/>
        <w:lang w:val="en-US" w:eastAsia="en-US" w:bidi="ar-SA"/>
      </w:rPr>
    </w:rPrDefault>
    <w:pPrDefault>
      <w:pPr>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1D3"/>
  </w:style>
  <w:style w:type="paragraph" w:styleId="Heading1">
    <w:name w:val="heading 1"/>
    <w:basedOn w:val="Normal"/>
    <w:next w:val="Normal"/>
    <w:link w:val="Heading1Char"/>
    <w:uiPriority w:val="9"/>
    <w:qFormat/>
    <w:rsid w:val="00C601D3"/>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C601D3"/>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C601D3"/>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601D3"/>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601D3"/>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601D3"/>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601D3"/>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601D3"/>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601D3"/>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1D3"/>
    <w:pPr>
      <w:contextualSpacing/>
    </w:pPr>
  </w:style>
  <w:style w:type="paragraph" w:styleId="Header">
    <w:name w:val="header"/>
    <w:basedOn w:val="Normal"/>
    <w:link w:val="HeaderChar"/>
    <w:uiPriority w:val="99"/>
    <w:unhideWhenUsed/>
    <w:rsid w:val="00953F77"/>
    <w:pPr>
      <w:tabs>
        <w:tab w:val="center" w:pos="4680"/>
        <w:tab w:val="right" w:pos="9360"/>
      </w:tabs>
    </w:pPr>
  </w:style>
  <w:style w:type="character" w:customStyle="1" w:styleId="HeaderChar">
    <w:name w:val="Header Char"/>
    <w:basedOn w:val="DefaultParagraphFont"/>
    <w:link w:val="Header"/>
    <w:uiPriority w:val="99"/>
    <w:rsid w:val="00953F77"/>
  </w:style>
  <w:style w:type="paragraph" w:styleId="Footer">
    <w:name w:val="footer"/>
    <w:basedOn w:val="Normal"/>
    <w:link w:val="FooterChar"/>
    <w:uiPriority w:val="99"/>
    <w:unhideWhenUsed/>
    <w:rsid w:val="00953F77"/>
    <w:pPr>
      <w:tabs>
        <w:tab w:val="center" w:pos="4680"/>
        <w:tab w:val="right" w:pos="9360"/>
      </w:tabs>
    </w:pPr>
  </w:style>
  <w:style w:type="character" w:customStyle="1" w:styleId="FooterChar">
    <w:name w:val="Footer Char"/>
    <w:basedOn w:val="DefaultParagraphFont"/>
    <w:link w:val="Footer"/>
    <w:uiPriority w:val="99"/>
    <w:rsid w:val="00953F77"/>
  </w:style>
  <w:style w:type="paragraph" w:customStyle="1" w:styleId="Default">
    <w:name w:val="Default"/>
    <w:rsid w:val="00EF3D1A"/>
    <w:pPr>
      <w:autoSpaceDE w:val="0"/>
      <w:autoSpaceDN w:val="0"/>
      <w:adjustRightInd w:val="0"/>
    </w:pPr>
    <w:rPr>
      <w:rFonts w:ascii="MillerText RomanSC" w:hAnsi="MillerText RomanSC" w:cs="MillerText RomanSC"/>
      <w:color w:val="000000"/>
      <w:szCs w:val="24"/>
    </w:rPr>
  </w:style>
  <w:style w:type="character" w:customStyle="1" w:styleId="A11">
    <w:name w:val="A1+1"/>
    <w:uiPriority w:val="99"/>
    <w:rsid w:val="00EF3D1A"/>
    <w:rPr>
      <w:rFonts w:cs="MillerText Roman"/>
      <w:color w:val="000000"/>
      <w:sz w:val="18"/>
      <w:szCs w:val="18"/>
    </w:rPr>
  </w:style>
  <w:style w:type="character" w:customStyle="1" w:styleId="A3">
    <w:name w:val="A3"/>
    <w:uiPriority w:val="99"/>
    <w:rsid w:val="00F67FBD"/>
    <w:rPr>
      <w:rFonts w:cs="MillerText Roman"/>
      <w:color w:val="000000"/>
      <w:sz w:val="10"/>
      <w:szCs w:val="10"/>
    </w:rPr>
  </w:style>
  <w:style w:type="character" w:customStyle="1" w:styleId="A4">
    <w:name w:val="A4"/>
    <w:uiPriority w:val="99"/>
    <w:rsid w:val="007507C3"/>
    <w:rPr>
      <w:rFonts w:ascii="BentonGothicCond Bold" w:hAnsi="BentonGothicCond Bold" w:cs="BentonGothicCond Bold"/>
      <w:b/>
      <w:bCs/>
      <w:color w:val="000000"/>
      <w:sz w:val="16"/>
      <w:szCs w:val="16"/>
    </w:rPr>
  </w:style>
  <w:style w:type="paragraph" w:customStyle="1" w:styleId="Pa6">
    <w:name w:val="Pa6"/>
    <w:basedOn w:val="Default"/>
    <w:next w:val="Default"/>
    <w:uiPriority w:val="99"/>
    <w:rsid w:val="007507C3"/>
    <w:pPr>
      <w:spacing w:line="151" w:lineRule="atLeast"/>
    </w:pPr>
    <w:rPr>
      <w:rFonts w:ascii="BentonGothicCond Regular" w:hAnsi="BentonGothicCond Regular" w:cstheme="minorBidi"/>
      <w:color w:val="auto"/>
    </w:rPr>
  </w:style>
  <w:style w:type="character" w:customStyle="1" w:styleId="A71">
    <w:name w:val="A7+1"/>
    <w:uiPriority w:val="99"/>
    <w:rsid w:val="007507C3"/>
    <w:rPr>
      <w:rFonts w:cs="BentonGothicCond Regular"/>
      <w:color w:val="000000"/>
      <w:sz w:val="8"/>
      <w:szCs w:val="8"/>
    </w:rPr>
  </w:style>
  <w:style w:type="character" w:customStyle="1" w:styleId="A01">
    <w:name w:val="A0+1"/>
    <w:uiPriority w:val="99"/>
    <w:rsid w:val="00DC10E9"/>
    <w:rPr>
      <w:rFonts w:cs="MillerText Roman"/>
      <w:color w:val="000000"/>
      <w:sz w:val="18"/>
      <w:szCs w:val="18"/>
    </w:rPr>
  </w:style>
  <w:style w:type="character" w:customStyle="1" w:styleId="A2">
    <w:name w:val="A2"/>
    <w:uiPriority w:val="99"/>
    <w:rsid w:val="00EE22D8"/>
    <w:rPr>
      <w:rFonts w:cs="MillerText Roman"/>
      <w:color w:val="000000"/>
      <w:sz w:val="10"/>
      <w:szCs w:val="10"/>
    </w:rPr>
  </w:style>
  <w:style w:type="character" w:customStyle="1" w:styleId="A62">
    <w:name w:val="A6+2"/>
    <w:uiPriority w:val="99"/>
    <w:rsid w:val="00FF13DF"/>
    <w:rPr>
      <w:rFonts w:ascii="BentonGothicCond Bold" w:hAnsi="BentonGothicCond Bold" w:cs="BentonGothicCond Bold"/>
      <w:b/>
      <w:bCs/>
      <w:color w:val="000000"/>
      <w:sz w:val="16"/>
      <w:szCs w:val="16"/>
    </w:rPr>
  </w:style>
  <w:style w:type="character" w:customStyle="1" w:styleId="A02">
    <w:name w:val="A0+2"/>
    <w:uiPriority w:val="99"/>
    <w:rsid w:val="002A3661"/>
    <w:rPr>
      <w:rFonts w:cs="MillerText Roman"/>
      <w:color w:val="000000"/>
      <w:sz w:val="18"/>
      <w:szCs w:val="18"/>
    </w:rPr>
  </w:style>
  <w:style w:type="character" w:customStyle="1" w:styleId="A63">
    <w:name w:val="A6+3"/>
    <w:uiPriority w:val="99"/>
    <w:rsid w:val="00A206E6"/>
    <w:rPr>
      <w:rFonts w:cs="MillerText Roman"/>
      <w:color w:val="000000"/>
      <w:sz w:val="10"/>
      <w:szCs w:val="10"/>
    </w:rPr>
  </w:style>
  <w:style w:type="character" w:customStyle="1" w:styleId="A13">
    <w:name w:val="A1+3"/>
    <w:uiPriority w:val="99"/>
    <w:rsid w:val="00771734"/>
    <w:rPr>
      <w:rFonts w:cs="MillerText Roman"/>
      <w:color w:val="000000"/>
      <w:sz w:val="18"/>
      <w:szCs w:val="18"/>
    </w:rPr>
  </w:style>
  <w:style w:type="character" w:customStyle="1" w:styleId="Heading1Char">
    <w:name w:val="Heading 1 Char"/>
    <w:basedOn w:val="DefaultParagraphFont"/>
    <w:link w:val="Heading1"/>
    <w:uiPriority w:val="9"/>
    <w:rsid w:val="00C601D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C601D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C601D3"/>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C601D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601D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601D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601D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601D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601D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C601D3"/>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601D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C601D3"/>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C601D3"/>
    <w:rPr>
      <w:rFonts w:asciiTheme="majorHAnsi" w:eastAsiaTheme="majorEastAsia" w:hAnsiTheme="majorHAnsi" w:cstheme="majorBidi"/>
      <w:i/>
      <w:iCs/>
      <w:spacing w:val="13"/>
      <w:sz w:val="24"/>
      <w:szCs w:val="24"/>
    </w:rPr>
  </w:style>
  <w:style w:type="character" w:styleId="Strong">
    <w:name w:val="Strong"/>
    <w:uiPriority w:val="22"/>
    <w:qFormat/>
    <w:rsid w:val="00C601D3"/>
    <w:rPr>
      <w:b/>
      <w:bCs/>
    </w:rPr>
  </w:style>
  <w:style w:type="character" w:styleId="Emphasis">
    <w:name w:val="Emphasis"/>
    <w:uiPriority w:val="20"/>
    <w:qFormat/>
    <w:rsid w:val="00C601D3"/>
    <w:rPr>
      <w:b/>
      <w:bCs/>
      <w:i/>
      <w:iCs/>
      <w:spacing w:val="10"/>
      <w:bdr w:val="none" w:sz="0" w:space="0" w:color="auto"/>
      <w:shd w:val="clear" w:color="auto" w:fill="auto"/>
    </w:rPr>
  </w:style>
  <w:style w:type="paragraph" w:styleId="NoSpacing">
    <w:name w:val="No Spacing"/>
    <w:basedOn w:val="Normal"/>
    <w:uiPriority w:val="1"/>
    <w:qFormat/>
    <w:rsid w:val="00C601D3"/>
  </w:style>
  <w:style w:type="paragraph" w:styleId="Quote">
    <w:name w:val="Quote"/>
    <w:basedOn w:val="Normal"/>
    <w:next w:val="Normal"/>
    <w:link w:val="QuoteChar"/>
    <w:uiPriority w:val="29"/>
    <w:qFormat/>
    <w:rsid w:val="00C601D3"/>
    <w:pPr>
      <w:spacing w:before="200"/>
      <w:ind w:right="360"/>
    </w:pPr>
    <w:rPr>
      <w:i/>
      <w:iCs/>
    </w:rPr>
  </w:style>
  <w:style w:type="character" w:customStyle="1" w:styleId="QuoteChar">
    <w:name w:val="Quote Char"/>
    <w:basedOn w:val="DefaultParagraphFont"/>
    <w:link w:val="Quote"/>
    <w:uiPriority w:val="29"/>
    <w:rsid w:val="00C601D3"/>
    <w:rPr>
      <w:i/>
      <w:iCs/>
    </w:rPr>
  </w:style>
  <w:style w:type="paragraph" w:styleId="IntenseQuote">
    <w:name w:val="Intense Quote"/>
    <w:basedOn w:val="Normal"/>
    <w:next w:val="Normal"/>
    <w:link w:val="IntenseQuoteChar"/>
    <w:uiPriority w:val="30"/>
    <w:qFormat/>
    <w:rsid w:val="00C601D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601D3"/>
    <w:rPr>
      <w:b/>
      <w:bCs/>
      <w:i/>
      <w:iCs/>
    </w:rPr>
  </w:style>
  <w:style w:type="character" w:styleId="SubtleEmphasis">
    <w:name w:val="Subtle Emphasis"/>
    <w:uiPriority w:val="19"/>
    <w:qFormat/>
    <w:rsid w:val="00C601D3"/>
    <w:rPr>
      <w:i/>
      <w:iCs/>
    </w:rPr>
  </w:style>
  <w:style w:type="character" w:styleId="IntenseEmphasis">
    <w:name w:val="Intense Emphasis"/>
    <w:uiPriority w:val="21"/>
    <w:qFormat/>
    <w:rsid w:val="00C601D3"/>
    <w:rPr>
      <w:b/>
      <w:bCs/>
    </w:rPr>
  </w:style>
  <w:style w:type="character" w:styleId="SubtleReference">
    <w:name w:val="Subtle Reference"/>
    <w:uiPriority w:val="31"/>
    <w:qFormat/>
    <w:rsid w:val="00C601D3"/>
    <w:rPr>
      <w:smallCaps/>
    </w:rPr>
  </w:style>
  <w:style w:type="character" w:styleId="IntenseReference">
    <w:name w:val="Intense Reference"/>
    <w:uiPriority w:val="32"/>
    <w:qFormat/>
    <w:rsid w:val="00C601D3"/>
    <w:rPr>
      <w:smallCaps/>
      <w:spacing w:val="5"/>
      <w:u w:val="single"/>
    </w:rPr>
  </w:style>
  <w:style w:type="character" w:styleId="BookTitle">
    <w:name w:val="Book Title"/>
    <w:uiPriority w:val="33"/>
    <w:qFormat/>
    <w:rsid w:val="00C601D3"/>
    <w:rPr>
      <w:i/>
      <w:iCs/>
      <w:smallCaps/>
      <w:spacing w:val="5"/>
    </w:rPr>
  </w:style>
  <w:style w:type="paragraph" w:styleId="TOCHeading">
    <w:name w:val="TOC Heading"/>
    <w:basedOn w:val="Heading1"/>
    <w:next w:val="Normal"/>
    <w:uiPriority w:val="39"/>
    <w:semiHidden/>
    <w:unhideWhenUsed/>
    <w:qFormat/>
    <w:rsid w:val="00C601D3"/>
    <w:pPr>
      <w:outlineLvl w:val="9"/>
    </w:pPr>
    <w:rPr>
      <w:lang w:bidi="en-US"/>
    </w:rPr>
  </w:style>
  <w:style w:type="character" w:styleId="Hyperlink">
    <w:name w:val="Hyperlink"/>
    <w:basedOn w:val="DefaultParagraphFont"/>
    <w:uiPriority w:val="99"/>
    <w:unhideWhenUsed/>
    <w:rsid w:val="00E90BB4"/>
    <w:rPr>
      <w:color w:val="0000FF" w:themeColor="hyperlink"/>
      <w:u w:val="single"/>
    </w:rPr>
  </w:style>
  <w:style w:type="paragraph" w:styleId="BalloonText">
    <w:name w:val="Balloon Text"/>
    <w:basedOn w:val="Normal"/>
    <w:link w:val="BalloonTextChar"/>
    <w:uiPriority w:val="99"/>
    <w:semiHidden/>
    <w:unhideWhenUsed/>
    <w:rsid w:val="005B46B7"/>
    <w:rPr>
      <w:rFonts w:ascii="Tahoma" w:hAnsi="Tahoma" w:cs="Tahoma"/>
      <w:sz w:val="16"/>
      <w:szCs w:val="16"/>
    </w:rPr>
  </w:style>
  <w:style w:type="character" w:customStyle="1" w:styleId="BalloonTextChar">
    <w:name w:val="Balloon Text Char"/>
    <w:basedOn w:val="DefaultParagraphFont"/>
    <w:link w:val="BalloonText"/>
    <w:uiPriority w:val="99"/>
    <w:semiHidden/>
    <w:rsid w:val="005B46B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HAnsi"/>
        <w:color w:val="231F20"/>
        <w:sz w:val="24"/>
        <w:szCs w:val="22"/>
        <w:lang w:val="en-US" w:eastAsia="en-US" w:bidi="ar-SA"/>
      </w:rPr>
    </w:rPrDefault>
    <w:pPrDefault>
      <w:pPr>
        <w:ind w:left="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1D3"/>
  </w:style>
  <w:style w:type="paragraph" w:styleId="Heading1">
    <w:name w:val="heading 1"/>
    <w:basedOn w:val="Normal"/>
    <w:next w:val="Normal"/>
    <w:link w:val="Heading1Char"/>
    <w:uiPriority w:val="9"/>
    <w:qFormat/>
    <w:rsid w:val="00C601D3"/>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C601D3"/>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C601D3"/>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C601D3"/>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C601D3"/>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C601D3"/>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C601D3"/>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C601D3"/>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C601D3"/>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01D3"/>
    <w:pPr>
      <w:contextualSpacing/>
    </w:pPr>
  </w:style>
  <w:style w:type="paragraph" w:styleId="Header">
    <w:name w:val="header"/>
    <w:basedOn w:val="Normal"/>
    <w:link w:val="HeaderChar"/>
    <w:uiPriority w:val="99"/>
    <w:unhideWhenUsed/>
    <w:rsid w:val="00953F77"/>
    <w:pPr>
      <w:tabs>
        <w:tab w:val="center" w:pos="4680"/>
        <w:tab w:val="right" w:pos="9360"/>
      </w:tabs>
    </w:pPr>
  </w:style>
  <w:style w:type="character" w:customStyle="1" w:styleId="HeaderChar">
    <w:name w:val="Header Char"/>
    <w:basedOn w:val="DefaultParagraphFont"/>
    <w:link w:val="Header"/>
    <w:uiPriority w:val="99"/>
    <w:rsid w:val="00953F77"/>
  </w:style>
  <w:style w:type="paragraph" w:styleId="Footer">
    <w:name w:val="footer"/>
    <w:basedOn w:val="Normal"/>
    <w:link w:val="FooterChar"/>
    <w:uiPriority w:val="99"/>
    <w:unhideWhenUsed/>
    <w:rsid w:val="00953F77"/>
    <w:pPr>
      <w:tabs>
        <w:tab w:val="center" w:pos="4680"/>
        <w:tab w:val="right" w:pos="9360"/>
      </w:tabs>
    </w:pPr>
  </w:style>
  <w:style w:type="character" w:customStyle="1" w:styleId="FooterChar">
    <w:name w:val="Footer Char"/>
    <w:basedOn w:val="DefaultParagraphFont"/>
    <w:link w:val="Footer"/>
    <w:uiPriority w:val="99"/>
    <w:rsid w:val="00953F77"/>
  </w:style>
  <w:style w:type="paragraph" w:customStyle="1" w:styleId="Default">
    <w:name w:val="Default"/>
    <w:rsid w:val="00EF3D1A"/>
    <w:pPr>
      <w:autoSpaceDE w:val="0"/>
      <w:autoSpaceDN w:val="0"/>
      <w:adjustRightInd w:val="0"/>
    </w:pPr>
    <w:rPr>
      <w:rFonts w:ascii="MillerText RomanSC" w:hAnsi="MillerText RomanSC" w:cs="MillerText RomanSC"/>
      <w:color w:val="000000"/>
      <w:szCs w:val="24"/>
    </w:rPr>
  </w:style>
  <w:style w:type="character" w:customStyle="1" w:styleId="A11">
    <w:name w:val="A1+1"/>
    <w:uiPriority w:val="99"/>
    <w:rsid w:val="00EF3D1A"/>
    <w:rPr>
      <w:rFonts w:cs="MillerText Roman"/>
      <w:color w:val="000000"/>
      <w:sz w:val="18"/>
      <w:szCs w:val="18"/>
    </w:rPr>
  </w:style>
  <w:style w:type="character" w:customStyle="1" w:styleId="A3">
    <w:name w:val="A3"/>
    <w:uiPriority w:val="99"/>
    <w:rsid w:val="00F67FBD"/>
    <w:rPr>
      <w:rFonts w:cs="MillerText Roman"/>
      <w:color w:val="000000"/>
      <w:sz w:val="10"/>
      <w:szCs w:val="10"/>
    </w:rPr>
  </w:style>
  <w:style w:type="character" w:customStyle="1" w:styleId="A4">
    <w:name w:val="A4"/>
    <w:uiPriority w:val="99"/>
    <w:rsid w:val="007507C3"/>
    <w:rPr>
      <w:rFonts w:ascii="BentonGothicCond Bold" w:hAnsi="BentonGothicCond Bold" w:cs="BentonGothicCond Bold"/>
      <w:b/>
      <w:bCs/>
      <w:color w:val="000000"/>
      <w:sz w:val="16"/>
      <w:szCs w:val="16"/>
    </w:rPr>
  </w:style>
  <w:style w:type="paragraph" w:customStyle="1" w:styleId="Pa6">
    <w:name w:val="Pa6"/>
    <w:basedOn w:val="Default"/>
    <w:next w:val="Default"/>
    <w:uiPriority w:val="99"/>
    <w:rsid w:val="007507C3"/>
    <w:pPr>
      <w:spacing w:line="151" w:lineRule="atLeast"/>
    </w:pPr>
    <w:rPr>
      <w:rFonts w:ascii="BentonGothicCond Regular" w:hAnsi="BentonGothicCond Regular" w:cstheme="minorBidi"/>
      <w:color w:val="auto"/>
    </w:rPr>
  </w:style>
  <w:style w:type="character" w:customStyle="1" w:styleId="A71">
    <w:name w:val="A7+1"/>
    <w:uiPriority w:val="99"/>
    <w:rsid w:val="007507C3"/>
    <w:rPr>
      <w:rFonts w:cs="BentonGothicCond Regular"/>
      <w:color w:val="000000"/>
      <w:sz w:val="8"/>
      <w:szCs w:val="8"/>
    </w:rPr>
  </w:style>
  <w:style w:type="character" w:customStyle="1" w:styleId="A01">
    <w:name w:val="A0+1"/>
    <w:uiPriority w:val="99"/>
    <w:rsid w:val="00DC10E9"/>
    <w:rPr>
      <w:rFonts w:cs="MillerText Roman"/>
      <w:color w:val="000000"/>
      <w:sz w:val="18"/>
      <w:szCs w:val="18"/>
    </w:rPr>
  </w:style>
  <w:style w:type="character" w:customStyle="1" w:styleId="A2">
    <w:name w:val="A2"/>
    <w:uiPriority w:val="99"/>
    <w:rsid w:val="00EE22D8"/>
    <w:rPr>
      <w:rFonts w:cs="MillerText Roman"/>
      <w:color w:val="000000"/>
      <w:sz w:val="10"/>
      <w:szCs w:val="10"/>
    </w:rPr>
  </w:style>
  <w:style w:type="character" w:customStyle="1" w:styleId="A62">
    <w:name w:val="A6+2"/>
    <w:uiPriority w:val="99"/>
    <w:rsid w:val="00FF13DF"/>
    <w:rPr>
      <w:rFonts w:ascii="BentonGothicCond Bold" w:hAnsi="BentonGothicCond Bold" w:cs="BentonGothicCond Bold"/>
      <w:b/>
      <w:bCs/>
      <w:color w:val="000000"/>
      <w:sz w:val="16"/>
      <w:szCs w:val="16"/>
    </w:rPr>
  </w:style>
  <w:style w:type="character" w:customStyle="1" w:styleId="A02">
    <w:name w:val="A0+2"/>
    <w:uiPriority w:val="99"/>
    <w:rsid w:val="002A3661"/>
    <w:rPr>
      <w:rFonts w:cs="MillerText Roman"/>
      <w:color w:val="000000"/>
      <w:sz w:val="18"/>
      <w:szCs w:val="18"/>
    </w:rPr>
  </w:style>
  <w:style w:type="character" w:customStyle="1" w:styleId="A63">
    <w:name w:val="A6+3"/>
    <w:uiPriority w:val="99"/>
    <w:rsid w:val="00A206E6"/>
    <w:rPr>
      <w:rFonts w:cs="MillerText Roman"/>
      <w:color w:val="000000"/>
      <w:sz w:val="10"/>
      <w:szCs w:val="10"/>
    </w:rPr>
  </w:style>
  <w:style w:type="character" w:customStyle="1" w:styleId="A13">
    <w:name w:val="A1+3"/>
    <w:uiPriority w:val="99"/>
    <w:rsid w:val="00771734"/>
    <w:rPr>
      <w:rFonts w:cs="MillerText Roman"/>
      <w:color w:val="000000"/>
      <w:sz w:val="18"/>
      <w:szCs w:val="18"/>
    </w:rPr>
  </w:style>
  <w:style w:type="character" w:customStyle="1" w:styleId="Heading1Char">
    <w:name w:val="Heading 1 Char"/>
    <w:basedOn w:val="DefaultParagraphFont"/>
    <w:link w:val="Heading1"/>
    <w:uiPriority w:val="9"/>
    <w:rsid w:val="00C601D3"/>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C601D3"/>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semiHidden/>
    <w:rsid w:val="00C601D3"/>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C601D3"/>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C601D3"/>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C601D3"/>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C601D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C601D3"/>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C601D3"/>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C601D3"/>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C601D3"/>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C601D3"/>
    <w:pPr>
      <w:spacing w:after="600"/>
    </w:pPr>
    <w:rPr>
      <w:rFonts w:asciiTheme="majorHAnsi" w:eastAsiaTheme="majorEastAsia" w:hAnsiTheme="majorHAnsi" w:cstheme="majorBidi"/>
      <w:i/>
      <w:iCs/>
      <w:spacing w:val="13"/>
      <w:szCs w:val="24"/>
    </w:rPr>
  </w:style>
  <w:style w:type="character" w:customStyle="1" w:styleId="SubtitleChar">
    <w:name w:val="Subtitle Char"/>
    <w:basedOn w:val="DefaultParagraphFont"/>
    <w:link w:val="Subtitle"/>
    <w:uiPriority w:val="11"/>
    <w:rsid w:val="00C601D3"/>
    <w:rPr>
      <w:rFonts w:asciiTheme="majorHAnsi" w:eastAsiaTheme="majorEastAsia" w:hAnsiTheme="majorHAnsi" w:cstheme="majorBidi"/>
      <w:i/>
      <w:iCs/>
      <w:spacing w:val="13"/>
      <w:sz w:val="24"/>
      <w:szCs w:val="24"/>
    </w:rPr>
  </w:style>
  <w:style w:type="character" w:styleId="Strong">
    <w:name w:val="Strong"/>
    <w:uiPriority w:val="22"/>
    <w:qFormat/>
    <w:rsid w:val="00C601D3"/>
    <w:rPr>
      <w:b/>
      <w:bCs/>
    </w:rPr>
  </w:style>
  <w:style w:type="character" w:styleId="Emphasis">
    <w:name w:val="Emphasis"/>
    <w:uiPriority w:val="20"/>
    <w:qFormat/>
    <w:rsid w:val="00C601D3"/>
    <w:rPr>
      <w:b/>
      <w:bCs/>
      <w:i/>
      <w:iCs/>
      <w:spacing w:val="10"/>
      <w:bdr w:val="none" w:sz="0" w:space="0" w:color="auto"/>
      <w:shd w:val="clear" w:color="auto" w:fill="auto"/>
    </w:rPr>
  </w:style>
  <w:style w:type="paragraph" w:styleId="NoSpacing">
    <w:name w:val="No Spacing"/>
    <w:basedOn w:val="Normal"/>
    <w:uiPriority w:val="1"/>
    <w:qFormat/>
    <w:rsid w:val="00C601D3"/>
  </w:style>
  <w:style w:type="paragraph" w:styleId="Quote">
    <w:name w:val="Quote"/>
    <w:basedOn w:val="Normal"/>
    <w:next w:val="Normal"/>
    <w:link w:val="QuoteChar"/>
    <w:uiPriority w:val="29"/>
    <w:qFormat/>
    <w:rsid w:val="00C601D3"/>
    <w:pPr>
      <w:spacing w:before="200"/>
      <w:ind w:right="360"/>
    </w:pPr>
    <w:rPr>
      <w:i/>
      <w:iCs/>
    </w:rPr>
  </w:style>
  <w:style w:type="character" w:customStyle="1" w:styleId="QuoteChar">
    <w:name w:val="Quote Char"/>
    <w:basedOn w:val="DefaultParagraphFont"/>
    <w:link w:val="Quote"/>
    <w:uiPriority w:val="29"/>
    <w:rsid w:val="00C601D3"/>
    <w:rPr>
      <w:i/>
      <w:iCs/>
    </w:rPr>
  </w:style>
  <w:style w:type="paragraph" w:styleId="IntenseQuote">
    <w:name w:val="Intense Quote"/>
    <w:basedOn w:val="Normal"/>
    <w:next w:val="Normal"/>
    <w:link w:val="IntenseQuoteChar"/>
    <w:uiPriority w:val="30"/>
    <w:qFormat/>
    <w:rsid w:val="00C601D3"/>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C601D3"/>
    <w:rPr>
      <w:b/>
      <w:bCs/>
      <w:i/>
      <w:iCs/>
    </w:rPr>
  </w:style>
  <w:style w:type="character" w:styleId="SubtleEmphasis">
    <w:name w:val="Subtle Emphasis"/>
    <w:uiPriority w:val="19"/>
    <w:qFormat/>
    <w:rsid w:val="00C601D3"/>
    <w:rPr>
      <w:i/>
      <w:iCs/>
    </w:rPr>
  </w:style>
  <w:style w:type="character" w:styleId="IntenseEmphasis">
    <w:name w:val="Intense Emphasis"/>
    <w:uiPriority w:val="21"/>
    <w:qFormat/>
    <w:rsid w:val="00C601D3"/>
    <w:rPr>
      <w:b/>
      <w:bCs/>
    </w:rPr>
  </w:style>
  <w:style w:type="character" w:styleId="SubtleReference">
    <w:name w:val="Subtle Reference"/>
    <w:uiPriority w:val="31"/>
    <w:qFormat/>
    <w:rsid w:val="00C601D3"/>
    <w:rPr>
      <w:smallCaps/>
    </w:rPr>
  </w:style>
  <w:style w:type="character" w:styleId="IntenseReference">
    <w:name w:val="Intense Reference"/>
    <w:uiPriority w:val="32"/>
    <w:qFormat/>
    <w:rsid w:val="00C601D3"/>
    <w:rPr>
      <w:smallCaps/>
      <w:spacing w:val="5"/>
      <w:u w:val="single"/>
    </w:rPr>
  </w:style>
  <w:style w:type="character" w:styleId="BookTitle">
    <w:name w:val="Book Title"/>
    <w:uiPriority w:val="33"/>
    <w:qFormat/>
    <w:rsid w:val="00C601D3"/>
    <w:rPr>
      <w:i/>
      <w:iCs/>
      <w:smallCaps/>
      <w:spacing w:val="5"/>
    </w:rPr>
  </w:style>
  <w:style w:type="paragraph" w:styleId="TOCHeading">
    <w:name w:val="TOC Heading"/>
    <w:basedOn w:val="Heading1"/>
    <w:next w:val="Normal"/>
    <w:uiPriority w:val="39"/>
    <w:semiHidden/>
    <w:unhideWhenUsed/>
    <w:qFormat/>
    <w:rsid w:val="00C601D3"/>
    <w:pPr>
      <w:outlineLvl w:val="9"/>
    </w:pPr>
    <w:rPr>
      <w:lang w:bidi="en-US"/>
    </w:rPr>
  </w:style>
  <w:style w:type="character" w:styleId="Hyperlink">
    <w:name w:val="Hyperlink"/>
    <w:basedOn w:val="DefaultParagraphFont"/>
    <w:uiPriority w:val="99"/>
    <w:unhideWhenUsed/>
    <w:rsid w:val="00E90BB4"/>
    <w:rPr>
      <w:color w:val="0000FF" w:themeColor="hyperlink"/>
      <w:u w:val="single"/>
    </w:rPr>
  </w:style>
  <w:style w:type="paragraph" w:styleId="BalloonText">
    <w:name w:val="Balloon Text"/>
    <w:basedOn w:val="Normal"/>
    <w:link w:val="BalloonTextChar"/>
    <w:uiPriority w:val="99"/>
    <w:semiHidden/>
    <w:unhideWhenUsed/>
    <w:rsid w:val="005B46B7"/>
    <w:rPr>
      <w:rFonts w:ascii="Tahoma" w:hAnsi="Tahoma" w:cs="Tahoma"/>
      <w:sz w:val="16"/>
      <w:szCs w:val="16"/>
    </w:rPr>
  </w:style>
  <w:style w:type="character" w:customStyle="1" w:styleId="BalloonTextChar">
    <w:name w:val="Balloon Text Char"/>
    <w:basedOn w:val="DefaultParagraphFont"/>
    <w:link w:val="BalloonText"/>
    <w:uiPriority w:val="99"/>
    <w:semiHidden/>
    <w:rsid w:val="005B46B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40339">
      <w:bodyDiv w:val="1"/>
      <w:marLeft w:val="0"/>
      <w:marRight w:val="0"/>
      <w:marTop w:val="0"/>
      <w:marBottom w:val="0"/>
      <w:divBdr>
        <w:top w:val="none" w:sz="0" w:space="0" w:color="auto"/>
        <w:left w:val="none" w:sz="0" w:space="0" w:color="auto"/>
        <w:bottom w:val="none" w:sz="0" w:space="0" w:color="auto"/>
        <w:right w:val="none" w:sz="0" w:space="0" w:color="auto"/>
      </w:divBdr>
      <w:divsChild>
        <w:div w:id="1865089849">
          <w:marLeft w:val="0"/>
          <w:marRight w:val="0"/>
          <w:marTop w:val="270"/>
          <w:marBottom w:val="90"/>
          <w:divBdr>
            <w:top w:val="single" w:sz="6" w:space="18" w:color="CCCCCC"/>
            <w:left w:val="single" w:sz="6" w:space="14" w:color="CCCCCC"/>
            <w:bottom w:val="single" w:sz="6" w:space="11" w:color="CCCCCC"/>
            <w:right w:val="single" w:sz="6" w:space="14" w:color="CCCCCC"/>
          </w:divBdr>
          <w:divsChild>
            <w:div w:id="924071969">
              <w:marLeft w:val="0"/>
              <w:marRight w:val="0"/>
              <w:marTop w:val="0"/>
              <w:marBottom w:val="0"/>
              <w:divBdr>
                <w:top w:val="none" w:sz="0" w:space="0" w:color="auto"/>
                <w:left w:val="none" w:sz="0" w:space="0" w:color="auto"/>
                <w:bottom w:val="none" w:sz="0" w:space="0" w:color="auto"/>
                <w:right w:val="none" w:sz="0" w:space="0" w:color="auto"/>
              </w:divBdr>
              <w:divsChild>
                <w:div w:id="401146545">
                  <w:marLeft w:val="0"/>
                  <w:marRight w:val="0"/>
                  <w:marTop w:val="360"/>
                  <w:marBottom w:val="0"/>
                  <w:divBdr>
                    <w:top w:val="none" w:sz="0" w:space="0" w:color="auto"/>
                    <w:left w:val="none" w:sz="0" w:space="0" w:color="auto"/>
                    <w:bottom w:val="none" w:sz="0" w:space="0" w:color="auto"/>
                    <w:right w:val="none" w:sz="0" w:space="0" w:color="auto"/>
                  </w:divBdr>
                  <w:divsChild>
                    <w:div w:id="459110989">
                      <w:marLeft w:val="0"/>
                      <w:marRight w:val="0"/>
                      <w:marTop w:val="240"/>
                      <w:marBottom w:val="0"/>
                      <w:divBdr>
                        <w:top w:val="none" w:sz="0" w:space="0" w:color="auto"/>
                        <w:left w:val="none" w:sz="0" w:space="0" w:color="auto"/>
                        <w:bottom w:val="none" w:sz="0" w:space="0" w:color="auto"/>
                        <w:right w:val="none" w:sz="0" w:space="0" w:color="auto"/>
                      </w:divBdr>
                      <w:divsChild>
                        <w:div w:id="519975306">
                          <w:marLeft w:val="0"/>
                          <w:marRight w:val="0"/>
                          <w:marTop w:val="0"/>
                          <w:marBottom w:val="0"/>
                          <w:divBdr>
                            <w:top w:val="none" w:sz="0" w:space="0" w:color="auto"/>
                            <w:left w:val="none" w:sz="0" w:space="0" w:color="auto"/>
                            <w:bottom w:val="none" w:sz="0" w:space="0" w:color="auto"/>
                            <w:right w:val="none" w:sz="0" w:space="0" w:color="auto"/>
                          </w:divBdr>
                          <w:divsChild>
                            <w:div w:id="359278666">
                              <w:marLeft w:val="0"/>
                              <w:marRight w:val="0"/>
                              <w:marTop w:val="0"/>
                              <w:marBottom w:val="0"/>
                              <w:divBdr>
                                <w:top w:val="none" w:sz="0" w:space="0" w:color="auto"/>
                                <w:left w:val="none" w:sz="0" w:space="0" w:color="auto"/>
                                <w:bottom w:val="none" w:sz="0" w:space="0" w:color="auto"/>
                                <w:right w:val="none" w:sz="0" w:space="0" w:color="auto"/>
                              </w:divBdr>
                            </w:div>
                            <w:div w:id="1772553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14743941">
      <w:bodyDiv w:val="1"/>
      <w:marLeft w:val="0"/>
      <w:marRight w:val="0"/>
      <w:marTop w:val="0"/>
      <w:marBottom w:val="0"/>
      <w:divBdr>
        <w:top w:val="none" w:sz="0" w:space="0" w:color="auto"/>
        <w:left w:val="none" w:sz="0" w:space="0" w:color="auto"/>
        <w:bottom w:val="none" w:sz="0" w:space="0" w:color="auto"/>
        <w:right w:val="none" w:sz="0" w:space="0" w:color="auto"/>
      </w:divBdr>
      <w:divsChild>
        <w:div w:id="601228593">
          <w:marLeft w:val="0"/>
          <w:marRight w:val="0"/>
          <w:marTop w:val="270"/>
          <w:marBottom w:val="90"/>
          <w:divBdr>
            <w:top w:val="single" w:sz="6" w:space="18" w:color="CCCCCC"/>
            <w:left w:val="single" w:sz="6" w:space="14" w:color="CCCCCC"/>
            <w:bottom w:val="single" w:sz="6" w:space="11" w:color="CCCCCC"/>
            <w:right w:val="single" w:sz="6" w:space="14" w:color="CCCCCC"/>
          </w:divBdr>
          <w:divsChild>
            <w:div w:id="122962042">
              <w:marLeft w:val="0"/>
              <w:marRight w:val="0"/>
              <w:marTop w:val="0"/>
              <w:marBottom w:val="0"/>
              <w:divBdr>
                <w:top w:val="none" w:sz="0" w:space="0" w:color="auto"/>
                <w:left w:val="none" w:sz="0" w:space="0" w:color="auto"/>
                <w:bottom w:val="none" w:sz="0" w:space="0" w:color="auto"/>
                <w:right w:val="none" w:sz="0" w:space="0" w:color="auto"/>
              </w:divBdr>
              <w:divsChild>
                <w:div w:id="1297181737">
                  <w:marLeft w:val="0"/>
                  <w:marRight w:val="0"/>
                  <w:marTop w:val="360"/>
                  <w:marBottom w:val="0"/>
                  <w:divBdr>
                    <w:top w:val="single" w:sz="6" w:space="0" w:color="FFFFFF"/>
                    <w:left w:val="single" w:sz="6" w:space="0" w:color="FFFFFF"/>
                    <w:bottom w:val="single" w:sz="6" w:space="0" w:color="FFFFFF"/>
                    <w:right w:val="single" w:sz="6" w:space="0" w:color="FFFFFF"/>
                  </w:divBdr>
                  <w:divsChild>
                    <w:div w:id="1781143295">
                      <w:marLeft w:val="0"/>
                      <w:marRight w:val="0"/>
                      <w:marTop w:val="0"/>
                      <w:marBottom w:val="0"/>
                      <w:divBdr>
                        <w:top w:val="none" w:sz="0" w:space="0" w:color="auto"/>
                        <w:left w:val="none" w:sz="0" w:space="0" w:color="auto"/>
                        <w:bottom w:val="none" w:sz="0" w:space="0" w:color="auto"/>
                        <w:right w:val="none" w:sz="0" w:space="0" w:color="auto"/>
                      </w:divBdr>
                      <w:divsChild>
                        <w:div w:id="275672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57168963">
      <w:bodyDiv w:val="1"/>
      <w:marLeft w:val="0"/>
      <w:marRight w:val="0"/>
      <w:marTop w:val="0"/>
      <w:marBottom w:val="0"/>
      <w:divBdr>
        <w:top w:val="none" w:sz="0" w:space="0" w:color="auto"/>
        <w:left w:val="none" w:sz="0" w:space="0" w:color="auto"/>
        <w:bottom w:val="none" w:sz="0" w:space="0" w:color="auto"/>
        <w:right w:val="none" w:sz="0" w:space="0" w:color="auto"/>
      </w:divBdr>
      <w:divsChild>
        <w:div w:id="124350837">
          <w:marLeft w:val="0"/>
          <w:marRight w:val="0"/>
          <w:marTop w:val="270"/>
          <w:marBottom w:val="90"/>
          <w:divBdr>
            <w:top w:val="single" w:sz="6" w:space="18" w:color="CCCCCC"/>
            <w:left w:val="single" w:sz="6" w:space="14" w:color="CCCCCC"/>
            <w:bottom w:val="single" w:sz="6" w:space="11" w:color="CCCCCC"/>
            <w:right w:val="single" w:sz="6" w:space="14" w:color="CCCCCC"/>
          </w:divBdr>
          <w:divsChild>
            <w:div w:id="202255320">
              <w:marLeft w:val="0"/>
              <w:marRight w:val="0"/>
              <w:marTop w:val="0"/>
              <w:marBottom w:val="0"/>
              <w:divBdr>
                <w:top w:val="none" w:sz="0" w:space="0" w:color="auto"/>
                <w:left w:val="none" w:sz="0" w:space="0" w:color="auto"/>
                <w:bottom w:val="none" w:sz="0" w:space="0" w:color="auto"/>
                <w:right w:val="none" w:sz="0" w:space="0" w:color="auto"/>
              </w:divBdr>
              <w:divsChild>
                <w:div w:id="1638366791">
                  <w:marLeft w:val="0"/>
                  <w:marRight w:val="0"/>
                  <w:marTop w:val="360"/>
                  <w:marBottom w:val="0"/>
                  <w:divBdr>
                    <w:top w:val="single" w:sz="6" w:space="0" w:color="FFFFFF"/>
                    <w:left w:val="single" w:sz="6" w:space="0" w:color="FFFFFF"/>
                    <w:bottom w:val="single" w:sz="6" w:space="0" w:color="FFFFFF"/>
                    <w:right w:val="single" w:sz="6" w:space="0" w:color="FFFFFF"/>
                  </w:divBdr>
                  <w:divsChild>
                    <w:div w:id="312683929">
                      <w:marLeft w:val="0"/>
                      <w:marRight w:val="0"/>
                      <w:marTop w:val="0"/>
                      <w:marBottom w:val="0"/>
                      <w:divBdr>
                        <w:top w:val="none" w:sz="0" w:space="0" w:color="auto"/>
                        <w:left w:val="none" w:sz="0" w:space="0" w:color="auto"/>
                        <w:bottom w:val="none" w:sz="0" w:space="0" w:color="auto"/>
                        <w:right w:val="none" w:sz="0" w:space="0" w:color="auto"/>
                      </w:divBdr>
                      <w:divsChild>
                        <w:div w:id="156548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9063813">
      <w:bodyDiv w:val="1"/>
      <w:marLeft w:val="0"/>
      <w:marRight w:val="0"/>
      <w:marTop w:val="0"/>
      <w:marBottom w:val="0"/>
      <w:divBdr>
        <w:top w:val="none" w:sz="0" w:space="0" w:color="auto"/>
        <w:left w:val="none" w:sz="0" w:space="0" w:color="auto"/>
        <w:bottom w:val="none" w:sz="0" w:space="0" w:color="auto"/>
        <w:right w:val="none" w:sz="0" w:space="0" w:color="auto"/>
      </w:divBdr>
      <w:divsChild>
        <w:div w:id="542448393">
          <w:marLeft w:val="0"/>
          <w:marRight w:val="0"/>
          <w:marTop w:val="270"/>
          <w:marBottom w:val="90"/>
          <w:divBdr>
            <w:top w:val="single" w:sz="6" w:space="18" w:color="CCCCCC"/>
            <w:left w:val="single" w:sz="6" w:space="14" w:color="CCCCCC"/>
            <w:bottom w:val="single" w:sz="6" w:space="11" w:color="CCCCCC"/>
            <w:right w:val="single" w:sz="6" w:space="14" w:color="CCCCCC"/>
          </w:divBdr>
          <w:divsChild>
            <w:div w:id="1588415090">
              <w:marLeft w:val="0"/>
              <w:marRight w:val="0"/>
              <w:marTop w:val="0"/>
              <w:marBottom w:val="0"/>
              <w:divBdr>
                <w:top w:val="none" w:sz="0" w:space="0" w:color="auto"/>
                <w:left w:val="none" w:sz="0" w:space="0" w:color="auto"/>
                <w:bottom w:val="none" w:sz="0" w:space="0" w:color="auto"/>
                <w:right w:val="none" w:sz="0" w:space="0" w:color="auto"/>
              </w:divBdr>
              <w:divsChild>
                <w:div w:id="216744400">
                  <w:marLeft w:val="0"/>
                  <w:marRight w:val="0"/>
                  <w:marTop w:val="360"/>
                  <w:marBottom w:val="0"/>
                  <w:divBdr>
                    <w:top w:val="single" w:sz="6" w:space="0" w:color="FFFFFF"/>
                    <w:left w:val="single" w:sz="6" w:space="0" w:color="FFFFFF"/>
                    <w:bottom w:val="single" w:sz="6" w:space="0" w:color="FFFFFF"/>
                    <w:right w:val="single" w:sz="6" w:space="0" w:color="FFFFFF"/>
                  </w:divBdr>
                  <w:divsChild>
                    <w:div w:id="1020469637">
                      <w:marLeft w:val="0"/>
                      <w:marRight w:val="0"/>
                      <w:marTop w:val="0"/>
                      <w:marBottom w:val="0"/>
                      <w:divBdr>
                        <w:top w:val="none" w:sz="0" w:space="0" w:color="auto"/>
                        <w:left w:val="none" w:sz="0" w:space="0" w:color="auto"/>
                        <w:bottom w:val="none" w:sz="0" w:space="0" w:color="auto"/>
                        <w:right w:val="none" w:sz="0" w:space="0" w:color="auto"/>
                      </w:divBdr>
                      <w:divsChild>
                        <w:div w:id="80655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8228923">
      <w:bodyDiv w:val="1"/>
      <w:marLeft w:val="0"/>
      <w:marRight w:val="0"/>
      <w:marTop w:val="0"/>
      <w:marBottom w:val="0"/>
      <w:divBdr>
        <w:top w:val="none" w:sz="0" w:space="0" w:color="auto"/>
        <w:left w:val="none" w:sz="0" w:space="0" w:color="auto"/>
        <w:bottom w:val="none" w:sz="0" w:space="0" w:color="auto"/>
        <w:right w:val="none" w:sz="0" w:space="0" w:color="auto"/>
      </w:divBdr>
      <w:divsChild>
        <w:div w:id="492065773">
          <w:marLeft w:val="0"/>
          <w:marRight w:val="0"/>
          <w:marTop w:val="270"/>
          <w:marBottom w:val="90"/>
          <w:divBdr>
            <w:top w:val="single" w:sz="6" w:space="18" w:color="CCCCCC"/>
            <w:left w:val="single" w:sz="6" w:space="14" w:color="CCCCCC"/>
            <w:bottom w:val="single" w:sz="6" w:space="11" w:color="CCCCCC"/>
            <w:right w:val="single" w:sz="6" w:space="14" w:color="CCCCCC"/>
          </w:divBdr>
          <w:divsChild>
            <w:div w:id="238515105">
              <w:marLeft w:val="0"/>
              <w:marRight w:val="0"/>
              <w:marTop w:val="0"/>
              <w:marBottom w:val="0"/>
              <w:divBdr>
                <w:top w:val="none" w:sz="0" w:space="0" w:color="auto"/>
                <w:left w:val="none" w:sz="0" w:space="0" w:color="auto"/>
                <w:bottom w:val="none" w:sz="0" w:space="0" w:color="auto"/>
                <w:right w:val="none" w:sz="0" w:space="0" w:color="auto"/>
              </w:divBdr>
              <w:divsChild>
                <w:div w:id="862128873">
                  <w:marLeft w:val="0"/>
                  <w:marRight w:val="0"/>
                  <w:marTop w:val="360"/>
                  <w:marBottom w:val="0"/>
                  <w:divBdr>
                    <w:top w:val="single" w:sz="6" w:space="0" w:color="FFFFFF"/>
                    <w:left w:val="single" w:sz="6" w:space="0" w:color="FFFFFF"/>
                    <w:bottom w:val="single" w:sz="6" w:space="0" w:color="FFFFFF"/>
                    <w:right w:val="single" w:sz="6" w:space="0" w:color="FFFFFF"/>
                  </w:divBdr>
                  <w:divsChild>
                    <w:div w:id="854466630">
                      <w:marLeft w:val="0"/>
                      <w:marRight w:val="0"/>
                      <w:marTop w:val="0"/>
                      <w:marBottom w:val="0"/>
                      <w:divBdr>
                        <w:top w:val="none" w:sz="0" w:space="0" w:color="auto"/>
                        <w:left w:val="none" w:sz="0" w:space="0" w:color="auto"/>
                        <w:bottom w:val="none" w:sz="0" w:space="0" w:color="auto"/>
                        <w:right w:val="none" w:sz="0" w:space="0" w:color="auto"/>
                      </w:divBdr>
                      <w:divsChild>
                        <w:div w:id="569853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0208538">
      <w:bodyDiv w:val="1"/>
      <w:marLeft w:val="0"/>
      <w:marRight w:val="0"/>
      <w:marTop w:val="0"/>
      <w:marBottom w:val="0"/>
      <w:divBdr>
        <w:top w:val="none" w:sz="0" w:space="0" w:color="auto"/>
        <w:left w:val="none" w:sz="0" w:space="0" w:color="auto"/>
        <w:bottom w:val="none" w:sz="0" w:space="0" w:color="auto"/>
        <w:right w:val="none" w:sz="0" w:space="0" w:color="auto"/>
      </w:divBdr>
      <w:divsChild>
        <w:div w:id="1973905871">
          <w:marLeft w:val="0"/>
          <w:marRight w:val="0"/>
          <w:marTop w:val="270"/>
          <w:marBottom w:val="90"/>
          <w:divBdr>
            <w:top w:val="single" w:sz="6" w:space="18" w:color="CCCCCC"/>
            <w:left w:val="single" w:sz="6" w:space="14" w:color="CCCCCC"/>
            <w:bottom w:val="single" w:sz="6" w:space="11" w:color="CCCCCC"/>
            <w:right w:val="single" w:sz="6" w:space="14" w:color="CCCCCC"/>
          </w:divBdr>
          <w:divsChild>
            <w:div w:id="424690799">
              <w:marLeft w:val="0"/>
              <w:marRight w:val="0"/>
              <w:marTop w:val="0"/>
              <w:marBottom w:val="0"/>
              <w:divBdr>
                <w:top w:val="none" w:sz="0" w:space="0" w:color="auto"/>
                <w:left w:val="none" w:sz="0" w:space="0" w:color="auto"/>
                <w:bottom w:val="none" w:sz="0" w:space="0" w:color="auto"/>
                <w:right w:val="none" w:sz="0" w:space="0" w:color="auto"/>
              </w:divBdr>
              <w:divsChild>
                <w:div w:id="770973115">
                  <w:marLeft w:val="0"/>
                  <w:marRight w:val="0"/>
                  <w:marTop w:val="360"/>
                  <w:marBottom w:val="0"/>
                  <w:divBdr>
                    <w:top w:val="none" w:sz="0" w:space="0" w:color="auto"/>
                    <w:left w:val="none" w:sz="0" w:space="0" w:color="auto"/>
                    <w:bottom w:val="none" w:sz="0" w:space="0" w:color="auto"/>
                    <w:right w:val="none" w:sz="0" w:space="0" w:color="auto"/>
                  </w:divBdr>
                  <w:divsChild>
                    <w:div w:id="848956718">
                      <w:marLeft w:val="0"/>
                      <w:marRight w:val="0"/>
                      <w:marTop w:val="240"/>
                      <w:marBottom w:val="0"/>
                      <w:divBdr>
                        <w:top w:val="none" w:sz="0" w:space="0" w:color="auto"/>
                        <w:left w:val="none" w:sz="0" w:space="0" w:color="auto"/>
                        <w:bottom w:val="none" w:sz="0" w:space="0" w:color="auto"/>
                        <w:right w:val="none" w:sz="0" w:space="0" w:color="auto"/>
                      </w:divBdr>
                      <w:divsChild>
                        <w:div w:id="1266497544">
                          <w:marLeft w:val="0"/>
                          <w:marRight w:val="0"/>
                          <w:marTop w:val="0"/>
                          <w:marBottom w:val="0"/>
                          <w:divBdr>
                            <w:top w:val="none" w:sz="0" w:space="0" w:color="auto"/>
                            <w:left w:val="none" w:sz="0" w:space="0" w:color="auto"/>
                            <w:bottom w:val="none" w:sz="0" w:space="0" w:color="auto"/>
                            <w:right w:val="none" w:sz="0" w:space="0" w:color="auto"/>
                          </w:divBdr>
                          <w:divsChild>
                            <w:div w:id="216553210">
                              <w:marLeft w:val="0"/>
                              <w:marRight w:val="0"/>
                              <w:marTop w:val="0"/>
                              <w:marBottom w:val="0"/>
                              <w:divBdr>
                                <w:top w:val="none" w:sz="0" w:space="0" w:color="auto"/>
                                <w:left w:val="none" w:sz="0" w:space="0" w:color="auto"/>
                                <w:bottom w:val="none" w:sz="0" w:space="0" w:color="auto"/>
                                <w:right w:val="none" w:sz="0" w:space="0" w:color="auto"/>
                              </w:divBdr>
                            </w:div>
                            <w:div w:id="55636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786C5-C392-47D2-8D22-A1C78EF0AD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487</TotalTime>
  <Pages>4</Pages>
  <Words>1704</Words>
  <Characters>9719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TempAdmin</cp:lastModifiedBy>
  <cp:revision>20</cp:revision>
  <cp:lastPrinted>2016-02-19T19:12:00Z</cp:lastPrinted>
  <dcterms:created xsi:type="dcterms:W3CDTF">2016-03-01T21:28:00Z</dcterms:created>
  <dcterms:modified xsi:type="dcterms:W3CDTF">2016-03-02T23:15:00Z</dcterms:modified>
</cp:coreProperties>
</file>