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B3" w:rsidRPr="00CB3F9E" w:rsidRDefault="00CB3F9E" w:rsidP="00CB3F9E">
      <w:pPr>
        <w:autoSpaceDE w:val="0"/>
        <w:autoSpaceDN w:val="0"/>
        <w:adjustRightInd w:val="0"/>
        <w:ind w:left="0"/>
        <w:rPr>
          <w:b/>
          <w:bCs/>
          <w:szCs w:val="24"/>
        </w:rPr>
      </w:pPr>
      <w:proofErr w:type="spellStart"/>
      <w:r>
        <w:rPr>
          <w:b/>
          <w:bCs/>
          <w:szCs w:val="24"/>
        </w:rPr>
        <w:t>R</w:t>
      </w:r>
      <w:r w:rsidRPr="00CB3F9E">
        <w:rPr>
          <w:b/>
          <w:bCs/>
          <w:szCs w:val="24"/>
        </w:rPr>
        <w:t>itting</w:t>
      </w:r>
      <w:proofErr w:type="spellEnd"/>
      <w:r>
        <w:rPr>
          <w:b/>
          <w:bCs/>
          <w:szCs w:val="24"/>
        </w:rPr>
        <w:t xml:space="preserve"> AW</w:t>
      </w:r>
      <w:r w:rsidRPr="00CB3F9E">
        <w:rPr>
          <w:b/>
          <w:bCs/>
          <w:szCs w:val="24"/>
        </w:rPr>
        <w:t>, Leger</w:t>
      </w:r>
      <w:r>
        <w:rPr>
          <w:b/>
          <w:bCs/>
          <w:szCs w:val="24"/>
        </w:rPr>
        <w:t xml:space="preserve"> R</w:t>
      </w:r>
      <w:r w:rsidRPr="00CB3F9E">
        <w:rPr>
          <w:b/>
          <w:bCs/>
          <w:szCs w:val="24"/>
        </w:rPr>
        <w:t>, O’Malley</w:t>
      </w:r>
      <w:r>
        <w:rPr>
          <w:b/>
          <w:bCs/>
          <w:szCs w:val="24"/>
        </w:rPr>
        <w:t xml:space="preserve"> MP, and et al. </w:t>
      </w:r>
      <w:r w:rsidRPr="00CB3F9E">
        <w:rPr>
          <w:b/>
          <w:bCs/>
          <w:szCs w:val="24"/>
        </w:rPr>
        <w:t>Duration of Postop</w:t>
      </w:r>
      <w:r>
        <w:rPr>
          <w:b/>
          <w:bCs/>
          <w:szCs w:val="24"/>
        </w:rPr>
        <w:t xml:space="preserve">erative Dressing After Mini-Open </w:t>
      </w:r>
      <w:r w:rsidRPr="00CB3F9E">
        <w:rPr>
          <w:b/>
          <w:bCs/>
          <w:szCs w:val="24"/>
        </w:rPr>
        <w:t>Carpal Tunnel Release:</w:t>
      </w:r>
      <w:r>
        <w:rPr>
          <w:b/>
          <w:bCs/>
          <w:szCs w:val="24"/>
        </w:rPr>
        <w:t xml:space="preserve"> </w:t>
      </w:r>
      <w:r w:rsidRPr="00CB3F9E">
        <w:rPr>
          <w:b/>
          <w:bCs/>
          <w:szCs w:val="24"/>
        </w:rPr>
        <w:t>A</w:t>
      </w:r>
      <w:r>
        <w:rPr>
          <w:b/>
          <w:bCs/>
          <w:szCs w:val="24"/>
        </w:rPr>
        <w:t xml:space="preserve"> </w:t>
      </w:r>
      <w:r w:rsidRPr="00CB3F9E">
        <w:rPr>
          <w:b/>
          <w:bCs/>
          <w:szCs w:val="24"/>
        </w:rPr>
        <w:t>Prospective, Randomized Trial</w:t>
      </w:r>
      <w:r>
        <w:rPr>
          <w:b/>
          <w:bCs/>
          <w:szCs w:val="24"/>
        </w:rPr>
        <w:t xml:space="preserve">. </w:t>
      </w:r>
      <w:r w:rsidRPr="00CB3F9E">
        <w:rPr>
          <w:b/>
          <w:bCs/>
          <w:szCs w:val="24"/>
        </w:rPr>
        <w:t xml:space="preserve">J Hand </w:t>
      </w:r>
      <w:proofErr w:type="spellStart"/>
      <w:r w:rsidRPr="00CB3F9E">
        <w:rPr>
          <w:b/>
          <w:bCs/>
          <w:szCs w:val="24"/>
        </w:rPr>
        <w:t>Surg</w:t>
      </w:r>
      <w:proofErr w:type="spellEnd"/>
      <w:r w:rsidRPr="00CB3F9E">
        <w:rPr>
          <w:b/>
          <w:bCs/>
          <w:szCs w:val="24"/>
        </w:rPr>
        <w:t xml:space="preserve"> Am. 2012;</w:t>
      </w:r>
      <w:r>
        <w:rPr>
          <w:b/>
          <w:bCs/>
          <w:szCs w:val="24"/>
        </w:rPr>
        <w:t xml:space="preserve"> 37(1):</w:t>
      </w:r>
      <w:r w:rsidRPr="00CB3F9E">
        <w:rPr>
          <w:b/>
          <w:bCs/>
          <w:szCs w:val="24"/>
        </w:rPr>
        <w:t>3-8.</w:t>
      </w:r>
    </w:p>
    <w:p w:rsidR="00E40EB3" w:rsidRDefault="00CB3F9E" w:rsidP="00507EB9">
      <w:pPr>
        <w:autoSpaceDE w:val="0"/>
        <w:autoSpaceDN w:val="0"/>
        <w:adjustRightInd w:val="0"/>
        <w:ind w:left="0"/>
        <w:rPr>
          <w:b/>
          <w:szCs w:val="24"/>
        </w:rPr>
      </w:pPr>
      <w:r>
        <w:rPr>
          <w:b/>
          <w:color w:val="auto"/>
          <w:szCs w:val="24"/>
        </w:rPr>
        <w:t xml:space="preserve">PMID: </w:t>
      </w:r>
      <w:r w:rsidRPr="00CB3F9E">
        <w:rPr>
          <w:b/>
          <w:szCs w:val="24"/>
        </w:rPr>
        <w:t>22133704</w:t>
      </w:r>
    </w:p>
    <w:p w:rsidR="00CB3F9E" w:rsidRPr="00673CDB" w:rsidRDefault="00CB3F9E" w:rsidP="00507EB9">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CB3F9E">
        <w:rPr>
          <w:szCs w:val="24"/>
        </w:rPr>
        <w:t>2</w:t>
      </w:r>
      <w:r w:rsidR="00FD6601" w:rsidRPr="00673CDB">
        <w:rPr>
          <w:szCs w:val="24"/>
        </w:rPr>
        <w:t>-</w:t>
      </w:r>
      <w:r w:rsidR="00CB3F9E">
        <w:rPr>
          <w:szCs w:val="24"/>
        </w:rPr>
        <w:t>1</w:t>
      </w:r>
      <w:r w:rsidR="00507EB9">
        <w:rPr>
          <w:szCs w:val="24"/>
        </w:rPr>
        <w:t>8-</w:t>
      </w:r>
      <w:r w:rsidR="00CB3F9E">
        <w:rPr>
          <w:szCs w:val="24"/>
        </w:rPr>
        <w:t>16</w:t>
      </w:r>
    </w:p>
    <w:p w:rsidR="00A44500" w:rsidRDefault="00E22BE4" w:rsidP="008A3029">
      <w:pPr>
        <w:ind w:left="0"/>
        <w:rPr>
          <w:szCs w:val="24"/>
        </w:rPr>
      </w:pPr>
      <w:r w:rsidRPr="00673CDB">
        <w:rPr>
          <w:b/>
          <w:szCs w:val="24"/>
        </w:rPr>
        <w:t>Design:</w:t>
      </w:r>
      <w:r w:rsidRPr="00673CDB">
        <w:rPr>
          <w:szCs w:val="24"/>
        </w:rPr>
        <w:t xml:space="preserve"> </w:t>
      </w:r>
      <w:r w:rsidR="00A44500" w:rsidRPr="00673CDB">
        <w:rPr>
          <w:szCs w:val="24"/>
        </w:rPr>
        <w:t xml:space="preserve">Randomized </w:t>
      </w:r>
      <w:r w:rsidR="00B964C7" w:rsidRPr="00B964C7">
        <w:rPr>
          <w:szCs w:val="24"/>
        </w:rPr>
        <w:t xml:space="preserve">controlled </w:t>
      </w:r>
      <w:r w:rsidR="007179B8">
        <w:rPr>
          <w:szCs w:val="24"/>
        </w:rPr>
        <w:t>trial</w:t>
      </w:r>
    </w:p>
    <w:p w:rsidR="00D32346" w:rsidRPr="00673CDB" w:rsidRDefault="00D32346" w:rsidP="00BF684B">
      <w:pPr>
        <w:rPr>
          <w:szCs w:val="24"/>
        </w:rPr>
      </w:pPr>
    </w:p>
    <w:p w:rsidR="00F9177A" w:rsidRDefault="002362F1" w:rsidP="00DD17DB">
      <w:pPr>
        <w:autoSpaceDE w:val="0"/>
        <w:autoSpaceDN w:val="0"/>
        <w:adjustRightInd w:val="0"/>
        <w:ind w:left="0"/>
        <w:rPr>
          <w:szCs w:val="24"/>
        </w:rPr>
      </w:pPr>
      <w:r w:rsidRPr="00673CDB">
        <w:rPr>
          <w:b/>
          <w:szCs w:val="24"/>
        </w:rPr>
        <w:t xml:space="preserve">Objective: </w:t>
      </w:r>
      <w:r w:rsidR="00BF3FBD">
        <w:rPr>
          <w:szCs w:val="24"/>
        </w:rPr>
        <w:t>T</w:t>
      </w:r>
      <w:r w:rsidR="00BF3FBD" w:rsidRPr="00F9177A">
        <w:rPr>
          <w:szCs w:val="24"/>
        </w:rPr>
        <w:t xml:space="preserve">o </w:t>
      </w:r>
      <w:r w:rsidR="00BF3FBD">
        <w:rPr>
          <w:szCs w:val="24"/>
        </w:rPr>
        <w:t xml:space="preserve">compare </w:t>
      </w:r>
      <w:r w:rsidR="00BF3FBD" w:rsidRPr="00F9177A">
        <w:rPr>
          <w:szCs w:val="24"/>
        </w:rPr>
        <w:t xml:space="preserve">the short-term </w:t>
      </w:r>
      <w:r w:rsidR="00BF3FBD">
        <w:rPr>
          <w:szCs w:val="24"/>
        </w:rPr>
        <w:t xml:space="preserve">clinical </w:t>
      </w:r>
      <w:r w:rsidR="00BF3FBD" w:rsidRPr="00F9177A">
        <w:rPr>
          <w:szCs w:val="24"/>
        </w:rPr>
        <w:t>outcomes in patients who receive a</w:t>
      </w:r>
      <w:r w:rsidR="00BF3FBD">
        <w:rPr>
          <w:szCs w:val="24"/>
        </w:rPr>
        <w:t xml:space="preserve"> </w:t>
      </w:r>
      <w:r w:rsidR="00BF3FBD" w:rsidRPr="00F9177A">
        <w:rPr>
          <w:szCs w:val="24"/>
        </w:rPr>
        <w:t>postoperative bulky dressing that is replaced by an</w:t>
      </w:r>
      <w:r w:rsidR="00BF3FBD">
        <w:rPr>
          <w:szCs w:val="24"/>
        </w:rPr>
        <w:t xml:space="preserve"> </w:t>
      </w:r>
      <w:r w:rsidR="00BF3FBD" w:rsidRPr="00F9177A">
        <w:rPr>
          <w:szCs w:val="24"/>
        </w:rPr>
        <w:t xml:space="preserve">adhesive strip 48 to 72 hours after </w:t>
      </w:r>
      <w:r w:rsidR="00BF3FBD">
        <w:rPr>
          <w:szCs w:val="24"/>
        </w:rPr>
        <w:t xml:space="preserve">carpal tunnel release (CTR) </w:t>
      </w:r>
      <w:r w:rsidR="00BF3FBD" w:rsidRPr="00F9177A">
        <w:rPr>
          <w:szCs w:val="24"/>
        </w:rPr>
        <w:t>surgery to patients</w:t>
      </w:r>
      <w:r w:rsidR="00BF3FBD">
        <w:rPr>
          <w:szCs w:val="24"/>
        </w:rPr>
        <w:t xml:space="preserve"> </w:t>
      </w:r>
      <w:r w:rsidR="00BF3FBD" w:rsidRPr="00F9177A">
        <w:rPr>
          <w:szCs w:val="24"/>
        </w:rPr>
        <w:t>who maintain the initial bulky dressing until the first</w:t>
      </w:r>
      <w:r w:rsidR="00BF3FBD">
        <w:rPr>
          <w:szCs w:val="24"/>
        </w:rPr>
        <w:t xml:space="preserve"> </w:t>
      </w:r>
      <w:r w:rsidR="00BF3FBD" w:rsidRPr="00F9177A">
        <w:rPr>
          <w:szCs w:val="24"/>
        </w:rPr>
        <w:t>postoperative visit at approximately 2 weeks.</w:t>
      </w:r>
    </w:p>
    <w:p w:rsidR="00BF3FBD" w:rsidRDefault="00BF3FBD" w:rsidP="00DD17DB">
      <w:pPr>
        <w:autoSpaceDE w:val="0"/>
        <w:autoSpaceDN w:val="0"/>
        <w:adjustRightInd w:val="0"/>
        <w:ind w:left="0"/>
        <w:rPr>
          <w:szCs w:val="24"/>
        </w:rPr>
      </w:pPr>
    </w:p>
    <w:p w:rsidR="008D264D" w:rsidRDefault="00053CA3" w:rsidP="008A3029">
      <w:pPr>
        <w:autoSpaceDE w:val="0"/>
        <w:autoSpaceDN w:val="0"/>
        <w:adjustRightInd w:val="0"/>
        <w:ind w:left="0"/>
        <w:rPr>
          <w:b/>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0F33CD" w:rsidRDefault="00BF3FBD" w:rsidP="00315686">
      <w:pPr>
        <w:pStyle w:val="ListParagraph"/>
        <w:numPr>
          <w:ilvl w:val="0"/>
          <w:numId w:val="7"/>
        </w:numPr>
        <w:rPr>
          <w:szCs w:val="24"/>
        </w:rPr>
      </w:pPr>
      <w:r w:rsidRPr="000F33CD">
        <w:rPr>
          <w:szCs w:val="24"/>
        </w:rPr>
        <w:t>A total of 94</w:t>
      </w:r>
      <w:r w:rsidR="00305931" w:rsidRPr="000F33CD">
        <w:rPr>
          <w:szCs w:val="24"/>
        </w:rPr>
        <w:t xml:space="preserve"> </w:t>
      </w:r>
      <w:r w:rsidR="000F33CD">
        <w:rPr>
          <w:szCs w:val="24"/>
        </w:rPr>
        <w:t>consecutive</w:t>
      </w:r>
      <w:r w:rsidR="008112EF">
        <w:rPr>
          <w:szCs w:val="24"/>
        </w:rPr>
        <w:t xml:space="preserve"> </w:t>
      </w:r>
      <w:r w:rsidR="00305931" w:rsidRPr="000F33CD">
        <w:rPr>
          <w:szCs w:val="24"/>
        </w:rPr>
        <w:t>patients (</w:t>
      </w:r>
      <w:r w:rsidRPr="000F33CD">
        <w:rPr>
          <w:bCs/>
        </w:rPr>
        <w:t>mean age 45.5</w:t>
      </w:r>
      <w:r w:rsidR="00305931" w:rsidRPr="000F33CD">
        <w:rPr>
          <w:bCs/>
        </w:rPr>
        <w:t xml:space="preserve"> years</w:t>
      </w:r>
      <w:r w:rsidR="000F33CD" w:rsidRPr="000F33CD">
        <w:rPr>
          <w:bCs/>
        </w:rPr>
        <w:t>, 73 females, 21 males</w:t>
      </w:r>
      <w:r w:rsidR="00305931" w:rsidRPr="000F33CD">
        <w:rPr>
          <w:bCs/>
        </w:rPr>
        <w:t>)</w:t>
      </w:r>
      <w:r w:rsidR="00305931" w:rsidRPr="000F33CD">
        <w:rPr>
          <w:szCs w:val="24"/>
        </w:rPr>
        <w:t xml:space="preserve"> </w:t>
      </w:r>
      <w:r w:rsidRPr="000F33CD">
        <w:rPr>
          <w:szCs w:val="24"/>
        </w:rPr>
        <w:t xml:space="preserve">undergoing </w:t>
      </w:r>
      <w:r w:rsidR="00146A06">
        <w:rPr>
          <w:szCs w:val="24"/>
        </w:rPr>
        <w:t xml:space="preserve">unilateral </w:t>
      </w:r>
      <w:r w:rsidRPr="000F33CD">
        <w:rPr>
          <w:szCs w:val="24"/>
        </w:rPr>
        <w:t xml:space="preserve">CTR </w:t>
      </w:r>
      <w:r w:rsidR="00305931" w:rsidRPr="000F33CD">
        <w:rPr>
          <w:szCs w:val="24"/>
        </w:rPr>
        <w:t xml:space="preserve">were recruited </w:t>
      </w:r>
      <w:r w:rsidRPr="000F33CD">
        <w:rPr>
          <w:szCs w:val="24"/>
        </w:rPr>
        <w:t>from</w:t>
      </w:r>
      <w:r w:rsidR="00305931" w:rsidRPr="000F33CD">
        <w:rPr>
          <w:szCs w:val="24"/>
        </w:rPr>
        <w:t xml:space="preserve"> the </w:t>
      </w:r>
      <w:r w:rsidRPr="000F33CD">
        <w:rPr>
          <w:szCs w:val="24"/>
        </w:rPr>
        <w:t xml:space="preserve">Department of Orthopedic </w:t>
      </w:r>
      <w:r w:rsidR="000F33CD" w:rsidRPr="000F33CD">
        <w:rPr>
          <w:szCs w:val="24"/>
        </w:rPr>
        <w:t xml:space="preserve">Surgery at the </w:t>
      </w:r>
      <w:r w:rsidR="00305931" w:rsidRPr="000F33CD">
        <w:rPr>
          <w:szCs w:val="24"/>
        </w:rPr>
        <w:t xml:space="preserve">University </w:t>
      </w:r>
      <w:r w:rsidR="000F33CD">
        <w:rPr>
          <w:szCs w:val="24"/>
        </w:rPr>
        <w:t>o</w:t>
      </w:r>
      <w:r w:rsidR="000F33CD" w:rsidRPr="000F33CD">
        <w:rPr>
          <w:szCs w:val="24"/>
        </w:rPr>
        <w:t xml:space="preserve">f Connecticut Health Center </w:t>
      </w:r>
      <w:r w:rsidR="00305931" w:rsidRPr="000F33CD">
        <w:rPr>
          <w:szCs w:val="24"/>
        </w:rPr>
        <w:t xml:space="preserve">between </w:t>
      </w:r>
      <w:r w:rsidR="000F33CD" w:rsidRPr="000F33CD">
        <w:rPr>
          <w:szCs w:val="24"/>
        </w:rPr>
        <w:t>May 2009 and October 2010.</w:t>
      </w:r>
      <w:r w:rsidR="00305931" w:rsidRPr="000F33CD">
        <w:rPr>
          <w:szCs w:val="24"/>
        </w:rPr>
        <w:t xml:space="preserve"> </w:t>
      </w:r>
    </w:p>
    <w:p w:rsidR="00305931" w:rsidRPr="008112EF" w:rsidRDefault="000F33CD" w:rsidP="00315686">
      <w:pPr>
        <w:pStyle w:val="ListParagraph"/>
        <w:numPr>
          <w:ilvl w:val="0"/>
          <w:numId w:val="7"/>
        </w:numPr>
        <w:rPr>
          <w:szCs w:val="24"/>
        </w:rPr>
      </w:pPr>
      <w:r w:rsidRPr="008112EF">
        <w:rPr>
          <w:szCs w:val="24"/>
        </w:rPr>
        <w:t>The 94</w:t>
      </w:r>
      <w:r w:rsidR="00053CA3" w:rsidRPr="008112EF">
        <w:rPr>
          <w:szCs w:val="24"/>
        </w:rPr>
        <w:t xml:space="preserve"> </w:t>
      </w:r>
      <w:r w:rsidR="00305931" w:rsidRPr="008112EF">
        <w:rPr>
          <w:szCs w:val="24"/>
        </w:rPr>
        <w:t>patients were randomly assigned to one of</w:t>
      </w:r>
      <w:r w:rsidRPr="008112EF">
        <w:rPr>
          <w:szCs w:val="24"/>
        </w:rPr>
        <w:t xml:space="preserve"> 2 groups: group A (n = 4</w:t>
      </w:r>
      <w:r w:rsidR="00305931" w:rsidRPr="008112EF">
        <w:rPr>
          <w:szCs w:val="24"/>
        </w:rPr>
        <w:t>5)</w:t>
      </w:r>
      <w:r w:rsidRPr="008112EF">
        <w:rPr>
          <w:szCs w:val="24"/>
        </w:rPr>
        <w:t xml:space="preserve"> </w:t>
      </w:r>
      <w:r w:rsidR="008112EF" w:rsidRPr="008112EF">
        <w:rPr>
          <w:szCs w:val="24"/>
        </w:rPr>
        <w:t xml:space="preserve">postoperatively </w:t>
      </w:r>
      <w:r w:rsidRPr="008112EF">
        <w:rPr>
          <w:szCs w:val="24"/>
        </w:rPr>
        <w:t xml:space="preserve">wore a bulky dressing for 2 to 3 days </w:t>
      </w:r>
      <w:r w:rsidR="008112EF" w:rsidRPr="008112EF">
        <w:rPr>
          <w:szCs w:val="24"/>
        </w:rPr>
        <w:t>(short-term)</w:t>
      </w:r>
      <w:r w:rsidRPr="008112EF">
        <w:rPr>
          <w:szCs w:val="24"/>
        </w:rPr>
        <w:t>; group B (n = 49</w:t>
      </w:r>
      <w:r w:rsidR="00305931" w:rsidRPr="008112EF">
        <w:rPr>
          <w:szCs w:val="24"/>
        </w:rPr>
        <w:t>)</w:t>
      </w:r>
      <w:r w:rsidR="008112EF" w:rsidRPr="008112EF">
        <w:rPr>
          <w:szCs w:val="24"/>
        </w:rPr>
        <w:t xml:space="preserve"> postoperatively wore a bulky dressing for 2 weeks (long-term)</w:t>
      </w:r>
      <w:r w:rsidR="00305931" w:rsidRPr="008112EF">
        <w:rPr>
          <w:szCs w:val="24"/>
        </w:rPr>
        <w:t>.</w:t>
      </w:r>
    </w:p>
    <w:p w:rsidR="006B7F3F" w:rsidRPr="008112EF" w:rsidRDefault="002D31E6" w:rsidP="00315686">
      <w:pPr>
        <w:pStyle w:val="ListParagraph"/>
        <w:numPr>
          <w:ilvl w:val="0"/>
          <w:numId w:val="1"/>
        </w:numPr>
        <w:spacing w:after="200"/>
        <w:rPr>
          <w:szCs w:val="24"/>
        </w:rPr>
      </w:pPr>
      <w:r w:rsidRPr="008112EF">
        <w:rPr>
          <w:szCs w:val="24"/>
        </w:rPr>
        <w:t xml:space="preserve">Inclusion criteria included </w:t>
      </w:r>
      <w:r w:rsidR="008112EF" w:rsidRPr="008112EF">
        <w:rPr>
          <w:szCs w:val="24"/>
        </w:rPr>
        <w:t xml:space="preserve">adults with </w:t>
      </w:r>
      <w:r w:rsidR="00740CD1" w:rsidRPr="008112EF">
        <w:rPr>
          <w:szCs w:val="24"/>
          <w:lang w:val="en"/>
        </w:rPr>
        <w:t>carpal tunnel syndrome</w:t>
      </w:r>
      <w:r w:rsidR="008112EF">
        <w:rPr>
          <w:szCs w:val="24"/>
          <w:lang w:val="en"/>
        </w:rPr>
        <w:t xml:space="preserve"> (CTS)</w:t>
      </w:r>
      <w:r w:rsidR="00740CD1" w:rsidRPr="008112EF">
        <w:rPr>
          <w:szCs w:val="24"/>
          <w:lang w:val="en"/>
        </w:rPr>
        <w:t>.</w:t>
      </w:r>
    </w:p>
    <w:p w:rsidR="00CB3F9E" w:rsidRPr="008112EF" w:rsidRDefault="00F60CAF" w:rsidP="008112EF">
      <w:pPr>
        <w:pStyle w:val="ListParagraph"/>
        <w:numPr>
          <w:ilvl w:val="0"/>
          <w:numId w:val="1"/>
        </w:numPr>
        <w:spacing w:after="200"/>
        <w:rPr>
          <w:szCs w:val="24"/>
          <w:lang w:val="en"/>
        </w:rPr>
      </w:pPr>
      <w:r w:rsidRPr="008112EF">
        <w:rPr>
          <w:szCs w:val="24"/>
        </w:rPr>
        <w:t xml:space="preserve">Exclusion criteria included </w:t>
      </w:r>
      <w:r w:rsidR="00CB3F9E" w:rsidRPr="008112EF">
        <w:rPr>
          <w:szCs w:val="24"/>
          <w:lang w:val="en"/>
        </w:rPr>
        <w:t>previous surgery for</w:t>
      </w:r>
      <w:r w:rsidR="008112EF">
        <w:rPr>
          <w:szCs w:val="24"/>
          <w:lang w:val="en"/>
        </w:rPr>
        <w:t xml:space="preserve"> CTS, or </w:t>
      </w:r>
      <w:r w:rsidR="00CB3F9E" w:rsidRPr="008112EF">
        <w:rPr>
          <w:szCs w:val="24"/>
          <w:lang w:val="en"/>
        </w:rPr>
        <w:t xml:space="preserve">ipsilateral hand, arm, </w:t>
      </w:r>
      <w:r w:rsidR="008112EF">
        <w:rPr>
          <w:szCs w:val="24"/>
          <w:lang w:val="en"/>
        </w:rPr>
        <w:t xml:space="preserve">or </w:t>
      </w:r>
      <w:r w:rsidR="00CB3F9E" w:rsidRPr="008112EF">
        <w:rPr>
          <w:szCs w:val="24"/>
          <w:lang w:val="en"/>
        </w:rPr>
        <w:t>shoulder surgery with continued symptoms</w:t>
      </w:r>
      <w:r w:rsidR="008112EF">
        <w:rPr>
          <w:szCs w:val="24"/>
          <w:lang w:val="en"/>
        </w:rPr>
        <w:t>.</w:t>
      </w:r>
    </w:p>
    <w:p w:rsidR="00CB3F9E" w:rsidRPr="00740CD1" w:rsidRDefault="00CB3F9E" w:rsidP="00740CD1">
      <w:pPr>
        <w:pStyle w:val="ListParagraph"/>
        <w:spacing w:after="200"/>
        <w:ind w:left="720"/>
        <w:rPr>
          <w:szCs w:val="24"/>
          <w:lang w:val="en"/>
        </w:rPr>
      </w:pPr>
    </w:p>
    <w:p w:rsidR="00740CD1" w:rsidRPr="00740CD1" w:rsidRDefault="00740CD1" w:rsidP="00DD1E46">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AA79C0" w:rsidRDefault="00DD1E46" w:rsidP="00AA79C0">
      <w:pPr>
        <w:pStyle w:val="ListParagraph"/>
        <w:numPr>
          <w:ilvl w:val="0"/>
          <w:numId w:val="2"/>
        </w:numPr>
        <w:spacing w:after="200"/>
        <w:rPr>
          <w:rFonts w:cs="Times New Roman"/>
          <w:szCs w:val="24"/>
        </w:rPr>
      </w:pPr>
      <w:r w:rsidRPr="00AA79C0">
        <w:rPr>
          <w:rFonts w:cs="Times New Roman"/>
          <w:szCs w:val="24"/>
        </w:rPr>
        <w:t xml:space="preserve">Study design was a prospective, randomized, controlled, </w:t>
      </w:r>
      <w:r w:rsidR="00AA79C0" w:rsidRPr="00AA79C0">
        <w:rPr>
          <w:rFonts w:cs="Times New Roman"/>
          <w:szCs w:val="24"/>
        </w:rPr>
        <w:t>single</w:t>
      </w:r>
      <w:r w:rsidRPr="00AA79C0">
        <w:rPr>
          <w:rFonts w:cs="Times New Roman"/>
          <w:szCs w:val="24"/>
        </w:rPr>
        <w:t>-blind study.</w:t>
      </w:r>
      <w:r w:rsidR="00AA79C0">
        <w:rPr>
          <w:rFonts w:cs="Times New Roman"/>
          <w:szCs w:val="24"/>
        </w:rPr>
        <w:t xml:space="preserve"> </w:t>
      </w:r>
      <w:r w:rsidR="00AA79C0" w:rsidRPr="00AA79C0">
        <w:rPr>
          <w:rFonts w:cs="Times New Roman"/>
          <w:szCs w:val="24"/>
        </w:rPr>
        <w:t>A randomized</w:t>
      </w:r>
      <w:r w:rsidR="00AA79C0">
        <w:rPr>
          <w:rFonts w:cs="Times New Roman"/>
          <w:szCs w:val="24"/>
        </w:rPr>
        <w:t xml:space="preserve"> </w:t>
      </w:r>
      <w:r w:rsidR="00AA79C0" w:rsidRPr="00AA79C0">
        <w:rPr>
          <w:rFonts w:cs="Times New Roman"/>
          <w:szCs w:val="24"/>
        </w:rPr>
        <w:t>number table for 2 treatment groups was computer</w:t>
      </w:r>
      <w:r w:rsidR="00AA79C0">
        <w:rPr>
          <w:rFonts w:cs="Times New Roman"/>
          <w:szCs w:val="24"/>
        </w:rPr>
        <w:t xml:space="preserve"> </w:t>
      </w:r>
      <w:r w:rsidR="00AA79C0" w:rsidRPr="00AA79C0">
        <w:rPr>
          <w:rFonts w:cs="Times New Roman"/>
          <w:szCs w:val="24"/>
        </w:rPr>
        <w:t>generated, and subjects were consecutively randomized</w:t>
      </w:r>
      <w:r w:rsidR="00AA79C0">
        <w:rPr>
          <w:rFonts w:cs="Times New Roman"/>
          <w:szCs w:val="24"/>
        </w:rPr>
        <w:t xml:space="preserve"> </w:t>
      </w:r>
      <w:r w:rsidR="00AA79C0" w:rsidRPr="00AA79C0">
        <w:rPr>
          <w:rFonts w:cs="Times New Roman"/>
          <w:szCs w:val="24"/>
        </w:rPr>
        <w:t>after consenting and completing the demographic and</w:t>
      </w:r>
      <w:r w:rsidR="00AA79C0">
        <w:rPr>
          <w:rFonts w:cs="Times New Roman"/>
          <w:szCs w:val="24"/>
        </w:rPr>
        <w:t xml:space="preserve"> </w:t>
      </w:r>
      <w:r w:rsidR="00AA79C0" w:rsidRPr="00AA79C0">
        <w:rPr>
          <w:rFonts w:cs="Times New Roman"/>
          <w:szCs w:val="24"/>
        </w:rPr>
        <w:t>preoperative measures.</w:t>
      </w:r>
      <w:r w:rsidR="00AA79C0">
        <w:rPr>
          <w:rFonts w:cs="Times New Roman"/>
          <w:szCs w:val="24"/>
        </w:rPr>
        <w:t xml:space="preserve"> Baseline </w:t>
      </w:r>
      <w:r w:rsidR="00AA79C0" w:rsidRPr="00AA79C0">
        <w:rPr>
          <w:rFonts w:cs="Times New Roman"/>
          <w:szCs w:val="24"/>
        </w:rPr>
        <w:t>information</w:t>
      </w:r>
      <w:r w:rsidR="00AA79C0">
        <w:rPr>
          <w:rFonts w:cs="Times New Roman"/>
          <w:szCs w:val="24"/>
        </w:rPr>
        <w:t xml:space="preserve"> was collected </w:t>
      </w:r>
      <w:r w:rsidR="00AA79C0" w:rsidRPr="00AA79C0">
        <w:rPr>
          <w:rFonts w:cs="Times New Roman"/>
          <w:szCs w:val="24"/>
        </w:rPr>
        <w:t>regarding patient age, gender, body mass index (BMI),</w:t>
      </w:r>
      <w:r w:rsidR="00AA79C0">
        <w:rPr>
          <w:rFonts w:cs="Times New Roman"/>
          <w:szCs w:val="24"/>
        </w:rPr>
        <w:t xml:space="preserve"> </w:t>
      </w:r>
      <w:r w:rsidR="00AA79C0" w:rsidRPr="00AA79C0">
        <w:rPr>
          <w:rFonts w:cs="Times New Roman"/>
          <w:szCs w:val="24"/>
        </w:rPr>
        <w:t>hand dominance, systemic and ipsilateral upper</w:t>
      </w:r>
      <w:r w:rsidR="00AA79C0">
        <w:rPr>
          <w:rFonts w:cs="Times New Roman"/>
          <w:szCs w:val="24"/>
        </w:rPr>
        <w:t xml:space="preserve"> </w:t>
      </w:r>
      <w:r w:rsidR="00AA79C0" w:rsidRPr="00AA79C0">
        <w:rPr>
          <w:rFonts w:cs="Times New Roman"/>
          <w:szCs w:val="24"/>
        </w:rPr>
        <w:t>extremity</w:t>
      </w:r>
      <w:r w:rsidR="00AA79C0">
        <w:rPr>
          <w:rFonts w:cs="Times New Roman"/>
          <w:szCs w:val="24"/>
        </w:rPr>
        <w:t xml:space="preserve"> </w:t>
      </w:r>
      <w:r w:rsidR="00AA79C0" w:rsidRPr="00AA79C0">
        <w:rPr>
          <w:rFonts w:cs="Times New Roman"/>
          <w:szCs w:val="24"/>
        </w:rPr>
        <w:t>comorbidities, nicotine use, work history, and</w:t>
      </w:r>
      <w:r w:rsidR="00AA79C0">
        <w:rPr>
          <w:rFonts w:cs="Times New Roman"/>
          <w:szCs w:val="24"/>
        </w:rPr>
        <w:t xml:space="preserve"> </w:t>
      </w:r>
      <w:r w:rsidR="00AA79C0" w:rsidRPr="00AA79C0">
        <w:rPr>
          <w:rFonts w:cs="Times New Roman"/>
          <w:szCs w:val="24"/>
        </w:rPr>
        <w:t>prior treatments.</w:t>
      </w:r>
    </w:p>
    <w:p w:rsidR="00087193" w:rsidRPr="00FD1A85" w:rsidRDefault="00087193" w:rsidP="00FD1A85">
      <w:pPr>
        <w:pStyle w:val="ListParagraph"/>
        <w:numPr>
          <w:ilvl w:val="0"/>
          <w:numId w:val="2"/>
        </w:numPr>
        <w:spacing w:after="200"/>
        <w:rPr>
          <w:rFonts w:cs="Times New Roman"/>
          <w:szCs w:val="24"/>
        </w:rPr>
      </w:pPr>
      <w:r w:rsidRPr="00087193">
        <w:rPr>
          <w:rFonts w:cs="Times New Roman"/>
          <w:szCs w:val="24"/>
        </w:rPr>
        <w:t xml:space="preserve">All patients completed preoperative </w:t>
      </w:r>
      <w:r>
        <w:rPr>
          <w:rFonts w:cs="Times New Roman"/>
          <w:szCs w:val="24"/>
        </w:rPr>
        <w:t xml:space="preserve">(baseline) </w:t>
      </w:r>
      <w:r w:rsidRPr="00087193">
        <w:rPr>
          <w:rFonts w:cs="Times New Roman"/>
          <w:szCs w:val="24"/>
        </w:rPr>
        <w:t>testing</w:t>
      </w:r>
      <w:r>
        <w:rPr>
          <w:rFonts w:cs="Times New Roman"/>
          <w:szCs w:val="24"/>
        </w:rPr>
        <w:t xml:space="preserve"> which included</w:t>
      </w:r>
      <w:r w:rsidRPr="00087193">
        <w:rPr>
          <w:rFonts w:cs="Times New Roman"/>
          <w:szCs w:val="24"/>
        </w:rPr>
        <w:t xml:space="preserve"> wrist range of motion and grip, tip pinch,</w:t>
      </w:r>
      <w:r>
        <w:rPr>
          <w:rFonts w:cs="Times New Roman"/>
          <w:szCs w:val="24"/>
        </w:rPr>
        <w:t xml:space="preserve"> </w:t>
      </w:r>
      <w:r w:rsidRPr="00087193">
        <w:rPr>
          <w:rFonts w:cs="Times New Roman"/>
          <w:szCs w:val="24"/>
        </w:rPr>
        <w:t xml:space="preserve">3-point pinch, and lateral pinch strength. </w:t>
      </w:r>
      <w:r>
        <w:rPr>
          <w:rFonts w:cs="Times New Roman"/>
          <w:szCs w:val="24"/>
        </w:rPr>
        <w:t xml:space="preserve">These </w:t>
      </w:r>
      <w:r w:rsidRPr="00087193">
        <w:rPr>
          <w:rFonts w:cs="Times New Roman"/>
          <w:szCs w:val="24"/>
        </w:rPr>
        <w:t xml:space="preserve">objective </w:t>
      </w:r>
      <w:r>
        <w:rPr>
          <w:rFonts w:cs="Times New Roman"/>
          <w:szCs w:val="24"/>
        </w:rPr>
        <w:t xml:space="preserve">tests were the study’s secondary outcome measures. </w:t>
      </w:r>
      <w:r w:rsidRPr="00087193">
        <w:rPr>
          <w:rFonts w:cs="Times New Roman"/>
          <w:szCs w:val="24"/>
        </w:rPr>
        <w:t>Subjective</w:t>
      </w:r>
      <w:r>
        <w:rPr>
          <w:rFonts w:cs="Times New Roman"/>
          <w:szCs w:val="24"/>
        </w:rPr>
        <w:t xml:space="preserve"> </w:t>
      </w:r>
      <w:r w:rsidRPr="00087193">
        <w:rPr>
          <w:rFonts w:cs="Times New Roman"/>
          <w:szCs w:val="24"/>
        </w:rPr>
        <w:t>evaluation include</w:t>
      </w:r>
      <w:r>
        <w:rPr>
          <w:rFonts w:cs="Times New Roman"/>
          <w:szCs w:val="24"/>
        </w:rPr>
        <w:t>d the Levine-Katz questionnaire and served as the primary outcome measure.</w:t>
      </w:r>
      <w:r w:rsidR="00FD1A85">
        <w:rPr>
          <w:rFonts w:cs="Times New Roman"/>
          <w:szCs w:val="24"/>
        </w:rPr>
        <w:t xml:space="preserve"> These outcomes were assessed again at </w:t>
      </w:r>
      <w:r w:rsidR="00FD1A85" w:rsidRPr="00FD1A85">
        <w:rPr>
          <w:rFonts w:cs="Times New Roman"/>
          <w:szCs w:val="24"/>
        </w:rPr>
        <w:t>2 weeks and at 6 to 12</w:t>
      </w:r>
      <w:r w:rsidR="00FD1A85">
        <w:rPr>
          <w:rFonts w:cs="Times New Roman"/>
          <w:szCs w:val="24"/>
        </w:rPr>
        <w:t xml:space="preserve"> </w:t>
      </w:r>
      <w:r w:rsidR="00FD1A85" w:rsidRPr="00FD1A85">
        <w:rPr>
          <w:rFonts w:cs="Times New Roman"/>
          <w:szCs w:val="24"/>
        </w:rPr>
        <w:t>weeks postoperatively</w:t>
      </w:r>
      <w:r w:rsidR="00FD1A85">
        <w:rPr>
          <w:rFonts w:cs="Times New Roman"/>
          <w:szCs w:val="24"/>
        </w:rPr>
        <w:t xml:space="preserve"> </w:t>
      </w:r>
      <w:r w:rsidR="00FD1A85" w:rsidRPr="00FD1A85">
        <w:rPr>
          <w:rFonts w:cs="Times New Roman"/>
          <w:szCs w:val="24"/>
        </w:rPr>
        <w:t>using a</w:t>
      </w:r>
      <w:r w:rsidR="00FD1A85">
        <w:rPr>
          <w:rFonts w:cs="Times New Roman"/>
          <w:szCs w:val="24"/>
        </w:rPr>
        <w:t xml:space="preserve"> </w:t>
      </w:r>
      <w:r w:rsidR="00FD1A85" w:rsidRPr="00FD1A85">
        <w:rPr>
          <w:rFonts w:cs="Times New Roman"/>
          <w:szCs w:val="24"/>
        </w:rPr>
        <w:t>goniometer, a hand dynamometer, and a pinch meter</w:t>
      </w:r>
      <w:r w:rsidR="00FD1A85">
        <w:rPr>
          <w:rFonts w:cs="Times New Roman"/>
          <w:szCs w:val="24"/>
        </w:rPr>
        <w:t xml:space="preserve"> b</w:t>
      </w:r>
      <w:r w:rsidR="00FD1A85" w:rsidRPr="00FD1A85">
        <w:rPr>
          <w:rFonts w:cs="Times New Roman"/>
          <w:szCs w:val="24"/>
        </w:rPr>
        <w:t>y 1 of 2 occupational therapists who</w:t>
      </w:r>
      <w:r w:rsidR="00FD1A85">
        <w:rPr>
          <w:rFonts w:cs="Times New Roman"/>
          <w:szCs w:val="24"/>
        </w:rPr>
        <w:t xml:space="preserve"> </w:t>
      </w:r>
      <w:r w:rsidR="00FD1A85" w:rsidRPr="00FD1A85">
        <w:rPr>
          <w:rFonts w:cs="Times New Roman"/>
          <w:szCs w:val="24"/>
        </w:rPr>
        <w:t>were blinded to the protocol. The occupational therapists</w:t>
      </w:r>
      <w:r w:rsidR="00FD1A85">
        <w:rPr>
          <w:rFonts w:cs="Times New Roman"/>
          <w:szCs w:val="24"/>
        </w:rPr>
        <w:t xml:space="preserve"> </w:t>
      </w:r>
      <w:r w:rsidR="00FD1A85" w:rsidRPr="00FD1A85">
        <w:rPr>
          <w:rFonts w:cs="Times New Roman"/>
          <w:szCs w:val="24"/>
        </w:rPr>
        <w:t>also evaluated wound healing in a blinded manner</w:t>
      </w:r>
      <w:r w:rsidR="00FD1A85">
        <w:rPr>
          <w:rFonts w:cs="Times New Roman"/>
          <w:szCs w:val="24"/>
        </w:rPr>
        <w:t xml:space="preserve"> </w:t>
      </w:r>
      <w:r w:rsidR="00FD1A85" w:rsidRPr="00FD1A85">
        <w:rPr>
          <w:rFonts w:cs="Times New Roman"/>
          <w:szCs w:val="24"/>
        </w:rPr>
        <w:t>based on a qualitative assessment as either a pristine</w:t>
      </w:r>
      <w:r w:rsidR="00FD1A85">
        <w:rPr>
          <w:rFonts w:cs="Times New Roman"/>
          <w:szCs w:val="24"/>
        </w:rPr>
        <w:t xml:space="preserve"> </w:t>
      </w:r>
      <w:r w:rsidR="00FD1A85" w:rsidRPr="00FD1A85">
        <w:rPr>
          <w:rFonts w:cs="Times New Roman"/>
          <w:szCs w:val="24"/>
        </w:rPr>
        <w:t>wound or a wound with any erythema, dehiscence, or</w:t>
      </w:r>
      <w:r w:rsidR="00FD1A85">
        <w:rPr>
          <w:rFonts w:cs="Times New Roman"/>
          <w:szCs w:val="24"/>
        </w:rPr>
        <w:t xml:space="preserve"> </w:t>
      </w:r>
      <w:r w:rsidR="00FD1A85" w:rsidRPr="00FD1A85">
        <w:rPr>
          <w:rFonts w:cs="Times New Roman"/>
          <w:szCs w:val="24"/>
        </w:rPr>
        <w:t>drainage.</w:t>
      </w:r>
    </w:p>
    <w:p w:rsidR="00087193" w:rsidRDefault="00146A06" w:rsidP="00146A06">
      <w:pPr>
        <w:pStyle w:val="ListParagraph"/>
        <w:numPr>
          <w:ilvl w:val="0"/>
          <w:numId w:val="2"/>
        </w:numPr>
        <w:spacing w:after="200"/>
        <w:rPr>
          <w:rFonts w:cs="Times New Roman"/>
          <w:szCs w:val="24"/>
        </w:rPr>
      </w:pPr>
      <w:r>
        <w:rPr>
          <w:rFonts w:cs="Times New Roman"/>
          <w:szCs w:val="24"/>
        </w:rPr>
        <w:lastRenderedPageBreak/>
        <w:t>All CTR surgeries were performed by the same</w:t>
      </w:r>
      <w:r w:rsidRPr="00146A06">
        <w:rPr>
          <w:rFonts w:cs="Times New Roman"/>
          <w:szCs w:val="24"/>
        </w:rPr>
        <w:t xml:space="preserve"> senior surgeon </w:t>
      </w:r>
      <w:r>
        <w:rPr>
          <w:rFonts w:cs="Times New Roman"/>
          <w:szCs w:val="24"/>
        </w:rPr>
        <w:t xml:space="preserve">who </w:t>
      </w:r>
      <w:r w:rsidRPr="00146A06">
        <w:rPr>
          <w:rFonts w:cs="Times New Roman"/>
          <w:szCs w:val="24"/>
        </w:rPr>
        <w:t>perfo</w:t>
      </w:r>
      <w:r w:rsidR="00ED4E0F">
        <w:rPr>
          <w:rFonts w:cs="Times New Roman"/>
          <w:szCs w:val="24"/>
        </w:rPr>
        <w:t xml:space="preserve">rmed unilateral, </w:t>
      </w:r>
      <w:r w:rsidRPr="00146A06">
        <w:rPr>
          <w:rFonts w:cs="Times New Roman"/>
          <w:szCs w:val="24"/>
        </w:rPr>
        <w:t>mini-open</w:t>
      </w:r>
      <w:r>
        <w:rPr>
          <w:rFonts w:cs="Times New Roman"/>
          <w:szCs w:val="24"/>
        </w:rPr>
        <w:t xml:space="preserve"> </w:t>
      </w:r>
      <w:r w:rsidRPr="00146A06">
        <w:rPr>
          <w:rFonts w:cs="Times New Roman"/>
          <w:szCs w:val="24"/>
        </w:rPr>
        <w:t xml:space="preserve">CTR on </w:t>
      </w:r>
      <w:r>
        <w:rPr>
          <w:rFonts w:cs="Times New Roman"/>
          <w:szCs w:val="24"/>
        </w:rPr>
        <w:t xml:space="preserve">all </w:t>
      </w:r>
      <w:r w:rsidRPr="00146A06">
        <w:rPr>
          <w:rFonts w:cs="Times New Roman"/>
          <w:szCs w:val="24"/>
        </w:rPr>
        <w:t>the 94 patients in this study through a 1.0- to1.5-cm incision under tourniquet control.</w:t>
      </w:r>
    </w:p>
    <w:p w:rsidR="00AA79C0" w:rsidRPr="004D0EA0" w:rsidRDefault="00146A06" w:rsidP="004D0EA0">
      <w:pPr>
        <w:pStyle w:val="ListParagraph"/>
        <w:numPr>
          <w:ilvl w:val="0"/>
          <w:numId w:val="2"/>
        </w:numPr>
        <w:spacing w:after="200"/>
        <w:rPr>
          <w:rFonts w:cs="Times New Roman"/>
          <w:szCs w:val="24"/>
        </w:rPr>
      </w:pPr>
      <w:r>
        <w:rPr>
          <w:rFonts w:cs="Times New Roman"/>
          <w:szCs w:val="24"/>
        </w:rPr>
        <w:t>The bulky dressing appl</w:t>
      </w:r>
      <w:r w:rsidR="00291C4F">
        <w:rPr>
          <w:rFonts w:cs="Times New Roman"/>
          <w:szCs w:val="24"/>
        </w:rPr>
        <w:t xml:space="preserve">ied after surgery consisted of </w:t>
      </w:r>
      <w:r w:rsidR="00FD1A85">
        <w:rPr>
          <w:rFonts w:cs="Times New Roman"/>
          <w:szCs w:val="24"/>
        </w:rPr>
        <w:t xml:space="preserve">medicated gauze and a </w:t>
      </w:r>
      <w:r>
        <w:rPr>
          <w:rFonts w:cs="Times New Roman"/>
          <w:szCs w:val="24"/>
        </w:rPr>
        <w:t>5</w:t>
      </w:r>
      <w:r w:rsidR="00291C4F">
        <w:rPr>
          <w:rFonts w:cs="Times New Roman"/>
          <w:szCs w:val="24"/>
        </w:rPr>
        <w:t xml:space="preserve"> </w:t>
      </w:r>
      <w:r>
        <w:rPr>
          <w:rFonts w:cs="Times New Roman"/>
          <w:szCs w:val="24"/>
        </w:rPr>
        <w:t>X</w:t>
      </w:r>
      <w:r w:rsidR="00291C4F">
        <w:rPr>
          <w:rFonts w:cs="Times New Roman"/>
          <w:szCs w:val="24"/>
        </w:rPr>
        <w:t xml:space="preserve"> </w:t>
      </w:r>
      <w:r>
        <w:rPr>
          <w:rFonts w:cs="Times New Roman"/>
          <w:szCs w:val="24"/>
        </w:rPr>
        <w:t xml:space="preserve">5 </w:t>
      </w:r>
      <w:r w:rsidRPr="00146A06">
        <w:rPr>
          <w:rFonts w:cs="Times New Roman"/>
          <w:szCs w:val="24"/>
        </w:rPr>
        <w:t xml:space="preserve">cm cotton gauze </w:t>
      </w:r>
      <w:r w:rsidR="00FD1A85">
        <w:rPr>
          <w:rFonts w:cs="Times New Roman"/>
          <w:szCs w:val="24"/>
        </w:rPr>
        <w:t xml:space="preserve">cover </w:t>
      </w:r>
      <w:r w:rsidRPr="00146A06">
        <w:rPr>
          <w:rFonts w:cs="Times New Roman"/>
          <w:szCs w:val="24"/>
        </w:rPr>
        <w:t>over</w:t>
      </w:r>
      <w:r>
        <w:rPr>
          <w:rFonts w:cs="Times New Roman"/>
          <w:szCs w:val="24"/>
        </w:rPr>
        <w:t xml:space="preserve"> </w:t>
      </w:r>
      <w:r w:rsidRPr="00146A06">
        <w:rPr>
          <w:rFonts w:cs="Times New Roman"/>
          <w:szCs w:val="24"/>
        </w:rPr>
        <w:t>the incision, followed by application of cast padding</w:t>
      </w:r>
      <w:r>
        <w:rPr>
          <w:rFonts w:cs="Times New Roman"/>
          <w:szCs w:val="24"/>
        </w:rPr>
        <w:t xml:space="preserve"> </w:t>
      </w:r>
      <w:r w:rsidRPr="00146A06">
        <w:rPr>
          <w:rFonts w:cs="Times New Roman"/>
          <w:szCs w:val="24"/>
        </w:rPr>
        <w:t>and an elastic roller bandage. No patients were</w:t>
      </w:r>
      <w:r>
        <w:rPr>
          <w:rFonts w:cs="Times New Roman"/>
          <w:szCs w:val="24"/>
        </w:rPr>
        <w:t xml:space="preserve"> </w:t>
      </w:r>
      <w:r w:rsidRPr="00146A06">
        <w:rPr>
          <w:rFonts w:cs="Times New Roman"/>
          <w:szCs w:val="24"/>
        </w:rPr>
        <w:t>splinted, and all patients were encouraged to move their</w:t>
      </w:r>
      <w:r>
        <w:rPr>
          <w:rFonts w:cs="Times New Roman"/>
          <w:szCs w:val="24"/>
        </w:rPr>
        <w:t xml:space="preserve"> </w:t>
      </w:r>
      <w:r w:rsidRPr="00146A06">
        <w:rPr>
          <w:rFonts w:cs="Times New Roman"/>
          <w:szCs w:val="24"/>
        </w:rPr>
        <w:t>fingers beginning immediately after surgery.</w:t>
      </w:r>
      <w:r>
        <w:rPr>
          <w:rFonts w:cs="Times New Roman"/>
          <w:szCs w:val="24"/>
        </w:rPr>
        <w:t xml:space="preserve"> </w:t>
      </w:r>
      <w:r w:rsidR="00291C4F">
        <w:rPr>
          <w:rFonts w:cs="Times New Roman"/>
          <w:szCs w:val="24"/>
        </w:rPr>
        <w:t xml:space="preserve">Patients in </w:t>
      </w:r>
      <w:r w:rsidRPr="00146A06">
        <w:rPr>
          <w:rFonts w:cs="Times New Roman"/>
          <w:szCs w:val="24"/>
        </w:rPr>
        <w:t xml:space="preserve">Group A </w:t>
      </w:r>
      <w:r w:rsidR="00291C4F">
        <w:rPr>
          <w:rFonts w:cs="Times New Roman"/>
          <w:szCs w:val="24"/>
        </w:rPr>
        <w:t xml:space="preserve">were instructed to </w:t>
      </w:r>
      <w:r w:rsidR="00291C4F" w:rsidRPr="00291C4F">
        <w:rPr>
          <w:rFonts w:cs="Times New Roman"/>
          <w:szCs w:val="24"/>
        </w:rPr>
        <w:t>remove their dressing at 48 to 72</w:t>
      </w:r>
      <w:r w:rsidR="00291C4F">
        <w:rPr>
          <w:rFonts w:cs="Times New Roman"/>
          <w:szCs w:val="24"/>
        </w:rPr>
        <w:t xml:space="preserve"> </w:t>
      </w:r>
      <w:r w:rsidR="00291C4F" w:rsidRPr="00291C4F">
        <w:rPr>
          <w:rFonts w:cs="Times New Roman"/>
          <w:szCs w:val="24"/>
        </w:rPr>
        <w:t xml:space="preserve">hours </w:t>
      </w:r>
      <w:r w:rsidR="00291C4F">
        <w:rPr>
          <w:rFonts w:cs="Times New Roman"/>
          <w:szCs w:val="24"/>
        </w:rPr>
        <w:t xml:space="preserve">after surgery </w:t>
      </w:r>
      <w:r w:rsidR="00291C4F" w:rsidRPr="00291C4F">
        <w:rPr>
          <w:rFonts w:cs="Times New Roman"/>
          <w:szCs w:val="24"/>
        </w:rPr>
        <w:t xml:space="preserve">and replace it with an adhesive strip. </w:t>
      </w:r>
      <w:r w:rsidR="00291C4F">
        <w:rPr>
          <w:rFonts w:cs="Times New Roman"/>
          <w:szCs w:val="24"/>
        </w:rPr>
        <w:t xml:space="preserve">Patients were </w:t>
      </w:r>
      <w:r w:rsidR="00291C4F" w:rsidRPr="00291C4F">
        <w:rPr>
          <w:rFonts w:cs="Times New Roman"/>
          <w:szCs w:val="24"/>
        </w:rPr>
        <w:t>instructed to keep</w:t>
      </w:r>
      <w:r w:rsidR="00291C4F">
        <w:rPr>
          <w:rFonts w:cs="Times New Roman"/>
          <w:szCs w:val="24"/>
        </w:rPr>
        <w:t xml:space="preserve"> </w:t>
      </w:r>
      <w:r w:rsidR="00291C4F" w:rsidRPr="00291C4F">
        <w:rPr>
          <w:rFonts w:cs="Times New Roman"/>
          <w:szCs w:val="24"/>
        </w:rPr>
        <w:t>the wound dry until it was seen at the first postoperative</w:t>
      </w:r>
      <w:r w:rsidR="00291C4F">
        <w:rPr>
          <w:rFonts w:cs="Times New Roman"/>
          <w:szCs w:val="24"/>
        </w:rPr>
        <w:t xml:space="preserve"> </w:t>
      </w:r>
      <w:r w:rsidR="00291C4F" w:rsidRPr="00291C4F">
        <w:rPr>
          <w:rFonts w:cs="Times New Roman"/>
          <w:szCs w:val="24"/>
        </w:rPr>
        <w:t>visit</w:t>
      </w:r>
      <w:r w:rsidR="00291C4F">
        <w:rPr>
          <w:rFonts w:cs="Times New Roman"/>
          <w:szCs w:val="24"/>
        </w:rPr>
        <w:t xml:space="preserve"> approximately 9 to 14 days after surgery</w:t>
      </w:r>
      <w:r w:rsidR="00291C4F" w:rsidRPr="00291C4F">
        <w:rPr>
          <w:rFonts w:cs="Times New Roman"/>
          <w:szCs w:val="24"/>
        </w:rPr>
        <w:t>.</w:t>
      </w:r>
      <w:r w:rsidR="00291C4F">
        <w:rPr>
          <w:rFonts w:cs="Times New Roman"/>
          <w:szCs w:val="24"/>
        </w:rPr>
        <w:t xml:space="preserve"> </w:t>
      </w:r>
      <w:r w:rsidR="00FD1A85" w:rsidRPr="00FD1A85">
        <w:rPr>
          <w:rFonts w:cs="Times New Roman"/>
          <w:szCs w:val="24"/>
        </w:rPr>
        <w:t xml:space="preserve">Subjects </w:t>
      </w:r>
      <w:r w:rsidR="00FD1A85">
        <w:rPr>
          <w:rFonts w:cs="Times New Roman"/>
          <w:szCs w:val="24"/>
        </w:rPr>
        <w:t>in</w:t>
      </w:r>
      <w:r w:rsidR="00FD1A85" w:rsidRPr="00FD1A85">
        <w:rPr>
          <w:rFonts w:cs="Times New Roman"/>
          <w:szCs w:val="24"/>
        </w:rPr>
        <w:t xml:space="preserve"> group B were</w:t>
      </w:r>
      <w:r w:rsidR="00FD1A85">
        <w:rPr>
          <w:rFonts w:cs="Times New Roman"/>
          <w:szCs w:val="24"/>
        </w:rPr>
        <w:t xml:space="preserve"> </w:t>
      </w:r>
      <w:r w:rsidR="00FD1A85" w:rsidRPr="00FD1A85">
        <w:rPr>
          <w:rFonts w:cs="Times New Roman"/>
          <w:szCs w:val="24"/>
        </w:rPr>
        <w:t>instructed to keep their postoperative dressing on until</w:t>
      </w:r>
      <w:r w:rsidR="00FD1A85">
        <w:rPr>
          <w:rFonts w:cs="Times New Roman"/>
          <w:szCs w:val="24"/>
        </w:rPr>
        <w:t xml:space="preserve"> </w:t>
      </w:r>
      <w:r w:rsidR="00FD1A85" w:rsidRPr="00FD1A85">
        <w:rPr>
          <w:rFonts w:cs="Times New Roman"/>
          <w:szCs w:val="24"/>
        </w:rPr>
        <w:t xml:space="preserve">the first follow-up </w:t>
      </w:r>
      <w:r w:rsidR="00FD1A85">
        <w:rPr>
          <w:rFonts w:cs="Times New Roman"/>
          <w:szCs w:val="24"/>
        </w:rPr>
        <w:t xml:space="preserve">visit </w:t>
      </w:r>
      <w:r w:rsidR="00FD1A85" w:rsidRPr="00FD1A85">
        <w:rPr>
          <w:rFonts w:cs="Times New Roman"/>
          <w:szCs w:val="24"/>
        </w:rPr>
        <w:t>at approximately</w:t>
      </w:r>
      <w:r w:rsidR="00FD1A85">
        <w:rPr>
          <w:rFonts w:cs="Times New Roman"/>
          <w:szCs w:val="24"/>
        </w:rPr>
        <w:t xml:space="preserve"> </w:t>
      </w:r>
      <w:r w:rsidR="00FD1A85" w:rsidRPr="00FD1A85">
        <w:rPr>
          <w:rFonts w:cs="Times New Roman"/>
          <w:szCs w:val="24"/>
        </w:rPr>
        <w:t>2 weeks</w:t>
      </w:r>
      <w:r w:rsidR="00FD1A85">
        <w:rPr>
          <w:rFonts w:cs="Times New Roman"/>
          <w:szCs w:val="24"/>
        </w:rPr>
        <w:t xml:space="preserve"> after surgery</w:t>
      </w:r>
      <w:r w:rsidR="00FD1A85" w:rsidRPr="00FD1A85">
        <w:rPr>
          <w:rFonts w:cs="Times New Roman"/>
          <w:szCs w:val="24"/>
        </w:rPr>
        <w:t>.</w:t>
      </w:r>
    </w:p>
    <w:p w:rsidR="00DD1E46" w:rsidRDefault="00AA79C0" w:rsidP="00315686">
      <w:pPr>
        <w:pStyle w:val="ListParagraph"/>
        <w:numPr>
          <w:ilvl w:val="0"/>
          <w:numId w:val="2"/>
        </w:numPr>
        <w:spacing w:after="200"/>
        <w:rPr>
          <w:rFonts w:cs="Times New Roman"/>
          <w:szCs w:val="24"/>
        </w:rPr>
      </w:pPr>
      <w:r w:rsidRPr="00AA79C0">
        <w:rPr>
          <w:rFonts w:cs="Times New Roman"/>
          <w:szCs w:val="24"/>
        </w:rPr>
        <w:t>P</w:t>
      </w:r>
      <w:r w:rsidR="00DD1E46" w:rsidRPr="00AA79C0">
        <w:rPr>
          <w:rFonts w:cs="Times New Roman"/>
          <w:szCs w:val="24"/>
        </w:rPr>
        <w:t xml:space="preserve">atients </w:t>
      </w:r>
      <w:r w:rsidRPr="00AA79C0">
        <w:rPr>
          <w:rFonts w:cs="Times New Roman"/>
          <w:szCs w:val="24"/>
        </w:rPr>
        <w:t xml:space="preserve">could not be blinded to their </w:t>
      </w:r>
      <w:r w:rsidR="00DD1E46" w:rsidRPr="00AA79C0">
        <w:rPr>
          <w:rFonts w:cs="Times New Roman"/>
          <w:szCs w:val="24"/>
        </w:rPr>
        <w:t>treatment assignments.</w:t>
      </w:r>
    </w:p>
    <w:p w:rsidR="00FD1A85" w:rsidRPr="004D0EA0" w:rsidRDefault="00940986" w:rsidP="004D0EA0">
      <w:pPr>
        <w:pStyle w:val="ListParagraph"/>
        <w:numPr>
          <w:ilvl w:val="0"/>
          <w:numId w:val="2"/>
        </w:numPr>
        <w:spacing w:after="200"/>
        <w:rPr>
          <w:rFonts w:cs="Times New Roman"/>
          <w:szCs w:val="24"/>
        </w:rPr>
      </w:pPr>
      <w:r w:rsidRPr="00940986">
        <w:rPr>
          <w:szCs w:val="24"/>
        </w:rPr>
        <w:t>Sample size power calculations were conducted</w:t>
      </w:r>
      <w:r>
        <w:rPr>
          <w:szCs w:val="24"/>
        </w:rPr>
        <w:t xml:space="preserve">. </w:t>
      </w:r>
      <w:r w:rsidR="004D0EA0" w:rsidRPr="004D0EA0">
        <w:rPr>
          <w:rFonts w:cs="Times New Roman"/>
          <w:szCs w:val="24"/>
        </w:rPr>
        <w:t>Power analysis</w:t>
      </w:r>
      <w:r w:rsidR="004D0EA0">
        <w:rPr>
          <w:rFonts w:cs="Times New Roman"/>
          <w:szCs w:val="24"/>
        </w:rPr>
        <w:t xml:space="preserve"> </w:t>
      </w:r>
      <w:r w:rsidR="004D0EA0" w:rsidRPr="004D0EA0">
        <w:rPr>
          <w:rFonts w:cs="Times New Roman"/>
          <w:szCs w:val="24"/>
        </w:rPr>
        <w:t xml:space="preserve">indicated that for a </w:t>
      </w:r>
      <w:r w:rsidR="004D0EA0" w:rsidRPr="004D0EA0">
        <w:rPr>
          <w:rFonts w:cs="Times New Roman"/>
          <w:i/>
          <w:iCs/>
          <w:szCs w:val="24"/>
        </w:rPr>
        <w:t xml:space="preserve">P </w:t>
      </w:r>
      <w:r w:rsidR="004D0EA0" w:rsidRPr="004D0EA0">
        <w:rPr>
          <w:rFonts w:cs="Times New Roman"/>
          <w:szCs w:val="24"/>
        </w:rPr>
        <w:t xml:space="preserve">value of </w:t>
      </w:r>
      <w:r w:rsidR="000E07D9">
        <w:rPr>
          <w:rFonts w:cs="Times New Roman"/>
          <w:szCs w:val="24"/>
        </w:rPr>
        <w:t>0</w:t>
      </w:r>
      <w:r w:rsidR="004D0EA0" w:rsidRPr="004D0EA0">
        <w:rPr>
          <w:rFonts w:cs="Times New Roman"/>
          <w:szCs w:val="24"/>
        </w:rPr>
        <w:t>.05 with 95% confidence</w:t>
      </w:r>
      <w:r w:rsidR="004D0EA0">
        <w:rPr>
          <w:rFonts w:cs="Times New Roman"/>
          <w:szCs w:val="24"/>
        </w:rPr>
        <w:t xml:space="preserve"> </w:t>
      </w:r>
      <w:r w:rsidR="004D0EA0" w:rsidRPr="004D0EA0">
        <w:rPr>
          <w:rFonts w:cs="Times New Roman"/>
          <w:szCs w:val="24"/>
        </w:rPr>
        <w:t>to show a difference in the Levine-Katz questionnaire,</w:t>
      </w:r>
      <w:r w:rsidR="004D0EA0">
        <w:rPr>
          <w:rFonts w:cs="Times New Roman"/>
          <w:szCs w:val="24"/>
        </w:rPr>
        <w:t xml:space="preserve"> </w:t>
      </w:r>
      <w:r w:rsidR="004D0EA0" w:rsidRPr="004D0EA0">
        <w:rPr>
          <w:rFonts w:cs="Times New Roman"/>
          <w:szCs w:val="24"/>
        </w:rPr>
        <w:t>44 subjects</w:t>
      </w:r>
      <w:r>
        <w:rPr>
          <w:rFonts w:cs="Times New Roman"/>
          <w:szCs w:val="24"/>
        </w:rPr>
        <w:t xml:space="preserve"> in each group were necessary. </w:t>
      </w:r>
    </w:p>
    <w:p w:rsidR="00315686" w:rsidRDefault="000A6DB0" w:rsidP="00315686">
      <w:pPr>
        <w:spacing w:after="200"/>
        <w:ind w:left="0"/>
        <w:rPr>
          <w:rFonts w:cs="Times New Roman"/>
          <w:b/>
          <w:szCs w:val="24"/>
        </w:rPr>
      </w:pPr>
      <w:r w:rsidRPr="00315686">
        <w:rPr>
          <w:rFonts w:cs="Times New Roman"/>
          <w:b/>
          <w:szCs w:val="24"/>
        </w:rPr>
        <w:t>Results</w:t>
      </w:r>
      <w:r w:rsidR="00C57626" w:rsidRPr="00315686">
        <w:rPr>
          <w:rFonts w:cs="Times New Roman"/>
          <w:b/>
          <w:szCs w:val="24"/>
        </w:rPr>
        <w:t>:</w:t>
      </w:r>
    </w:p>
    <w:p w:rsidR="00C934A9" w:rsidRPr="00C934A9" w:rsidRDefault="00C934A9" w:rsidP="00C934A9">
      <w:pPr>
        <w:pStyle w:val="ListParagraph"/>
        <w:numPr>
          <w:ilvl w:val="0"/>
          <w:numId w:val="12"/>
        </w:numPr>
        <w:spacing w:after="200"/>
        <w:rPr>
          <w:rFonts w:cs="Times New Roman"/>
          <w:szCs w:val="24"/>
        </w:rPr>
      </w:pPr>
      <w:r w:rsidRPr="00C934A9">
        <w:rPr>
          <w:rFonts w:cs="Times New Roman"/>
          <w:szCs w:val="24"/>
        </w:rPr>
        <w:t>Participants ranged from 19 to 81 years of age</w:t>
      </w:r>
      <w:r>
        <w:rPr>
          <w:rFonts w:cs="Times New Roman"/>
          <w:szCs w:val="24"/>
        </w:rPr>
        <w:t xml:space="preserve"> with a mean of </w:t>
      </w:r>
      <w:r w:rsidRPr="00C934A9">
        <w:rPr>
          <w:rFonts w:cs="Times New Roman"/>
          <w:szCs w:val="24"/>
        </w:rPr>
        <w:t>45.5 y</w:t>
      </w:r>
      <w:r>
        <w:rPr>
          <w:rFonts w:cs="Times New Roman"/>
          <w:szCs w:val="24"/>
        </w:rPr>
        <w:t xml:space="preserve">ears. </w:t>
      </w:r>
      <w:r w:rsidRPr="00C934A9">
        <w:rPr>
          <w:rFonts w:cs="Times New Roman"/>
          <w:szCs w:val="24"/>
        </w:rPr>
        <w:t>The BMIs ranged from 18.9 to 52.6 kg/m</w:t>
      </w:r>
      <w:r w:rsidRPr="00C934A9">
        <w:rPr>
          <w:rFonts w:cs="Times New Roman"/>
          <w:szCs w:val="24"/>
          <w:vertAlign w:val="superscript"/>
        </w:rPr>
        <w:t>2</w:t>
      </w:r>
      <w:r w:rsidRPr="00C934A9">
        <w:rPr>
          <w:rFonts w:cs="Times New Roman"/>
          <w:szCs w:val="24"/>
        </w:rPr>
        <w:t>, with a</w:t>
      </w:r>
      <w:r>
        <w:rPr>
          <w:rFonts w:cs="Times New Roman"/>
          <w:szCs w:val="24"/>
        </w:rPr>
        <w:t xml:space="preserve"> </w:t>
      </w:r>
      <w:r w:rsidRPr="00C934A9">
        <w:rPr>
          <w:rFonts w:cs="Times New Roman"/>
          <w:szCs w:val="24"/>
        </w:rPr>
        <w:t>mean of 33.5 kg/m</w:t>
      </w:r>
      <w:r w:rsidRPr="00C934A9">
        <w:rPr>
          <w:rFonts w:cs="Times New Roman"/>
          <w:szCs w:val="24"/>
          <w:vertAlign w:val="superscript"/>
        </w:rPr>
        <w:t>2</w:t>
      </w:r>
      <w:r w:rsidRPr="00C934A9">
        <w:rPr>
          <w:rFonts w:cs="Times New Roman"/>
          <w:szCs w:val="24"/>
        </w:rPr>
        <w:t>. Overall, 60% of</w:t>
      </w:r>
      <w:r>
        <w:rPr>
          <w:rFonts w:cs="Times New Roman"/>
          <w:szCs w:val="24"/>
        </w:rPr>
        <w:t xml:space="preserve"> </w:t>
      </w:r>
      <w:r w:rsidRPr="00C934A9">
        <w:rPr>
          <w:rFonts w:cs="Times New Roman"/>
          <w:szCs w:val="24"/>
        </w:rPr>
        <w:t>patients (56 out of 94) undergoing CTR in this study</w:t>
      </w:r>
      <w:r>
        <w:rPr>
          <w:rFonts w:cs="Times New Roman"/>
          <w:szCs w:val="24"/>
        </w:rPr>
        <w:t xml:space="preserve"> </w:t>
      </w:r>
      <w:r w:rsidRPr="00C934A9">
        <w:rPr>
          <w:rFonts w:cs="Times New Roman"/>
          <w:szCs w:val="24"/>
        </w:rPr>
        <w:t xml:space="preserve">met criteria for obesity (BMI </w:t>
      </w:r>
      <w:r>
        <w:rPr>
          <w:rFonts w:cs="Times New Roman"/>
          <w:szCs w:val="24"/>
        </w:rPr>
        <w:t>&gt;</w:t>
      </w:r>
      <w:r w:rsidRPr="00C934A9">
        <w:rPr>
          <w:rFonts w:cs="Times New Roman"/>
          <w:szCs w:val="24"/>
        </w:rPr>
        <w:t xml:space="preserve"> 25).</w:t>
      </w:r>
    </w:p>
    <w:p w:rsidR="00F17D24" w:rsidRPr="00381F3C" w:rsidRDefault="00F17D24" w:rsidP="00315686">
      <w:pPr>
        <w:pStyle w:val="ListParagraph"/>
        <w:numPr>
          <w:ilvl w:val="0"/>
          <w:numId w:val="8"/>
        </w:numPr>
        <w:spacing w:after="200"/>
        <w:rPr>
          <w:rFonts w:cs="Times New Roman"/>
          <w:szCs w:val="24"/>
        </w:rPr>
      </w:pPr>
      <w:r w:rsidRPr="00F17D24">
        <w:rPr>
          <w:szCs w:val="24"/>
        </w:rPr>
        <w:t xml:space="preserve">All 94 patients completed the first follow-up assessments at 9 to 14 days, but only 66 patients returned again for the second follow-up testing between 6 and 12 weeks postoperatively. Thirty patients in group </w:t>
      </w:r>
      <w:proofErr w:type="gramStart"/>
      <w:r w:rsidRPr="00F17D24">
        <w:rPr>
          <w:szCs w:val="24"/>
        </w:rPr>
        <w:t>A</w:t>
      </w:r>
      <w:proofErr w:type="gramEnd"/>
      <w:r w:rsidRPr="00F17D24">
        <w:rPr>
          <w:szCs w:val="24"/>
        </w:rPr>
        <w:t xml:space="preserve"> (early bandage removal) and 36 patients in group B (long-term bandage) completed the second follow-up assessments. Fifteen patients in Group A and 13 patients in Group B failed to complete the second follow-up assessments.</w:t>
      </w:r>
    </w:p>
    <w:p w:rsidR="00381F3C" w:rsidRPr="00381F3C" w:rsidRDefault="00381F3C" w:rsidP="00381F3C">
      <w:pPr>
        <w:pStyle w:val="ListParagraph"/>
        <w:numPr>
          <w:ilvl w:val="0"/>
          <w:numId w:val="8"/>
        </w:numPr>
        <w:spacing w:after="200"/>
        <w:rPr>
          <w:szCs w:val="24"/>
        </w:rPr>
      </w:pPr>
      <w:r w:rsidRPr="00381F3C">
        <w:rPr>
          <w:szCs w:val="24"/>
        </w:rPr>
        <w:t xml:space="preserve">For the primary outcome, </w:t>
      </w:r>
      <w:r>
        <w:rPr>
          <w:szCs w:val="24"/>
        </w:rPr>
        <w:t xml:space="preserve">within group comparisons showed </w:t>
      </w:r>
      <w:r w:rsidRPr="00381F3C">
        <w:rPr>
          <w:szCs w:val="24"/>
        </w:rPr>
        <w:t>significant improvement in the Levine-Katz</w:t>
      </w:r>
      <w:r>
        <w:rPr>
          <w:szCs w:val="24"/>
        </w:rPr>
        <w:t xml:space="preserve"> </w:t>
      </w:r>
      <w:r w:rsidRPr="00381F3C">
        <w:rPr>
          <w:szCs w:val="24"/>
        </w:rPr>
        <w:t>total scores for the participants between the preoperative</w:t>
      </w:r>
      <w:r>
        <w:rPr>
          <w:szCs w:val="24"/>
        </w:rPr>
        <w:t xml:space="preserve"> </w:t>
      </w:r>
      <w:r w:rsidRPr="00381F3C">
        <w:rPr>
          <w:szCs w:val="24"/>
        </w:rPr>
        <w:t xml:space="preserve">mean scores, the initial follow-up mean scores, and the second follow-up mean scores for both groups. </w:t>
      </w:r>
    </w:p>
    <w:p w:rsidR="00381F3C" w:rsidRPr="00381F3C" w:rsidRDefault="00381F3C" w:rsidP="00381F3C">
      <w:pPr>
        <w:pStyle w:val="ListParagraph"/>
        <w:spacing w:after="200"/>
        <w:ind w:left="720"/>
        <w:rPr>
          <w:szCs w:val="24"/>
        </w:rPr>
      </w:pPr>
      <w:r>
        <w:rPr>
          <w:szCs w:val="24"/>
        </w:rPr>
        <w:t xml:space="preserve">The </w:t>
      </w:r>
      <w:r w:rsidRPr="00381F3C">
        <w:rPr>
          <w:szCs w:val="24"/>
        </w:rPr>
        <w:t xml:space="preserve">Levine–Katz scores </w:t>
      </w:r>
      <w:r>
        <w:rPr>
          <w:szCs w:val="24"/>
        </w:rPr>
        <w:t xml:space="preserve">also </w:t>
      </w:r>
      <w:r w:rsidRPr="00381F3C">
        <w:rPr>
          <w:szCs w:val="24"/>
        </w:rPr>
        <w:t>indicated that there were no significant</w:t>
      </w:r>
      <w:r>
        <w:rPr>
          <w:szCs w:val="24"/>
        </w:rPr>
        <w:t xml:space="preserve"> </w:t>
      </w:r>
      <w:r w:rsidRPr="00381F3C">
        <w:rPr>
          <w:szCs w:val="24"/>
        </w:rPr>
        <w:t>differences between groups A and B at either</w:t>
      </w:r>
      <w:r>
        <w:rPr>
          <w:szCs w:val="24"/>
        </w:rPr>
        <w:t xml:space="preserve"> </w:t>
      </w:r>
      <w:r w:rsidRPr="00381F3C">
        <w:rPr>
          <w:szCs w:val="24"/>
        </w:rPr>
        <w:t>follow-up visit.</w:t>
      </w:r>
    </w:p>
    <w:p w:rsidR="00F17D24" w:rsidRDefault="00381F3C" w:rsidP="00381F3C">
      <w:pPr>
        <w:pStyle w:val="ListParagraph"/>
        <w:numPr>
          <w:ilvl w:val="0"/>
          <w:numId w:val="8"/>
        </w:numPr>
        <w:spacing w:after="200"/>
        <w:rPr>
          <w:rFonts w:cs="Times New Roman"/>
          <w:szCs w:val="24"/>
        </w:rPr>
      </w:pPr>
      <w:r>
        <w:rPr>
          <w:rFonts w:cs="Times New Roman"/>
          <w:szCs w:val="24"/>
        </w:rPr>
        <w:t xml:space="preserve">For the secondary outcomes of </w:t>
      </w:r>
      <w:r w:rsidRPr="00F17D24">
        <w:rPr>
          <w:rFonts w:cs="Times New Roman"/>
          <w:szCs w:val="24"/>
        </w:rPr>
        <w:t>range of motion and grip and pinc</w:t>
      </w:r>
      <w:r>
        <w:rPr>
          <w:rFonts w:cs="Times New Roman"/>
          <w:szCs w:val="24"/>
        </w:rPr>
        <w:t>h s</w:t>
      </w:r>
      <w:r w:rsidR="00F17D24" w:rsidRPr="00381F3C">
        <w:rPr>
          <w:rFonts w:cs="Times New Roman"/>
          <w:szCs w:val="24"/>
        </w:rPr>
        <w:t>trength</w:t>
      </w:r>
      <w:r w:rsidRPr="00381F3C">
        <w:rPr>
          <w:rFonts w:cs="Times New Roman"/>
          <w:szCs w:val="24"/>
        </w:rPr>
        <w:t>,</w:t>
      </w:r>
      <w:r>
        <w:rPr>
          <w:rFonts w:cs="Times New Roman"/>
          <w:szCs w:val="24"/>
        </w:rPr>
        <w:t xml:space="preserve"> t</w:t>
      </w:r>
      <w:r w:rsidR="00F17D24" w:rsidRPr="00381F3C">
        <w:rPr>
          <w:rFonts w:cs="Times New Roman"/>
          <w:szCs w:val="24"/>
        </w:rPr>
        <w:t>here were</w:t>
      </w:r>
      <w:r>
        <w:rPr>
          <w:rFonts w:cs="Times New Roman"/>
          <w:szCs w:val="24"/>
        </w:rPr>
        <w:t xml:space="preserve"> </w:t>
      </w:r>
      <w:r w:rsidR="00F17D24" w:rsidRPr="00381F3C">
        <w:rPr>
          <w:rFonts w:cs="Times New Roman"/>
          <w:szCs w:val="24"/>
        </w:rPr>
        <w:t>no significant differences between groups preoperatively,</w:t>
      </w:r>
      <w:r>
        <w:rPr>
          <w:rFonts w:cs="Times New Roman"/>
          <w:szCs w:val="24"/>
        </w:rPr>
        <w:t xml:space="preserve"> </w:t>
      </w:r>
      <w:r w:rsidR="00F17D24" w:rsidRPr="00381F3C">
        <w:rPr>
          <w:rFonts w:cs="Times New Roman"/>
          <w:szCs w:val="24"/>
        </w:rPr>
        <w:t>except grip strength was significantly higher in</w:t>
      </w:r>
      <w:r>
        <w:rPr>
          <w:rFonts w:cs="Times New Roman"/>
          <w:szCs w:val="24"/>
        </w:rPr>
        <w:t xml:space="preserve"> </w:t>
      </w:r>
      <w:r w:rsidR="00F17D24" w:rsidRPr="00381F3C">
        <w:rPr>
          <w:rFonts w:cs="Times New Roman"/>
          <w:szCs w:val="24"/>
        </w:rPr>
        <w:t>group A and pronation was higher in group B. At the</w:t>
      </w:r>
      <w:r>
        <w:rPr>
          <w:rFonts w:cs="Times New Roman"/>
          <w:szCs w:val="24"/>
        </w:rPr>
        <w:t xml:space="preserve"> </w:t>
      </w:r>
      <w:r w:rsidR="00F17D24" w:rsidRPr="00381F3C">
        <w:rPr>
          <w:rFonts w:cs="Times New Roman"/>
          <w:szCs w:val="24"/>
        </w:rPr>
        <w:t>first follow-up, 3-point pinch strength was greater</w:t>
      </w:r>
      <w:r>
        <w:rPr>
          <w:rFonts w:cs="Times New Roman"/>
          <w:szCs w:val="24"/>
        </w:rPr>
        <w:t xml:space="preserve"> </w:t>
      </w:r>
      <w:r w:rsidR="00F17D24" w:rsidRPr="00381F3C">
        <w:rPr>
          <w:rFonts w:cs="Times New Roman"/>
          <w:szCs w:val="24"/>
        </w:rPr>
        <w:t>in group A, whereas in group B there was still greater</w:t>
      </w:r>
      <w:r>
        <w:rPr>
          <w:rFonts w:cs="Times New Roman"/>
          <w:szCs w:val="24"/>
        </w:rPr>
        <w:t xml:space="preserve"> </w:t>
      </w:r>
      <w:r w:rsidR="00F17D24" w:rsidRPr="00381F3C">
        <w:rPr>
          <w:rFonts w:cs="Times New Roman"/>
          <w:szCs w:val="24"/>
        </w:rPr>
        <w:t xml:space="preserve">pronation, consistent with preoperative data. At the </w:t>
      </w:r>
      <w:r>
        <w:rPr>
          <w:rFonts w:cs="Times New Roman"/>
          <w:szCs w:val="24"/>
        </w:rPr>
        <w:t>second follow-up</w:t>
      </w:r>
      <w:r w:rsidR="00F17D24" w:rsidRPr="00381F3C">
        <w:rPr>
          <w:rFonts w:cs="Times New Roman"/>
          <w:szCs w:val="24"/>
        </w:rPr>
        <w:t>, the only significantly different parameter between</w:t>
      </w:r>
      <w:r>
        <w:rPr>
          <w:rFonts w:cs="Times New Roman"/>
          <w:szCs w:val="24"/>
        </w:rPr>
        <w:t xml:space="preserve"> </w:t>
      </w:r>
      <w:r w:rsidR="00F17D24" w:rsidRPr="00381F3C">
        <w:rPr>
          <w:rFonts w:cs="Times New Roman"/>
          <w:szCs w:val="24"/>
        </w:rPr>
        <w:t>study groups was inc</w:t>
      </w:r>
      <w:r>
        <w:rPr>
          <w:rFonts w:cs="Times New Roman"/>
          <w:szCs w:val="24"/>
        </w:rPr>
        <w:t xml:space="preserve">reased grip strength in group </w:t>
      </w:r>
      <w:proofErr w:type="gramStart"/>
      <w:r>
        <w:rPr>
          <w:rFonts w:cs="Times New Roman"/>
          <w:szCs w:val="24"/>
        </w:rPr>
        <w:t>A</w:t>
      </w:r>
      <w:proofErr w:type="gramEnd"/>
      <w:r>
        <w:rPr>
          <w:rFonts w:cs="Times New Roman"/>
          <w:szCs w:val="24"/>
        </w:rPr>
        <w:t xml:space="preserve"> </w:t>
      </w:r>
      <w:r w:rsidR="00F17D24" w:rsidRPr="00381F3C">
        <w:rPr>
          <w:rFonts w:cs="Times New Roman"/>
          <w:szCs w:val="24"/>
        </w:rPr>
        <w:t>which was consistent with preoperative findings.</w:t>
      </w:r>
    </w:p>
    <w:p w:rsidR="00C934A9" w:rsidRDefault="00C934A9" w:rsidP="00C934A9">
      <w:pPr>
        <w:pStyle w:val="ListParagraph"/>
        <w:numPr>
          <w:ilvl w:val="0"/>
          <w:numId w:val="8"/>
        </w:numPr>
        <w:spacing w:after="200"/>
        <w:rPr>
          <w:rFonts w:cs="Times New Roman"/>
          <w:szCs w:val="24"/>
        </w:rPr>
      </w:pPr>
      <w:r>
        <w:rPr>
          <w:rFonts w:cs="Times New Roman"/>
          <w:szCs w:val="24"/>
        </w:rPr>
        <w:t xml:space="preserve">This study </w:t>
      </w:r>
      <w:r w:rsidRPr="00C934A9">
        <w:rPr>
          <w:rFonts w:cs="Times New Roman"/>
          <w:szCs w:val="24"/>
        </w:rPr>
        <w:t>found no significant difference in wound</w:t>
      </w:r>
      <w:r>
        <w:rPr>
          <w:rFonts w:cs="Times New Roman"/>
          <w:szCs w:val="24"/>
        </w:rPr>
        <w:t xml:space="preserve"> </w:t>
      </w:r>
      <w:r w:rsidRPr="00C934A9">
        <w:rPr>
          <w:rFonts w:cs="Times New Roman"/>
          <w:szCs w:val="24"/>
        </w:rPr>
        <w:t>healing between the 2 groups.</w:t>
      </w:r>
    </w:p>
    <w:p w:rsidR="00C934A9" w:rsidRPr="00C934A9" w:rsidRDefault="00C934A9" w:rsidP="00C934A9">
      <w:pPr>
        <w:pStyle w:val="ListParagraph"/>
        <w:numPr>
          <w:ilvl w:val="0"/>
          <w:numId w:val="8"/>
        </w:numPr>
        <w:spacing w:after="200"/>
        <w:rPr>
          <w:rFonts w:cs="Times New Roman"/>
          <w:szCs w:val="24"/>
        </w:rPr>
      </w:pPr>
      <w:r>
        <w:rPr>
          <w:rFonts w:cs="Times New Roman"/>
          <w:szCs w:val="24"/>
        </w:rPr>
        <w:t>T</w:t>
      </w:r>
      <w:r w:rsidRPr="00C934A9">
        <w:rPr>
          <w:rFonts w:cs="Times New Roman"/>
          <w:szCs w:val="24"/>
        </w:rPr>
        <w:t>here</w:t>
      </w:r>
      <w:r>
        <w:rPr>
          <w:rFonts w:cs="Times New Roman"/>
          <w:szCs w:val="24"/>
        </w:rPr>
        <w:t xml:space="preserve"> </w:t>
      </w:r>
      <w:r w:rsidRPr="00C934A9">
        <w:rPr>
          <w:rFonts w:cs="Times New Roman"/>
          <w:szCs w:val="24"/>
        </w:rPr>
        <w:t>were no complications or infections in either study group at the final</w:t>
      </w:r>
      <w:r>
        <w:rPr>
          <w:rFonts w:cs="Times New Roman"/>
          <w:szCs w:val="24"/>
        </w:rPr>
        <w:t xml:space="preserve"> </w:t>
      </w:r>
      <w:r w:rsidRPr="00C934A9">
        <w:rPr>
          <w:rFonts w:cs="Times New Roman"/>
          <w:szCs w:val="24"/>
        </w:rPr>
        <w:t>postoperative evaluation.</w:t>
      </w:r>
    </w:p>
    <w:p w:rsidR="00666CF8" w:rsidRPr="009E39DF"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C934A9" w:rsidRDefault="00C934A9" w:rsidP="00535BE1">
      <w:pPr>
        <w:ind w:left="0"/>
        <w:rPr>
          <w:rFonts w:cs="Times New Roman"/>
          <w:b/>
          <w:szCs w:val="24"/>
        </w:rPr>
      </w:pPr>
    </w:p>
    <w:p w:rsidR="00C934A9" w:rsidRDefault="00C934A9" w:rsidP="009F49BF">
      <w:pPr>
        <w:pStyle w:val="ListParagraph"/>
        <w:numPr>
          <w:ilvl w:val="0"/>
          <w:numId w:val="12"/>
        </w:numPr>
        <w:spacing w:after="200"/>
        <w:rPr>
          <w:rFonts w:cs="Times New Roman"/>
          <w:szCs w:val="24"/>
        </w:rPr>
      </w:pPr>
      <w:r>
        <w:rPr>
          <w:rFonts w:cs="Times New Roman"/>
          <w:szCs w:val="24"/>
        </w:rPr>
        <w:lastRenderedPageBreak/>
        <w:t xml:space="preserve">This study </w:t>
      </w:r>
      <w:r w:rsidRPr="00C934A9">
        <w:rPr>
          <w:rFonts w:cs="Times New Roman"/>
          <w:szCs w:val="24"/>
        </w:rPr>
        <w:t>found no significant difference in wound</w:t>
      </w:r>
      <w:r>
        <w:rPr>
          <w:rFonts w:cs="Times New Roman"/>
          <w:szCs w:val="24"/>
        </w:rPr>
        <w:t xml:space="preserve"> </w:t>
      </w:r>
      <w:r w:rsidRPr="00C934A9">
        <w:rPr>
          <w:rFonts w:cs="Times New Roman"/>
          <w:szCs w:val="24"/>
        </w:rPr>
        <w:t xml:space="preserve">healing </w:t>
      </w:r>
      <w:r w:rsidR="009F49BF">
        <w:rPr>
          <w:rFonts w:cs="Times New Roman"/>
          <w:szCs w:val="24"/>
        </w:rPr>
        <w:t xml:space="preserve">or complications </w:t>
      </w:r>
      <w:r w:rsidRPr="00C934A9">
        <w:rPr>
          <w:rFonts w:cs="Times New Roman"/>
          <w:szCs w:val="24"/>
        </w:rPr>
        <w:t>between the 2 groups.</w:t>
      </w:r>
      <w:r w:rsidRPr="00C934A9">
        <w:rPr>
          <w:rFonts w:ascii="Times-Roman" w:hAnsi="Times-Roman" w:cs="Times-Roman"/>
          <w:sz w:val="22"/>
        </w:rPr>
        <w:t xml:space="preserve"> </w:t>
      </w:r>
      <w:r w:rsidR="009F49BF" w:rsidRPr="009F49BF">
        <w:rPr>
          <w:rFonts w:cs="Times New Roman"/>
          <w:szCs w:val="24"/>
        </w:rPr>
        <w:t xml:space="preserve">The Levine–Katz scores </w:t>
      </w:r>
      <w:r w:rsidR="009F49BF">
        <w:rPr>
          <w:rFonts w:cs="Times New Roman"/>
          <w:szCs w:val="24"/>
        </w:rPr>
        <w:t xml:space="preserve">showed </w:t>
      </w:r>
      <w:r w:rsidR="009F49BF" w:rsidRPr="009F49BF">
        <w:rPr>
          <w:rFonts w:cs="Times New Roman"/>
          <w:szCs w:val="24"/>
        </w:rPr>
        <w:t>that there were no significant differences between groups A and B at either follow-up visit.</w:t>
      </w:r>
      <w:r w:rsidR="009F49BF">
        <w:rPr>
          <w:rFonts w:cs="Times New Roman"/>
          <w:szCs w:val="24"/>
        </w:rPr>
        <w:t xml:space="preserve"> </w:t>
      </w:r>
      <w:r w:rsidRPr="00C934A9">
        <w:rPr>
          <w:rFonts w:cs="Times New Roman"/>
          <w:szCs w:val="24"/>
        </w:rPr>
        <w:t>Applying an adhesive</w:t>
      </w:r>
      <w:r w:rsidR="009F49BF">
        <w:rPr>
          <w:rFonts w:cs="Times New Roman"/>
          <w:szCs w:val="24"/>
        </w:rPr>
        <w:t xml:space="preserve"> </w:t>
      </w:r>
      <w:r w:rsidRPr="009F49BF">
        <w:rPr>
          <w:rFonts w:cs="Times New Roman"/>
          <w:szCs w:val="24"/>
        </w:rPr>
        <w:t>strip at 48 to 72 hours postoperatively did not lead</w:t>
      </w:r>
      <w:r w:rsidR="009F49BF">
        <w:rPr>
          <w:rFonts w:cs="Times New Roman"/>
          <w:szCs w:val="24"/>
        </w:rPr>
        <w:t xml:space="preserve"> </w:t>
      </w:r>
      <w:r w:rsidRPr="009F49BF">
        <w:rPr>
          <w:rFonts w:cs="Times New Roman"/>
          <w:szCs w:val="24"/>
        </w:rPr>
        <w:t>to wound-healing complications.</w:t>
      </w:r>
    </w:p>
    <w:p w:rsidR="00C934A9" w:rsidRDefault="009F49BF" w:rsidP="009F49BF">
      <w:pPr>
        <w:pStyle w:val="ListParagraph"/>
        <w:numPr>
          <w:ilvl w:val="0"/>
          <w:numId w:val="12"/>
        </w:numPr>
        <w:rPr>
          <w:rFonts w:cs="Times New Roman"/>
          <w:szCs w:val="24"/>
        </w:rPr>
      </w:pPr>
      <w:r w:rsidRPr="009F49BF">
        <w:rPr>
          <w:rFonts w:cs="Times New Roman"/>
          <w:szCs w:val="24"/>
        </w:rPr>
        <w:t>There were some significant differences in</w:t>
      </w:r>
      <w:r>
        <w:rPr>
          <w:rFonts w:cs="Times New Roman"/>
          <w:szCs w:val="24"/>
        </w:rPr>
        <w:t xml:space="preserve"> </w:t>
      </w:r>
      <w:r w:rsidRPr="009F49BF">
        <w:rPr>
          <w:rFonts w:cs="Times New Roman"/>
          <w:szCs w:val="24"/>
        </w:rPr>
        <w:t>some</w:t>
      </w:r>
      <w:r>
        <w:rPr>
          <w:rFonts w:cs="Times New Roman"/>
          <w:szCs w:val="24"/>
        </w:rPr>
        <w:t xml:space="preserve"> outcome measures</w:t>
      </w:r>
      <w:r w:rsidRPr="009F49BF">
        <w:rPr>
          <w:rFonts w:cs="Times New Roman"/>
          <w:szCs w:val="24"/>
        </w:rPr>
        <w:t xml:space="preserve">, such as group </w:t>
      </w:r>
      <w:proofErr w:type="gramStart"/>
      <w:r w:rsidRPr="009F49BF">
        <w:rPr>
          <w:rFonts w:cs="Times New Roman"/>
          <w:szCs w:val="24"/>
        </w:rPr>
        <w:t>A</w:t>
      </w:r>
      <w:proofErr w:type="gramEnd"/>
      <w:r w:rsidRPr="009F49BF">
        <w:rPr>
          <w:rFonts w:cs="Times New Roman"/>
          <w:szCs w:val="24"/>
        </w:rPr>
        <w:t xml:space="preserve"> final grip strength</w:t>
      </w:r>
      <w:r>
        <w:rPr>
          <w:rFonts w:cs="Times New Roman"/>
          <w:szCs w:val="24"/>
        </w:rPr>
        <w:t xml:space="preserve"> </w:t>
      </w:r>
      <w:r w:rsidRPr="009F49BF">
        <w:rPr>
          <w:rFonts w:cs="Times New Roman"/>
          <w:szCs w:val="24"/>
        </w:rPr>
        <w:t>and group B 2-week pronation, but these differences</w:t>
      </w:r>
      <w:r>
        <w:rPr>
          <w:rFonts w:cs="Times New Roman"/>
          <w:szCs w:val="24"/>
        </w:rPr>
        <w:t xml:space="preserve"> </w:t>
      </w:r>
      <w:r w:rsidRPr="009F49BF">
        <w:rPr>
          <w:rFonts w:cs="Times New Roman"/>
          <w:szCs w:val="24"/>
        </w:rPr>
        <w:t xml:space="preserve">were also present preoperatively. Therefore, </w:t>
      </w:r>
      <w:r>
        <w:rPr>
          <w:rFonts w:cs="Times New Roman"/>
          <w:szCs w:val="24"/>
        </w:rPr>
        <w:t xml:space="preserve">it is not known </w:t>
      </w:r>
      <w:r w:rsidRPr="009F49BF">
        <w:rPr>
          <w:rFonts w:cs="Times New Roman"/>
          <w:szCs w:val="24"/>
        </w:rPr>
        <w:t>whether these were true differences from treatment</w:t>
      </w:r>
      <w:r>
        <w:rPr>
          <w:rFonts w:cs="Times New Roman"/>
          <w:szCs w:val="24"/>
        </w:rPr>
        <w:t xml:space="preserve"> </w:t>
      </w:r>
      <w:r w:rsidRPr="009F49BF">
        <w:rPr>
          <w:rFonts w:cs="Times New Roman"/>
          <w:szCs w:val="24"/>
        </w:rPr>
        <w:t>methods.</w:t>
      </w:r>
    </w:p>
    <w:p w:rsidR="00FC7E58" w:rsidRPr="00FC7E58" w:rsidRDefault="00FC7E58" w:rsidP="00FC7E58">
      <w:pPr>
        <w:pStyle w:val="ListParagraph"/>
        <w:numPr>
          <w:ilvl w:val="0"/>
          <w:numId w:val="12"/>
        </w:numPr>
        <w:rPr>
          <w:rFonts w:cs="Times New Roman"/>
          <w:b/>
          <w:szCs w:val="24"/>
        </w:rPr>
      </w:pPr>
      <w:proofErr w:type="gramStart"/>
      <w:r>
        <w:rPr>
          <w:rFonts w:cs="Times New Roman"/>
          <w:szCs w:val="24"/>
        </w:rPr>
        <w:t xml:space="preserve">A </w:t>
      </w:r>
      <w:r w:rsidRPr="00FC7E58">
        <w:rPr>
          <w:rFonts w:cs="Times New Roman"/>
          <w:szCs w:val="24"/>
        </w:rPr>
        <w:t>strength</w:t>
      </w:r>
      <w:proofErr w:type="gramEnd"/>
      <w:r w:rsidRPr="00FC7E58">
        <w:rPr>
          <w:rFonts w:cs="Times New Roman"/>
          <w:szCs w:val="24"/>
        </w:rPr>
        <w:t xml:space="preserve"> of the study was its </w:t>
      </w:r>
      <w:r>
        <w:rPr>
          <w:rFonts w:cs="Times New Roman"/>
          <w:szCs w:val="24"/>
        </w:rPr>
        <w:t xml:space="preserve">ideal design which was </w:t>
      </w:r>
      <w:r w:rsidRPr="00FC7E58">
        <w:rPr>
          <w:rFonts w:cs="Times New Roman"/>
          <w:szCs w:val="24"/>
        </w:rPr>
        <w:t>conducted in a prospective, ran</w:t>
      </w:r>
      <w:r>
        <w:rPr>
          <w:rFonts w:cs="Times New Roman"/>
          <w:szCs w:val="24"/>
        </w:rPr>
        <w:t>domized, and blinded manner using</w:t>
      </w:r>
      <w:r w:rsidRPr="00FC7E58">
        <w:rPr>
          <w:rFonts w:cs="Times New Roman"/>
          <w:szCs w:val="24"/>
        </w:rPr>
        <w:t xml:space="preserve"> a </w:t>
      </w:r>
      <w:r>
        <w:rPr>
          <w:rFonts w:cs="Times New Roman"/>
          <w:szCs w:val="24"/>
        </w:rPr>
        <w:t>validated outcome</w:t>
      </w:r>
      <w:r w:rsidRPr="00FC7E58">
        <w:rPr>
          <w:rFonts w:cs="Times New Roman"/>
          <w:szCs w:val="24"/>
        </w:rPr>
        <w:t xml:space="preserve"> measure.</w:t>
      </w:r>
      <w:r>
        <w:rPr>
          <w:rFonts w:cs="Times New Roman"/>
          <w:szCs w:val="24"/>
        </w:rPr>
        <w:t xml:space="preserve"> A second strength of the study was that</w:t>
      </w:r>
      <w:r w:rsidRPr="00FC7E58">
        <w:rPr>
          <w:rFonts w:cs="Times New Roman"/>
          <w:szCs w:val="24"/>
        </w:rPr>
        <w:t xml:space="preserve"> a single surgeon</w:t>
      </w:r>
      <w:r>
        <w:rPr>
          <w:rFonts w:cs="Times New Roman"/>
          <w:szCs w:val="24"/>
        </w:rPr>
        <w:t xml:space="preserve"> </w:t>
      </w:r>
      <w:r w:rsidRPr="00FC7E58">
        <w:rPr>
          <w:rFonts w:cs="Times New Roman"/>
          <w:szCs w:val="24"/>
        </w:rPr>
        <w:t>performed all surgeries with a single technique, thus</w:t>
      </w:r>
      <w:r>
        <w:rPr>
          <w:rFonts w:cs="Times New Roman"/>
          <w:szCs w:val="24"/>
        </w:rPr>
        <w:t xml:space="preserve"> </w:t>
      </w:r>
      <w:r w:rsidRPr="00FC7E58">
        <w:rPr>
          <w:rFonts w:cs="Times New Roman"/>
          <w:szCs w:val="24"/>
        </w:rPr>
        <w:t xml:space="preserve">minimizing any technical variation. </w:t>
      </w:r>
    </w:p>
    <w:p w:rsidR="00AA1AD3" w:rsidRPr="00E65091" w:rsidRDefault="00FC7E58" w:rsidP="00FC7E58">
      <w:pPr>
        <w:pStyle w:val="ListParagraph"/>
        <w:numPr>
          <w:ilvl w:val="0"/>
          <w:numId w:val="12"/>
        </w:numPr>
        <w:rPr>
          <w:rFonts w:cs="Times New Roman"/>
          <w:b/>
          <w:szCs w:val="24"/>
        </w:rPr>
      </w:pPr>
      <w:r>
        <w:rPr>
          <w:rFonts w:cs="Times New Roman"/>
          <w:szCs w:val="24"/>
        </w:rPr>
        <w:t>T</w:t>
      </w:r>
      <w:r w:rsidRPr="00FC7E58">
        <w:rPr>
          <w:rFonts w:cs="Times New Roman"/>
          <w:szCs w:val="24"/>
        </w:rPr>
        <w:t>he study can</w:t>
      </w:r>
      <w:r>
        <w:rPr>
          <w:rFonts w:cs="Times New Roman"/>
          <w:szCs w:val="24"/>
        </w:rPr>
        <w:t xml:space="preserve"> </w:t>
      </w:r>
      <w:r w:rsidRPr="00FC7E58">
        <w:rPr>
          <w:rFonts w:cs="Times New Roman"/>
          <w:szCs w:val="24"/>
        </w:rPr>
        <w:t xml:space="preserve">be generalized </w:t>
      </w:r>
      <w:r>
        <w:rPr>
          <w:rFonts w:cs="Times New Roman"/>
          <w:szCs w:val="24"/>
        </w:rPr>
        <w:t xml:space="preserve">to the broader community </w:t>
      </w:r>
      <w:r w:rsidRPr="00FC7E58">
        <w:rPr>
          <w:rFonts w:cs="Times New Roman"/>
          <w:szCs w:val="24"/>
        </w:rPr>
        <w:t>because of its lack of stringent exclusion</w:t>
      </w:r>
      <w:r>
        <w:rPr>
          <w:rFonts w:cs="Times New Roman"/>
          <w:szCs w:val="24"/>
        </w:rPr>
        <w:t xml:space="preserve"> </w:t>
      </w:r>
      <w:r w:rsidRPr="00FC7E58">
        <w:rPr>
          <w:rFonts w:cs="Times New Roman"/>
          <w:szCs w:val="24"/>
        </w:rPr>
        <w:t>criteria and because patients with pathology</w:t>
      </w:r>
      <w:r>
        <w:rPr>
          <w:rFonts w:cs="Times New Roman"/>
          <w:szCs w:val="24"/>
        </w:rPr>
        <w:t xml:space="preserve"> </w:t>
      </w:r>
      <w:r w:rsidRPr="00FC7E58">
        <w:rPr>
          <w:rFonts w:cs="Times New Roman"/>
          <w:szCs w:val="24"/>
        </w:rPr>
        <w:t>ubiquitous in the community, such as inflammatory diseases,</w:t>
      </w:r>
      <w:r>
        <w:rPr>
          <w:rFonts w:cs="Times New Roman"/>
          <w:szCs w:val="24"/>
        </w:rPr>
        <w:t xml:space="preserve"> </w:t>
      </w:r>
      <w:r w:rsidRPr="00FC7E58">
        <w:rPr>
          <w:rFonts w:cs="Times New Roman"/>
          <w:szCs w:val="24"/>
        </w:rPr>
        <w:t>diabetes mellitus, a broad</w:t>
      </w:r>
      <w:r>
        <w:rPr>
          <w:rFonts w:cs="Times New Roman"/>
          <w:szCs w:val="24"/>
        </w:rPr>
        <w:t xml:space="preserve"> </w:t>
      </w:r>
      <w:r w:rsidRPr="00FC7E58">
        <w:rPr>
          <w:rFonts w:cs="Times New Roman"/>
          <w:szCs w:val="24"/>
        </w:rPr>
        <w:t>BMI range</w:t>
      </w:r>
      <w:r>
        <w:rPr>
          <w:rFonts w:cs="Times New Roman"/>
          <w:szCs w:val="24"/>
        </w:rPr>
        <w:t>,</w:t>
      </w:r>
      <w:r w:rsidRPr="00FC7E58">
        <w:rPr>
          <w:rFonts w:cs="Times New Roman"/>
          <w:szCs w:val="24"/>
        </w:rPr>
        <w:t xml:space="preserve"> and comorbidities of the ipsilateral extremity were included. </w:t>
      </w:r>
    </w:p>
    <w:p w:rsidR="00E65091" w:rsidRDefault="00E65091" w:rsidP="00E65091">
      <w:pPr>
        <w:pStyle w:val="ListParagraph"/>
        <w:numPr>
          <w:ilvl w:val="0"/>
          <w:numId w:val="12"/>
        </w:numPr>
        <w:rPr>
          <w:rFonts w:cs="Times New Roman"/>
          <w:szCs w:val="24"/>
        </w:rPr>
      </w:pPr>
      <w:r>
        <w:rPr>
          <w:rFonts w:cs="Times New Roman"/>
          <w:szCs w:val="24"/>
        </w:rPr>
        <w:t xml:space="preserve">One weakness of the study was that a </w:t>
      </w:r>
      <w:r w:rsidRPr="00E65091">
        <w:rPr>
          <w:rFonts w:cs="Times New Roman"/>
          <w:szCs w:val="24"/>
        </w:rPr>
        <w:t>preoperative</w:t>
      </w:r>
      <w:r>
        <w:rPr>
          <w:rFonts w:cs="Times New Roman"/>
          <w:szCs w:val="24"/>
        </w:rPr>
        <w:t xml:space="preserve"> clinical difference (grip strength) was</w:t>
      </w:r>
      <w:r w:rsidRPr="00E65091">
        <w:rPr>
          <w:rFonts w:cs="Times New Roman"/>
          <w:szCs w:val="24"/>
        </w:rPr>
        <w:t xml:space="preserve"> present that </w:t>
      </w:r>
      <w:r>
        <w:rPr>
          <w:rFonts w:cs="Times New Roman"/>
          <w:szCs w:val="24"/>
        </w:rPr>
        <w:t xml:space="preserve">should have been </w:t>
      </w:r>
      <w:r w:rsidRPr="00E65091">
        <w:rPr>
          <w:rFonts w:cs="Times New Roman"/>
          <w:szCs w:val="24"/>
        </w:rPr>
        <w:t>normalized by the randomization process</w:t>
      </w:r>
      <w:r>
        <w:rPr>
          <w:rFonts w:cs="Times New Roman"/>
          <w:szCs w:val="24"/>
        </w:rPr>
        <w:t>, but was not.</w:t>
      </w:r>
    </w:p>
    <w:p w:rsidR="00E65091" w:rsidRDefault="00E65091" w:rsidP="00E65091">
      <w:pPr>
        <w:pStyle w:val="ListParagraph"/>
        <w:numPr>
          <w:ilvl w:val="0"/>
          <w:numId w:val="12"/>
        </w:numPr>
        <w:rPr>
          <w:rFonts w:cs="Times New Roman"/>
          <w:szCs w:val="24"/>
        </w:rPr>
      </w:pPr>
      <w:r w:rsidRPr="00E65091">
        <w:rPr>
          <w:rFonts w:cs="Times New Roman"/>
          <w:szCs w:val="24"/>
        </w:rPr>
        <w:t xml:space="preserve">A possible source of error </w:t>
      </w:r>
      <w:r>
        <w:rPr>
          <w:rFonts w:cs="Times New Roman"/>
          <w:szCs w:val="24"/>
        </w:rPr>
        <w:t xml:space="preserve">in this study was </w:t>
      </w:r>
      <w:r w:rsidRPr="00E65091">
        <w:rPr>
          <w:rFonts w:cs="Times New Roman"/>
          <w:szCs w:val="24"/>
        </w:rPr>
        <w:t>patient-related factors such as inappropriate removal of</w:t>
      </w:r>
      <w:r>
        <w:rPr>
          <w:rFonts w:cs="Times New Roman"/>
          <w:szCs w:val="24"/>
        </w:rPr>
        <w:t xml:space="preserve"> </w:t>
      </w:r>
      <w:r w:rsidRPr="00E65091">
        <w:rPr>
          <w:rFonts w:cs="Times New Roman"/>
          <w:szCs w:val="24"/>
        </w:rPr>
        <w:t>the dressing. All patients self-reported compliance, but</w:t>
      </w:r>
      <w:r>
        <w:rPr>
          <w:rFonts w:cs="Times New Roman"/>
          <w:szCs w:val="24"/>
        </w:rPr>
        <w:t xml:space="preserve"> this was not monitored</w:t>
      </w:r>
      <w:r w:rsidRPr="00E65091">
        <w:rPr>
          <w:rFonts w:cs="Times New Roman"/>
          <w:szCs w:val="24"/>
        </w:rPr>
        <w:t xml:space="preserve">. </w:t>
      </w:r>
    </w:p>
    <w:p w:rsidR="00E65091" w:rsidRPr="00E65091" w:rsidRDefault="00E65091" w:rsidP="00E65091">
      <w:pPr>
        <w:pStyle w:val="ListParagraph"/>
        <w:numPr>
          <w:ilvl w:val="0"/>
          <w:numId w:val="12"/>
        </w:numPr>
        <w:rPr>
          <w:rFonts w:cs="Times New Roman"/>
          <w:szCs w:val="24"/>
        </w:rPr>
      </w:pPr>
      <w:r>
        <w:rPr>
          <w:rFonts w:cs="Times New Roman"/>
          <w:szCs w:val="24"/>
        </w:rPr>
        <w:t xml:space="preserve">The study </w:t>
      </w:r>
      <w:r w:rsidRPr="00E65091">
        <w:rPr>
          <w:rFonts w:cs="Times New Roman"/>
          <w:szCs w:val="24"/>
        </w:rPr>
        <w:t>did not evaluate</w:t>
      </w:r>
      <w:r>
        <w:rPr>
          <w:rFonts w:cs="Times New Roman"/>
          <w:szCs w:val="24"/>
        </w:rPr>
        <w:t xml:space="preserve"> </w:t>
      </w:r>
      <w:r w:rsidRPr="00E65091">
        <w:rPr>
          <w:rFonts w:cs="Times New Roman"/>
          <w:szCs w:val="24"/>
        </w:rPr>
        <w:t>patients’ reaction to the</w:t>
      </w:r>
      <w:r w:rsidR="00B67466">
        <w:rPr>
          <w:rFonts w:cs="Times New Roman"/>
          <w:szCs w:val="24"/>
        </w:rPr>
        <w:t xml:space="preserve"> bulky dressing</w:t>
      </w:r>
      <w:bookmarkStart w:id="0" w:name="_GoBack"/>
      <w:bookmarkEnd w:id="0"/>
      <w:r w:rsidRPr="00E65091">
        <w:rPr>
          <w:rFonts w:cs="Times New Roman"/>
          <w:szCs w:val="24"/>
        </w:rPr>
        <w:t>. Asking patients about how they</w:t>
      </w:r>
      <w:r>
        <w:rPr>
          <w:rFonts w:cs="Times New Roman"/>
          <w:szCs w:val="24"/>
        </w:rPr>
        <w:t xml:space="preserve"> </w:t>
      </w:r>
      <w:r w:rsidRPr="00E65091">
        <w:rPr>
          <w:rFonts w:cs="Times New Roman"/>
          <w:szCs w:val="24"/>
        </w:rPr>
        <w:t>felt when wearing the dressing would have been beneficial.</w:t>
      </w:r>
    </w:p>
    <w:p w:rsidR="005B740E" w:rsidRPr="00117BF6" w:rsidRDefault="005B740E" w:rsidP="00117BF6">
      <w:pPr>
        <w:pStyle w:val="ListParagraph"/>
        <w:ind w:left="720"/>
        <w:rPr>
          <w:rFonts w:cs="Times New Roman"/>
          <w:b/>
          <w:szCs w:val="24"/>
        </w:rPr>
      </w:pPr>
    </w:p>
    <w:p w:rsidR="00991F49" w:rsidRDefault="00991F49" w:rsidP="008A3029">
      <w:pPr>
        <w:ind w:left="0"/>
        <w:rPr>
          <w:rFonts w:cs="Times New Roman"/>
          <w:b/>
          <w:szCs w:val="24"/>
        </w:rPr>
      </w:pPr>
      <w:r>
        <w:rPr>
          <w:rFonts w:cs="Times New Roman"/>
          <w:b/>
          <w:szCs w:val="24"/>
        </w:rPr>
        <w:t>Comments:</w:t>
      </w:r>
    </w:p>
    <w:p w:rsidR="006B45B2" w:rsidRDefault="006B45B2" w:rsidP="008A3029">
      <w:pPr>
        <w:ind w:left="0"/>
        <w:rPr>
          <w:rFonts w:cs="Times New Roman"/>
          <w:b/>
          <w:szCs w:val="24"/>
        </w:rPr>
      </w:pPr>
    </w:p>
    <w:p w:rsidR="003B46E2" w:rsidRPr="006B45B2" w:rsidRDefault="00326A12" w:rsidP="006B45B2">
      <w:pPr>
        <w:pStyle w:val="ListParagraph"/>
        <w:numPr>
          <w:ilvl w:val="0"/>
          <w:numId w:val="4"/>
        </w:numPr>
        <w:rPr>
          <w:rFonts w:cs="Times New Roman"/>
          <w:szCs w:val="24"/>
        </w:rPr>
      </w:pPr>
      <w:r w:rsidRPr="006B45B2">
        <w:rPr>
          <w:rFonts w:cs="Times New Roman"/>
          <w:szCs w:val="24"/>
        </w:rPr>
        <w:t xml:space="preserve">This study supports the conclusion that </w:t>
      </w:r>
      <w:r w:rsidR="006B45B2">
        <w:rPr>
          <w:rFonts w:cs="Times New Roman"/>
          <w:szCs w:val="24"/>
        </w:rPr>
        <w:t>r</w:t>
      </w:r>
      <w:r w:rsidR="006B45B2" w:rsidRPr="006B45B2">
        <w:rPr>
          <w:rFonts w:cs="Times New Roman"/>
          <w:szCs w:val="24"/>
        </w:rPr>
        <w:t>emoval of a bulky dressing after mini-open CTR and replacement with an</w:t>
      </w:r>
      <w:r w:rsidR="006B45B2">
        <w:rPr>
          <w:rFonts w:cs="Times New Roman"/>
          <w:szCs w:val="24"/>
        </w:rPr>
        <w:t xml:space="preserve"> </w:t>
      </w:r>
      <w:r w:rsidR="006B45B2" w:rsidRPr="006B45B2">
        <w:rPr>
          <w:rFonts w:cs="Times New Roman"/>
          <w:szCs w:val="24"/>
        </w:rPr>
        <w:t>adhesive strip at 48 to 72 hours causes no wound complications and results in equal</w:t>
      </w:r>
      <w:r w:rsidR="006B45B2">
        <w:rPr>
          <w:rFonts w:cs="Times New Roman"/>
          <w:szCs w:val="24"/>
        </w:rPr>
        <w:t xml:space="preserve"> </w:t>
      </w:r>
      <w:r w:rsidR="006B45B2" w:rsidRPr="006B45B2">
        <w:rPr>
          <w:rFonts w:cs="Times New Roman"/>
          <w:szCs w:val="24"/>
        </w:rPr>
        <w:t>short-term clinical and subjective outcome measures compared with using a bulky dressing</w:t>
      </w:r>
      <w:r w:rsidR="006B45B2">
        <w:rPr>
          <w:rFonts w:cs="Times New Roman"/>
          <w:szCs w:val="24"/>
        </w:rPr>
        <w:t xml:space="preserve"> </w:t>
      </w:r>
      <w:r w:rsidR="006B45B2" w:rsidRPr="006B45B2">
        <w:rPr>
          <w:rFonts w:cs="Times New Roman"/>
          <w:szCs w:val="24"/>
        </w:rPr>
        <w:t>for 2 weeks.</w:t>
      </w:r>
      <w:r w:rsidR="006B45B2">
        <w:rPr>
          <w:rFonts w:cs="Times New Roman"/>
          <w:szCs w:val="24"/>
        </w:rPr>
        <w:t xml:space="preserve"> </w:t>
      </w:r>
      <w:r w:rsidR="00BB3A5D" w:rsidRPr="006B45B2">
        <w:rPr>
          <w:rFonts w:cs="Times New Roman"/>
          <w:szCs w:val="24"/>
        </w:rPr>
        <w:t xml:space="preserve">No statistically significant differences </w:t>
      </w:r>
      <w:r w:rsidR="003B46E2" w:rsidRPr="006B45B2">
        <w:rPr>
          <w:rFonts w:cs="Times New Roman"/>
          <w:szCs w:val="24"/>
        </w:rPr>
        <w:t xml:space="preserve">between the </w:t>
      </w:r>
      <w:r w:rsidR="00375173" w:rsidRPr="006B45B2">
        <w:rPr>
          <w:rFonts w:cs="Times New Roman"/>
          <w:szCs w:val="24"/>
        </w:rPr>
        <w:t>2</w:t>
      </w:r>
      <w:r w:rsidR="003B46E2" w:rsidRPr="006B45B2">
        <w:rPr>
          <w:rFonts w:cs="Times New Roman"/>
          <w:szCs w:val="24"/>
        </w:rPr>
        <w:t xml:space="preserve"> groups </w:t>
      </w:r>
      <w:r w:rsidR="00117BF6" w:rsidRPr="006B45B2">
        <w:rPr>
          <w:rFonts w:cs="Times New Roman"/>
          <w:szCs w:val="24"/>
        </w:rPr>
        <w:t xml:space="preserve">were observed for </w:t>
      </w:r>
      <w:r w:rsidR="00375173" w:rsidRPr="006B45B2">
        <w:rPr>
          <w:rFonts w:cs="Times New Roman"/>
          <w:szCs w:val="24"/>
        </w:rPr>
        <w:t xml:space="preserve">the primary outcome measure </w:t>
      </w:r>
      <w:r w:rsidR="00117BF6" w:rsidRPr="006B45B2">
        <w:rPr>
          <w:rFonts w:cs="Times New Roman"/>
          <w:szCs w:val="24"/>
        </w:rPr>
        <w:t xml:space="preserve">at </w:t>
      </w:r>
      <w:r w:rsidR="006B45B2" w:rsidRPr="006B45B2">
        <w:rPr>
          <w:rFonts w:cs="Times New Roman"/>
          <w:szCs w:val="24"/>
        </w:rPr>
        <w:t>either follow-up time point.</w:t>
      </w:r>
    </w:p>
    <w:p w:rsidR="00117BF6" w:rsidRPr="00FC7E58" w:rsidRDefault="00117BF6" w:rsidP="00117BF6">
      <w:pPr>
        <w:pStyle w:val="ListParagraph"/>
        <w:numPr>
          <w:ilvl w:val="0"/>
          <w:numId w:val="4"/>
        </w:numPr>
        <w:rPr>
          <w:rFonts w:cs="Times New Roman"/>
          <w:szCs w:val="24"/>
        </w:rPr>
      </w:pPr>
      <w:r w:rsidRPr="00FC7E58">
        <w:rPr>
          <w:rFonts w:cs="Times New Roman"/>
          <w:szCs w:val="24"/>
        </w:rPr>
        <w:t xml:space="preserve">Strengths of this study included outcomes assessor blinding, independent observations, </w:t>
      </w:r>
      <w:r w:rsidR="00FC7E58" w:rsidRPr="00FC7E58">
        <w:rPr>
          <w:rFonts w:cs="Times New Roman"/>
          <w:szCs w:val="24"/>
        </w:rPr>
        <w:t xml:space="preserve">an adequate sample size and power, </w:t>
      </w:r>
      <w:r w:rsidR="006B45B2">
        <w:rPr>
          <w:rFonts w:cs="Times New Roman"/>
          <w:szCs w:val="24"/>
        </w:rPr>
        <w:t xml:space="preserve">blinded evaluation of wound healing, registered on clinicaltrials.gov, </w:t>
      </w:r>
      <w:r w:rsidRPr="00FC7E58">
        <w:rPr>
          <w:rFonts w:cs="Times New Roman"/>
          <w:szCs w:val="24"/>
        </w:rPr>
        <w:t>and primary outcome clearly designated.</w:t>
      </w:r>
    </w:p>
    <w:p w:rsidR="000A50B6" w:rsidRPr="00375173" w:rsidRDefault="00375173" w:rsidP="00315686">
      <w:pPr>
        <w:pStyle w:val="ListParagraph"/>
        <w:numPr>
          <w:ilvl w:val="0"/>
          <w:numId w:val="4"/>
        </w:numPr>
        <w:rPr>
          <w:rFonts w:cs="Times New Roman"/>
          <w:szCs w:val="24"/>
        </w:rPr>
      </w:pPr>
      <w:r w:rsidRPr="00375173">
        <w:rPr>
          <w:rFonts w:cs="Times New Roman"/>
          <w:szCs w:val="24"/>
        </w:rPr>
        <w:t xml:space="preserve">Analysis </w:t>
      </w:r>
      <w:r w:rsidR="008E3D23" w:rsidRPr="00375173">
        <w:rPr>
          <w:rFonts w:cs="Times New Roman"/>
          <w:szCs w:val="24"/>
        </w:rPr>
        <w:t xml:space="preserve">data on </w:t>
      </w:r>
      <w:r w:rsidRPr="00375173">
        <w:rPr>
          <w:rFonts w:cs="Times New Roman"/>
          <w:szCs w:val="24"/>
        </w:rPr>
        <w:t xml:space="preserve">differences </w:t>
      </w:r>
      <w:r>
        <w:rPr>
          <w:rFonts w:cs="Times New Roman"/>
          <w:szCs w:val="24"/>
        </w:rPr>
        <w:t xml:space="preserve">between groups </w:t>
      </w:r>
      <w:r w:rsidRPr="00375173">
        <w:rPr>
          <w:rFonts w:cs="Times New Roman"/>
          <w:szCs w:val="24"/>
        </w:rPr>
        <w:t xml:space="preserve">in </w:t>
      </w:r>
      <w:r w:rsidR="008E3D23" w:rsidRPr="00375173">
        <w:rPr>
          <w:rFonts w:cs="Times New Roman"/>
          <w:szCs w:val="24"/>
        </w:rPr>
        <w:t xml:space="preserve">demographic characteristics were </w:t>
      </w:r>
      <w:r w:rsidRPr="00375173">
        <w:rPr>
          <w:rFonts w:cs="Times New Roman"/>
          <w:szCs w:val="24"/>
        </w:rPr>
        <w:t xml:space="preserve">not </w:t>
      </w:r>
      <w:r w:rsidR="008E3D23" w:rsidRPr="00375173">
        <w:rPr>
          <w:rFonts w:cs="Times New Roman"/>
          <w:szCs w:val="24"/>
        </w:rPr>
        <w:t>given</w:t>
      </w:r>
      <w:r w:rsidRPr="00375173">
        <w:rPr>
          <w:rFonts w:cs="Times New Roman"/>
          <w:szCs w:val="24"/>
        </w:rPr>
        <w:t>,</w:t>
      </w:r>
      <w:r w:rsidR="008E3D23" w:rsidRPr="00375173">
        <w:rPr>
          <w:rFonts w:cs="Times New Roman"/>
          <w:szCs w:val="24"/>
        </w:rPr>
        <w:t xml:space="preserve"> and so it is unknown if the </w:t>
      </w:r>
      <w:r w:rsidR="000A50B6" w:rsidRPr="00375173">
        <w:rPr>
          <w:rFonts w:cs="Times New Roman"/>
          <w:szCs w:val="24"/>
        </w:rPr>
        <w:t>groups differ</w:t>
      </w:r>
      <w:r w:rsidR="008E3D23" w:rsidRPr="00375173">
        <w:rPr>
          <w:rFonts w:cs="Times New Roman"/>
          <w:szCs w:val="24"/>
        </w:rPr>
        <w:t>ed</w:t>
      </w:r>
      <w:r w:rsidR="000A50B6" w:rsidRPr="00375173">
        <w:rPr>
          <w:rFonts w:cs="Times New Roman"/>
          <w:szCs w:val="24"/>
        </w:rPr>
        <w:t xml:space="preserve"> significantly in </w:t>
      </w:r>
      <w:r w:rsidRPr="00375173">
        <w:rPr>
          <w:rFonts w:cs="Times New Roman"/>
          <w:szCs w:val="24"/>
        </w:rPr>
        <w:t xml:space="preserve">any of the </w:t>
      </w:r>
      <w:r w:rsidR="000A50B6" w:rsidRPr="00375173">
        <w:rPr>
          <w:rFonts w:cs="Times New Roman"/>
          <w:szCs w:val="24"/>
        </w:rPr>
        <w:t>demographic characteristics</w:t>
      </w:r>
      <w:r w:rsidR="008E3D23" w:rsidRPr="00375173">
        <w:rPr>
          <w:rFonts w:cs="Times New Roman"/>
          <w:szCs w:val="24"/>
        </w:rPr>
        <w:t>.</w:t>
      </w:r>
      <w:r w:rsidR="000A50B6" w:rsidRPr="00375173">
        <w:rPr>
          <w:rFonts w:cs="Times New Roman"/>
          <w:szCs w:val="24"/>
        </w:rPr>
        <w:t xml:space="preserve"> </w:t>
      </w:r>
    </w:p>
    <w:p w:rsidR="008F7D63" w:rsidRPr="006F490F" w:rsidRDefault="00375173" w:rsidP="006F490F">
      <w:pPr>
        <w:pStyle w:val="ListParagraph"/>
        <w:numPr>
          <w:ilvl w:val="0"/>
          <w:numId w:val="4"/>
        </w:numPr>
        <w:rPr>
          <w:rFonts w:cs="Times New Roman"/>
          <w:szCs w:val="24"/>
        </w:rPr>
      </w:pPr>
      <w:r>
        <w:rPr>
          <w:rFonts w:cs="Times New Roman"/>
          <w:szCs w:val="24"/>
        </w:rPr>
        <w:t>Monitoring patients’ compliance with wearing the bulky dressing for 2 weeks in Group B would have contributed to our confidence in the study’s internal validity.</w:t>
      </w:r>
    </w:p>
    <w:p w:rsidR="00375173" w:rsidRPr="00375173" w:rsidRDefault="00375173" w:rsidP="00375173">
      <w:pPr>
        <w:pStyle w:val="ListParagraph"/>
        <w:numPr>
          <w:ilvl w:val="0"/>
          <w:numId w:val="4"/>
        </w:numPr>
        <w:rPr>
          <w:rFonts w:cs="Times New Roman"/>
          <w:szCs w:val="24"/>
        </w:rPr>
      </w:pPr>
      <w:r w:rsidRPr="00375173">
        <w:rPr>
          <w:rFonts w:cs="Times New Roman"/>
          <w:szCs w:val="24"/>
        </w:rPr>
        <w:t xml:space="preserve">Since baseline functional scores on grip strength were significantly different between the groups, it reduces our confidence in the outcome measurements or results for this parameter. </w:t>
      </w:r>
      <w:r w:rsidRPr="00375173">
        <w:rPr>
          <w:rFonts w:cs="Times New Roman"/>
          <w:szCs w:val="24"/>
          <w:lang w:val="en"/>
        </w:rPr>
        <w:t>This baseline imbalance may influence outcome, since now differences in outcome cannot be assumed to be due only to the treatment intervention. This imbalance can also bias statistical tests, and introduce chance bias. An additional analysis should have been performed correct</w:t>
      </w:r>
      <w:r w:rsidR="006F490F">
        <w:rPr>
          <w:rFonts w:cs="Times New Roman"/>
          <w:szCs w:val="24"/>
          <w:lang w:val="en"/>
        </w:rPr>
        <w:t>ing</w:t>
      </w:r>
      <w:r w:rsidRPr="00375173">
        <w:rPr>
          <w:rFonts w:cs="Times New Roman"/>
          <w:szCs w:val="24"/>
          <w:lang w:val="en"/>
        </w:rPr>
        <w:t xml:space="preserve"> for this imbalance. </w:t>
      </w:r>
    </w:p>
    <w:p w:rsidR="00375173" w:rsidRDefault="00375173" w:rsidP="00375173">
      <w:pPr>
        <w:pStyle w:val="ListParagraph"/>
        <w:numPr>
          <w:ilvl w:val="0"/>
          <w:numId w:val="4"/>
        </w:numPr>
        <w:rPr>
          <w:rFonts w:cs="Times New Roman"/>
          <w:szCs w:val="24"/>
        </w:rPr>
      </w:pPr>
      <w:r>
        <w:rPr>
          <w:rFonts w:cs="Times New Roman"/>
          <w:szCs w:val="24"/>
        </w:rPr>
        <w:lastRenderedPageBreak/>
        <w:t xml:space="preserve">The study </w:t>
      </w:r>
      <w:r w:rsidRPr="00E65091">
        <w:rPr>
          <w:rFonts w:cs="Times New Roman"/>
          <w:szCs w:val="24"/>
        </w:rPr>
        <w:t>did not evaluate</w:t>
      </w:r>
      <w:r>
        <w:rPr>
          <w:rFonts w:cs="Times New Roman"/>
          <w:szCs w:val="24"/>
        </w:rPr>
        <w:t xml:space="preserve"> </w:t>
      </w:r>
      <w:r w:rsidRPr="00E65091">
        <w:rPr>
          <w:rFonts w:cs="Times New Roman"/>
          <w:szCs w:val="24"/>
        </w:rPr>
        <w:t xml:space="preserve">patients’ </w:t>
      </w:r>
      <w:r>
        <w:rPr>
          <w:rFonts w:cs="Times New Roman"/>
          <w:szCs w:val="24"/>
        </w:rPr>
        <w:t xml:space="preserve">length of </w:t>
      </w:r>
      <w:r w:rsidRPr="00E65091">
        <w:rPr>
          <w:rFonts w:cs="Times New Roman"/>
          <w:szCs w:val="24"/>
        </w:rPr>
        <w:t>time it took</w:t>
      </w:r>
      <w:r>
        <w:rPr>
          <w:rFonts w:cs="Times New Roman"/>
          <w:szCs w:val="24"/>
        </w:rPr>
        <w:t xml:space="preserve"> </w:t>
      </w:r>
      <w:r w:rsidRPr="00E65091">
        <w:rPr>
          <w:rFonts w:cs="Times New Roman"/>
          <w:szCs w:val="24"/>
        </w:rPr>
        <w:t>them to return to work. Asking patients when they returned</w:t>
      </w:r>
      <w:r>
        <w:rPr>
          <w:rFonts w:cs="Times New Roman"/>
          <w:szCs w:val="24"/>
        </w:rPr>
        <w:t xml:space="preserve"> </w:t>
      </w:r>
      <w:r w:rsidRPr="00E65091">
        <w:rPr>
          <w:rFonts w:cs="Times New Roman"/>
          <w:szCs w:val="24"/>
        </w:rPr>
        <w:t>to work would have been beneficial</w:t>
      </w:r>
      <w:r>
        <w:rPr>
          <w:rFonts w:cs="Times New Roman"/>
          <w:szCs w:val="24"/>
        </w:rPr>
        <w:t xml:space="preserve"> information</w:t>
      </w:r>
      <w:r w:rsidRPr="00E65091">
        <w:rPr>
          <w:rFonts w:cs="Times New Roman"/>
          <w:szCs w:val="24"/>
        </w:rPr>
        <w:t>.</w:t>
      </w:r>
    </w:p>
    <w:p w:rsidR="006E30F8" w:rsidRDefault="008F7D63" w:rsidP="006E30F8">
      <w:pPr>
        <w:pStyle w:val="ListParagraph"/>
        <w:numPr>
          <w:ilvl w:val="0"/>
          <w:numId w:val="4"/>
        </w:numPr>
        <w:rPr>
          <w:rFonts w:cs="Times New Roman"/>
          <w:szCs w:val="24"/>
        </w:rPr>
      </w:pPr>
      <w:r>
        <w:rPr>
          <w:rFonts w:cs="Times New Roman"/>
          <w:szCs w:val="24"/>
        </w:rPr>
        <w:t xml:space="preserve">One </w:t>
      </w:r>
      <w:r w:rsidRPr="008F7D63">
        <w:rPr>
          <w:rFonts w:cs="Times New Roman"/>
          <w:szCs w:val="24"/>
        </w:rPr>
        <w:t xml:space="preserve">weakness </w:t>
      </w:r>
      <w:r>
        <w:rPr>
          <w:rFonts w:cs="Times New Roman"/>
          <w:szCs w:val="24"/>
        </w:rPr>
        <w:t>of the study wa</w:t>
      </w:r>
      <w:r w:rsidRPr="008F7D63">
        <w:rPr>
          <w:rFonts w:cs="Times New Roman"/>
          <w:szCs w:val="24"/>
        </w:rPr>
        <w:t>s that different hand therapists measured</w:t>
      </w:r>
      <w:r>
        <w:rPr>
          <w:rFonts w:cs="Times New Roman"/>
          <w:szCs w:val="24"/>
        </w:rPr>
        <w:t xml:space="preserve"> </w:t>
      </w:r>
      <w:r w:rsidRPr="008F7D63">
        <w:rPr>
          <w:rFonts w:cs="Times New Roman"/>
          <w:szCs w:val="24"/>
        </w:rPr>
        <w:t>postoperative outcomes. Although blinded to randomization,</w:t>
      </w:r>
      <w:r>
        <w:rPr>
          <w:rFonts w:cs="Times New Roman"/>
          <w:szCs w:val="24"/>
        </w:rPr>
        <w:t xml:space="preserve"> </w:t>
      </w:r>
      <w:r w:rsidRPr="008F7D63">
        <w:rPr>
          <w:rFonts w:cs="Times New Roman"/>
          <w:szCs w:val="24"/>
        </w:rPr>
        <w:t>the heterogeneity in their measurements</w:t>
      </w:r>
      <w:r>
        <w:rPr>
          <w:rFonts w:cs="Times New Roman"/>
          <w:szCs w:val="24"/>
        </w:rPr>
        <w:t xml:space="preserve"> </w:t>
      </w:r>
      <w:r w:rsidRPr="008F7D63">
        <w:rPr>
          <w:rFonts w:cs="Times New Roman"/>
          <w:szCs w:val="24"/>
        </w:rPr>
        <w:t xml:space="preserve">could be a source for error. </w:t>
      </w:r>
    </w:p>
    <w:p w:rsidR="008F7D63" w:rsidRPr="006E30F8" w:rsidRDefault="008F7D63" w:rsidP="006E30F8">
      <w:pPr>
        <w:pStyle w:val="ListParagraph"/>
        <w:numPr>
          <w:ilvl w:val="0"/>
          <w:numId w:val="4"/>
        </w:numPr>
        <w:rPr>
          <w:rFonts w:cs="Times New Roman"/>
          <w:szCs w:val="24"/>
        </w:rPr>
      </w:pPr>
      <w:r w:rsidRPr="008F7D63">
        <w:rPr>
          <w:rFonts w:cs="Times New Roman"/>
          <w:szCs w:val="24"/>
        </w:rPr>
        <w:t>In addition</w:t>
      </w:r>
      <w:r>
        <w:rPr>
          <w:rFonts w:cs="Times New Roman"/>
          <w:szCs w:val="24"/>
        </w:rPr>
        <w:t xml:space="preserve">, a better quantitative </w:t>
      </w:r>
      <w:r w:rsidRPr="008F7D63">
        <w:rPr>
          <w:rFonts w:cs="Times New Roman"/>
          <w:szCs w:val="24"/>
        </w:rPr>
        <w:t>grading system rather than a qualitative</w:t>
      </w:r>
      <w:r>
        <w:rPr>
          <w:rFonts w:cs="Times New Roman"/>
          <w:szCs w:val="24"/>
        </w:rPr>
        <w:t xml:space="preserve"> </w:t>
      </w:r>
      <w:r w:rsidRPr="008F7D63">
        <w:rPr>
          <w:rFonts w:cs="Times New Roman"/>
          <w:szCs w:val="24"/>
        </w:rPr>
        <w:t>assessment of wound healing</w:t>
      </w:r>
      <w:r w:rsidR="006E30F8">
        <w:rPr>
          <w:rFonts w:cs="Times New Roman"/>
          <w:szCs w:val="24"/>
        </w:rPr>
        <w:t xml:space="preserve"> could have been used that would have better identified </w:t>
      </w:r>
      <w:r w:rsidRPr="006E30F8">
        <w:rPr>
          <w:rFonts w:cs="Times New Roman"/>
          <w:szCs w:val="24"/>
        </w:rPr>
        <w:t>subtle differences</w:t>
      </w:r>
      <w:r w:rsidR="006E30F8">
        <w:rPr>
          <w:rFonts w:cs="Times New Roman"/>
          <w:szCs w:val="24"/>
        </w:rPr>
        <w:t xml:space="preserve"> </w:t>
      </w:r>
      <w:r w:rsidRPr="006E30F8">
        <w:rPr>
          <w:rFonts w:cs="Times New Roman"/>
          <w:szCs w:val="24"/>
        </w:rPr>
        <w:t>between wounds.</w:t>
      </w:r>
    </w:p>
    <w:p w:rsidR="008F7D63" w:rsidRPr="008F7D63" w:rsidRDefault="006F490F" w:rsidP="008F7D63">
      <w:pPr>
        <w:pStyle w:val="ListParagraph"/>
        <w:numPr>
          <w:ilvl w:val="0"/>
          <w:numId w:val="4"/>
        </w:numPr>
        <w:rPr>
          <w:rFonts w:cs="Times New Roman"/>
          <w:szCs w:val="24"/>
        </w:rPr>
      </w:pPr>
      <w:r>
        <w:rPr>
          <w:rFonts w:cs="Times New Roman"/>
          <w:szCs w:val="24"/>
        </w:rPr>
        <w:t>Another</w:t>
      </w:r>
      <w:r w:rsidR="008F7D63">
        <w:rPr>
          <w:rFonts w:cs="Times New Roman"/>
          <w:szCs w:val="24"/>
        </w:rPr>
        <w:t xml:space="preserve"> weakness of the study was the large 30% </w:t>
      </w:r>
      <w:r>
        <w:rPr>
          <w:rFonts w:cs="Times New Roman"/>
          <w:szCs w:val="24"/>
        </w:rPr>
        <w:t xml:space="preserve">(28 patients) </w:t>
      </w:r>
      <w:r w:rsidR="008F7D63">
        <w:rPr>
          <w:rFonts w:cs="Times New Roman"/>
          <w:szCs w:val="24"/>
        </w:rPr>
        <w:t xml:space="preserve">drop-out rate among participants at the 3-month follow-up. </w:t>
      </w:r>
      <w:r w:rsidR="008F7D63" w:rsidRPr="008F7D63">
        <w:rPr>
          <w:rFonts w:cs="Times New Roman"/>
          <w:szCs w:val="24"/>
        </w:rPr>
        <w:t>Both groups had an equal number of patients lost</w:t>
      </w:r>
      <w:r w:rsidR="008F7D63">
        <w:rPr>
          <w:rFonts w:cs="Times New Roman"/>
          <w:szCs w:val="24"/>
        </w:rPr>
        <w:t xml:space="preserve"> </w:t>
      </w:r>
      <w:r w:rsidR="008F7D63" w:rsidRPr="008F7D63">
        <w:rPr>
          <w:rFonts w:cs="Times New Roman"/>
          <w:szCs w:val="24"/>
        </w:rPr>
        <w:t xml:space="preserve">to follow-up, which </w:t>
      </w:r>
      <w:r w:rsidR="008F7D63">
        <w:rPr>
          <w:rFonts w:cs="Times New Roman"/>
          <w:szCs w:val="24"/>
        </w:rPr>
        <w:t xml:space="preserve">was probably due to </w:t>
      </w:r>
      <w:r w:rsidR="006E30F8">
        <w:rPr>
          <w:rFonts w:cs="Times New Roman"/>
          <w:szCs w:val="24"/>
        </w:rPr>
        <w:t xml:space="preserve">similar reasons, such as </w:t>
      </w:r>
      <w:r w:rsidR="008F7D63" w:rsidRPr="008F7D63">
        <w:rPr>
          <w:rFonts w:cs="Times New Roman"/>
          <w:szCs w:val="24"/>
        </w:rPr>
        <w:t>clinical</w:t>
      </w:r>
      <w:r w:rsidR="008F7D63">
        <w:rPr>
          <w:rFonts w:cs="Times New Roman"/>
          <w:szCs w:val="24"/>
        </w:rPr>
        <w:t xml:space="preserve"> </w:t>
      </w:r>
      <w:r w:rsidR="008F7D63" w:rsidRPr="008F7D63">
        <w:rPr>
          <w:rFonts w:cs="Times New Roman"/>
          <w:szCs w:val="24"/>
        </w:rPr>
        <w:t>improvement.</w:t>
      </w:r>
      <w:r w:rsidR="008F7D63">
        <w:rPr>
          <w:rFonts w:cs="Times New Roman"/>
          <w:szCs w:val="24"/>
        </w:rPr>
        <w:t xml:space="preserve"> </w:t>
      </w:r>
    </w:p>
    <w:p w:rsidR="006409AB" w:rsidRPr="008F7D63" w:rsidRDefault="009E39DF" w:rsidP="00315686">
      <w:pPr>
        <w:pStyle w:val="ListParagraph"/>
        <w:numPr>
          <w:ilvl w:val="0"/>
          <w:numId w:val="4"/>
        </w:numPr>
        <w:rPr>
          <w:rFonts w:cs="Times New Roman"/>
          <w:szCs w:val="24"/>
        </w:rPr>
      </w:pPr>
      <w:r w:rsidRPr="008F7D63">
        <w:rPr>
          <w:rFonts w:cs="Times New Roman"/>
          <w:szCs w:val="24"/>
        </w:rPr>
        <w:t xml:space="preserve">Sample size </w:t>
      </w:r>
      <w:r w:rsidR="008E3D23" w:rsidRPr="008F7D63">
        <w:rPr>
          <w:rFonts w:cs="Times New Roman"/>
          <w:szCs w:val="24"/>
        </w:rPr>
        <w:t xml:space="preserve">calculations </w:t>
      </w:r>
      <w:r w:rsidR="006B45B2" w:rsidRPr="008F7D63">
        <w:rPr>
          <w:rFonts w:cs="Times New Roman"/>
          <w:szCs w:val="24"/>
        </w:rPr>
        <w:t xml:space="preserve">determined that 44 subjects were needed in each group. </w:t>
      </w:r>
      <w:r w:rsidR="00F939FC" w:rsidRPr="008F7D63">
        <w:rPr>
          <w:rFonts w:cs="Times New Roman"/>
          <w:szCs w:val="24"/>
        </w:rPr>
        <w:t>T</w:t>
      </w:r>
      <w:r w:rsidR="008E3D23" w:rsidRPr="008F7D63">
        <w:rPr>
          <w:rFonts w:cs="Times New Roman"/>
          <w:szCs w:val="24"/>
        </w:rPr>
        <w:t>he sample size</w:t>
      </w:r>
      <w:r w:rsidR="00F939FC" w:rsidRPr="008F7D63">
        <w:rPr>
          <w:rFonts w:cs="Times New Roman"/>
          <w:szCs w:val="24"/>
        </w:rPr>
        <w:t>s</w:t>
      </w:r>
      <w:r w:rsidR="008E3D23" w:rsidRPr="008F7D63">
        <w:rPr>
          <w:rFonts w:cs="Times New Roman"/>
          <w:szCs w:val="24"/>
        </w:rPr>
        <w:t xml:space="preserve"> </w:t>
      </w:r>
      <w:r w:rsidR="00F939FC" w:rsidRPr="008F7D63">
        <w:rPr>
          <w:rFonts w:cs="Times New Roman"/>
          <w:szCs w:val="24"/>
        </w:rPr>
        <w:t xml:space="preserve">for each group were </w:t>
      </w:r>
      <w:r w:rsidR="006B45B2" w:rsidRPr="008F7D63">
        <w:rPr>
          <w:rFonts w:cs="Times New Roman"/>
          <w:szCs w:val="24"/>
        </w:rPr>
        <w:t xml:space="preserve">adequate at the 2-week follow-up (45 and 49), but they were </w:t>
      </w:r>
      <w:r w:rsidR="006409AB" w:rsidRPr="008F7D63">
        <w:rPr>
          <w:rFonts w:cs="Times New Roman"/>
          <w:szCs w:val="24"/>
        </w:rPr>
        <w:t xml:space="preserve">too </w:t>
      </w:r>
      <w:r w:rsidR="00F939FC" w:rsidRPr="008F7D63">
        <w:rPr>
          <w:rFonts w:cs="Times New Roman"/>
          <w:szCs w:val="24"/>
        </w:rPr>
        <w:t>small (</w:t>
      </w:r>
      <w:r w:rsidR="006B45B2" w:rsidRPr="008F7D63">
        <w:rPr>
          <w:rFonts w:cs="Times New Roman"/>
          <w:szCs w:val="24"/>
        </w:rPr>
        <w:t>30 a</w:t>
      </w:r>
      <w:r w:rsidR="008F7D63" w:rsidRPr="008F7D63">
        <w:rPr>
          <w:rFonts w:cs="Times New Roman"/>
          <w:szCs w:val="24"/>
        </w:rPr>
        <w:t>nd 36</w:t>
      </w:r>
      <w:r w:rsidR="00F939FC" w:rsidRPr="008F7D63">
        <w:rPr>
          <w:rFonts w:cs="Times New Roman"/>
          <w:szCs w:val="24"/>
        </w:rPr>
        <w:t>)</w:t>
      </w:r>
      <w:r w:rsidR="006B45B2" w:rsidRPr="008F7D63">
        <w:rPr>
          <w:rFonts w:cs="Times New Roman"/>
          <w:szCs w:val="24"/>
        </w:rPr>
        <w:t xml:space="preserve"> at the 3 month follow-up. Thus </w:t>
      </w:r>
      <w:r w:rsidR="006409AB" w:rsidRPr="008F7D63">
        <w:rPr>
          <w:rFonts w:cs="Times New Roman"/>
          <w:szCs w:val="24"/>
        </w:rPr>
        <w:t xml:space="preserve">the </w:t>
      </w:r>
      <w:r w:rsidR="008E3D23" w:rsidRPr="008F7D63">
        <w:rPr>
          <w:rFonts w:cs="Times New Roman"/>
          <w:szCs w:val="24"/>
        </w:rPr>
        <w:t xml:space="preserve">study </w:t>
      </w:r>
      <w:r w:rsidR="008F7D63" w:rsidRPr="008F7D63">
        <w:rPr>
          <w:rFonts w:cs="Times New Roman"/>
          <w:szCs w:val="24"/>
        </w:rPr>
        <w:t xml:space="preserve">was adequately powered at the first follow-up, but </w:t>
      </w:r>
      <w:r w:rsidR="00F939FC" w:rsidRPr="008F7D63">
        <w:rPr>
          <w:rFonts w:cs="Times New Roman"/>
          <w:szCs w:val="24"/>
        </w:rPr>
        <w:t xml:space="preserve">lacked adequate power </w:t>
      </w:r>
      <w:r w:rsidR="008E3D23" w:rsidRPr="008F7D63">
        <w:rPr>
          <w:rFonts w:cs="Times New Roman"/>
          <w:szCs w:val="24"/>
        </w:rPr>
        <w:t xml:space="preserve">to detect </w:t>
      </w:r>
      <w:r w:rsidR="008F7D63" w:rsidRPr="008F7D63">
        <w:rPr>
          <w:rFonts w:cs="Times New Roman"/>
          <w:szCs w:val="24"/>
        </w:rPr>
        <w:t>a significant difference</w:t>
      </w:r>
      <w:r w:rsidR="006D1EF2" w:rsidRPr="008F7D63">
        <w:rPr>
          <w:rFonts w:cs="Times New Roman"/>
          <w:szCs w:val="24"/>
        </w:rPr>
        <w:t xml:space="preserve"> in the </w:t>
      </w:r>
      <w:r w:rsidR="008F7D63" w:rsidRPr="008F7D63">
        <w:rPr>
          <w:rFonts w:cs="Times New Roman"/>
          <w:szCs w:val="24"/>
        </w:rPr>
        <w:t>primary outcome measure at the second follow-up</w:t>
      </w:r>
      <w:r w:rsidR="006D1EF2" w:rsidRPr="008F7D63">
        <w:rPr>
          <w:rFonts w:cs="Times New Roman"/>
          <w:szCs w:val="24"/>
        </w:rPr>
        <w:t>.</w:t>
      </w:r>
      <w:r w:rsidR="006409AB" w:rsidRPr="008F7D63">
        <w:rPr>
          <w:szCs w:val="24"/>
        </w:rPr>
        <w:t xml:space="preserve"> </w:t>
      </w:r>
      <w:r w:rsidR="008F7D63" w:rsidRPr="008F7D63">
        <w:rPr>
          <w:szCs w:val="24"/>
        </w:rPr>
        <w:t xml:space="preserve">Therefore, </w:t>
      </w:r>
      <w:r w:rsidR="006409AB" w:rsidRPr="008F7D63">
        <w:rPr>
          <w:szCs w:val="24"/>
        </w:rPr>
        <w:t>the results</w:t>
      </w:r>
      <w:r w:rsidR="008F7D63" w:rsidRPr="008F7D63">
        <w:rPr>
          <w:szCs w:val="24"/>
        </w:rPr>
        <w:t xml:space="preserve"> from the second follow-up </w:t>
      </w:r>
      <w:r w:rsidR="006409AB" w:rsidRPr="008F7D63">
        <w:rPr>
          <w:szCs w:val="24"/>
        </w:rPr>
        <w:t>are i</w:t>
      </w:r>
      <w:r w:rsidR="008F7D63" w:rsidRPr="008F7D63">
        <w:rPr>
          <w:szCs w:val="24"/>
        </w:rPr>
        <w:t>nconclusive because the study was</w:t>
      </w:r>
      <w:r w:rsidR="006409AB" w:rsidRPr="008F7D63">
        <w:rPr>
          <w:szCs w:val="24"/>
        </w:rPr>
        <w:t xml:space="preserve"> underpowered</w:t>
      </w:r>
      <w:r w:rsidR="008F7D63" w:rsidRPr="008F7D63">
        <w:rPr>
          <w:szCs w:val="24"/>
        </w:rPr>
        <w:t xml:space="preserve"> at that time point.</w:t>
      </w:r>
    </w:p>
    <w:p w:rsidR="008F7D63" w:rsidRPr="008F7D63" w:rsidRDefault="008F7D63" w:rsidP="008F7D63">
      <w:pPr>
        <w:pStyle w:val="ListParagraph"/>
        <w:ind w:left="720"/>
        <w:rPr>
          <w:rFonts w:cs="Times New Roman"/>
          <w:szCs w:val="24"/>
        </w:rPr>
      </w:pPr>
    </w:p>
    <w:p w:rsidR="00C705EC"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F490F" w:rsidRDefault="006F490F" w:rsidP="00915B20">
      <w:pPr>
        <w:ind w:left="0"/>
        <w:rPr>
          <w:rFonts w:cs="Times New Roman"/>
          <w:b/>
          <w:i/>
          <w:szCs w:val="24"/>
        </w:rPr>
      </w:pPr>
    </w:p>
    <w:p w:rsidR="006F490F" w:rsidRPr="006F490F" w:rsidRDefault="007D3855" w:rsidP="00915B20">
      <w:pPr>
        <w:ind w:left="0"/>
        <w:rPr>
          <w:rFonts w:cs="Times New Roman"/>
          <w:szCs w:val="24"/>
        </w:rPr>
      </w:pPr>
      <w:r w:rsidRPr="007D3855">
        <w:rPr>
          <w:rFonts w:cs="Times New Roman"/>
          <w:szCs w:val="24"/>
        </w:rPr>
        <w:t xml:space="preserve">This adequate study provides some evidence </w:t>
      </w:r>
      <w:r w:rsidR="006F490F" w:rsidRPr="006F490F">
        <w:rPr>
          <w:rFonts w:cs="Times New Roman"/>
          <w:szCs w:val="24"/>
        </w:rPr>
        <w:t xml:space="preserve">that removal of a bulky dressing after mini-open CTR and replacement with an </w:t>
      </w:r>
      <w:r w:rsidR="006B45B2" w:rsidRPr="006F490F">
        <w:rPr>
          <w:rFonts w:cs="Times New Roman"/>
          <w:szCs w:val="24"/>
        </w:rPr>
        <w:t>adhesive strip at 48 to 72 hours causes no wound complications and results in equal</w:t>
      </w:r>
      <w:r w:rsidR="006F490F" w:rsidRPr="006F490F">
        <w:rPr>
          <w:rFonts w:cs="Times New Roman"/>
          <w:szCs w:val="24"/>
        </w:rPr>
        <w:t xml:space="preserve"> </w:t>
      </w:r>
      <w:r w:rsidR="006B45B2" w:rsidRPr="006F490F">
        <w:rPr>
          <w:rFonts w:cs="Times New Roman"/>
          <w:szCs w:val="24"/>
        </w:rPr>
        <w:t xml:space="preserve">short-term </w:t>
      </w:r>
      <w:r>
        <w:rPr>
          <w:rFonts w:cs="Times New Roman"/>
          <w:szCs w:val="24"/>
        </w:rPr>
        <w:t xml:space="preserve">(2-week) </w:t>
      </w:r>
      <w:r w:rsidR="006B45B2" w:rsidRPr="006F490F">
        <w:rPr>
          <w:rFonts w:cs="Times New Roman"/>
          <w:szCs w:val="24"/>
        </w:rPr>
        <w:t>clinical and subjective outcome measures compared with using a bulky dressing</w:t>
      </w:r>
      <w:r w:rsidR="006F490F" w:rsidRPr="006F490F">
        <w:rPr>
          <w:rFonts w:cs="Times New Roman"/>
          <w:szCs w:val="24"/>
        </w:rPr>
        <w:t xml:space="preserve"> </w:t>
      </w:r>
      <w:r w:rsidR="006B45B2" w:rsidRPr="006F490F">
        <w:rPr>
          <w:rFonts w:cs="Times New Roman"/>
          <w:szCs w:val="24"/>
        </w:rPr>
        <w:t>for 2 weeks</w:t>
      </w:r>
      <w:r>
        <w:rPr>
          <w:rFonts w:cs="Times New Roman"/>
          <w:szCs w:val="24"/>
        </w:rPr>
        <w:t>.</w:t>
      </w:r>
    </w:p>
    <w:p w:rsidR="006C70AC" w:rsidRDefault="006C70AC" w:rsidP="00AC55B6">
      <w:pPr>
        <w:pStyle w:val="ListParagraph"/>
        <w:ind w:left="0"/>
        <w:rPr>
          <w:rFonts w:cs="Times New Roman"/>
          <w:b/>
          <w:i/>
          <w:szCs w:val="24"/>
        </w:rPr>
      </w:pPr>
    </w:p>
    <w:p w:rsidR="007D3855" w:rsidRPr="007D3855" w:rsidRDefault="007D3855" w:rsidP="00AC55B6">
      <w:pPr>
        <w:pStyle w:val="ListParagraph"/>
        <w:ind w:left="0"/>
        <w:rPr>
          <w:rFonts w:cs="Times New Roman"/>
          <w:szCs w:val="24"/>
        </w:rPr>
      </w:pPr>
    </w:p>
    <w:sectPr w:rsidR="007D3855" w:rsidRPr="007D3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01A"/>
    <w:multiLevelType w:val="hybridMultilevel"/>
    <w:tmpl w:val="04A0C1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8721E"/>
    <w:multiLevelType w:val="hybridMultilevel"/>
    <w:tmpl w:val="5ACEF9A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D6882"/>
    <w:multiLevelType w:val="multilevel"/>
    <w:tmpl w:val="472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F8F5957"/>
    <w:multiLevelType w:val="hybridMultilevel"/>
    <w:tmpl w:val="118A3F6C"/>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4"/>
  </w:num>
  <w:num w:numId="6">
    <w:abstractNumId w:val="8"/>
  </w:num>
  <w:num w:numId="7">
    <w:abstractNumId w:val="9"/>
  </w:num>
  <w:num w:numId="8">
    <w:abstractNumId w:val="6"/>
  </w:num>
  <w:num w:numId="9">
    <w:abstractNumId w:val="5"/>
  </w:num>
  <w:num w:numId="10">
    <w:abstractNumId w:val="10"/>
  </w:num>
  <w:num w:numId="11">
    <w:abstractNumId w:val="2"/>
  </w:num>
  <w:num w:numId="12">
    <w:abstractNumId w:val="12"/>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6811"/>
    <w:rsid w:val="00030C5A"/>
    <w:rsid w:val="00037D4F"/>
    <w:rsid w:val="00053CA3"/>
    <w:rsid w:val="00054D9A"/>
    <w:rsid w:val="000566CC"/>
    <w:rsid w:val="00067CA9"/>
    <w:rsid w:val="00072FF4"/>
    <w:rsid w:val="0007303B"/>
    <w:rsid w:val="00076EBE"/>
    <w:rsid w:val="000865CA"/>
    <w:rsid w:val="00087193"/>
    <w:rsid w:val="000932C2"/>
    <w:rsid w:val="0009600D"/>
    <w:rsid w:val="000A1CD5"/>
    <w:rsid w:val="000A50B6"/>
    <w:rsid w:val="000A6DB0"/>
    <w:rsid w:val="000A7A76"/>
    <w:rsid w:val="000B15B1"/>
    <w:rsid w:val="000B62E0"/>
    <w:rsid w:val="000B67FB"/>
    <w:rsid w:val="000B76E6"/>
    <w:rsid w:val="000C4FC2"/>
    <w:rsid w:val="000C6334"/>
    <w:rsid w:val="000D0134"/>
    <w:rsid w:val="000E07D9"/>
    <w:rsid w:val="000E294B"/>
    <w:rsid w:val="000E4446"/>
    <w:rsid w:val="000F01BF"/>
    <w:rsid w:val="000F1426"/>
    <w:rsid w:val="000F2E6E"/>
    <w:rsid w:val="000F33CD"/>
    <w:rsid w:val="00105D09"/>
    <w:rsid w:val="00106B4C"/>
    <w:rsid w:val="001075DA"/>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2BE"/>
    <w:rsid w:val="00141CC0"/>
    <w:rsid w:val="00146A06"/>
    <w:rsid w:val="00146D9E"/>
    <w:rsid w:val="00156C33"/>
    <w:rsid w:val="001612BF"/>
    <w:rsid w:val="00162CEF"/>
    <w:rsid w:val="001631AC"/>
    <w:rsid w:val="001671A8"/>
    <w:rsid w:val="0017334C"/>
    <w:rsid w:val="00173C26"/>
    <w:rsid w:val="001755BF"/>
    <w:rsid w:val="00183CB5"/>
    <w:rsid w:val="00185B7D"/>
    <w:rsid w:val="00186557"/>
    <w:rsid w:val="00190A66"/>
    <w:rsid w:val="00192AD1"/>
    <w:rsid w:val="00193BBB"/>
    <w:rsid w:val="001A30CA"/>
    <w:rsid w:val="001A3190"/>
    <w:rsid w:val="001A40A4"/>
    <w:rsid w:val="001B514F"/>
    <w:rsid w:val="001B799D"/>
    <w:rsid w:val="001B799E"/>
    <w:rsid w:val="001C1EE7"/>
    <w:rsid w:val="001C3D47"/>
    <w:rsid w:val="001C5323"/>
    <w:rsid w:val="001C60CE"/>
    <w:rsid w:val="001C7F1D"/>
    <w:rsid w:val="001D051B"/>
    <w:rsid w:val="001D7B91"/>
    <w:rsid w:val="001E161E"/>
    <w:rsid w:val="001E245C"/>
    <w:rsid w:val="001E4B6F"/>
    <w:rsid w:val="001E5322"/>
    <w:rsid w:val="001E7100"/>
    <w:rsid w:val="001F29EF"/>
    <w:rsid w:val="001F62DB"/>
    <w:rsid w:val="001F7F9F"/>
    <w:rsid w:val="00202041"/>
    <w:rsid w:val="00203DEC"/>
    <w:rsid w:val="00204475"/>
    <w:rsid w:val="00206053"/>
    <w:rsid w:val="00207378"/>
    <w:rsid w:val="002100EF"/>
    <w:rsid w:val="00210AD5"/>
    <w:rsid w:val="00210CAB"/>
    <w:rsid w:val="0022236C"/>
    <w:rsid w:val="002239B5"/>
    <w:rsid w:val="002252EC"/>
    <w:rsid w:val="002256F4"/>
    <w:rsid w:val="00225707"/>
    <w:rsid w:val="00226B21"/>
    <w:rsid w:val="002310AC"/>
    <w:rsid w:val="00232F12"/>
    <w:rsid w:val="00233AEC"/>
    <w:rsid w:val="00235C1F"/>
    <w:rsid w:val="002362F1"/>
    <w:rsid w:val="00236665"/>
    <w:rsid w:val="00237E68"/>
    <w:rsid w:val="0024294B"/>
    <w:rsid w:val="002463CD"/>
    <w:rsid w:val="0024640A"/>
    <w:rsid w:val="00247792"/>
    <w:rsid w:val="0025385E"/>
    <w:rsid w:val="00254238"/>
    <w:rsid w:val="00261C1E"/>
    <w:rsid w:val="0026538D"/>
    <w:rsid w:val="00273DE4"/>
    <w:rsid w:val="00277135"/>
    <w:rsid w:val="002818BA"/>
    <w:rsid w:val="00282963"/>
    <w:rsid w:val="00284637"/>
    <w:rsid w:val="00285FEB"/>
    <w:rsid w:val="0029056E"/>
    <w:rsid w:val="00291C4F"/>
    <w:rsid w:val="00295E1C"/>
    <w:rsid w:val="0029623C"/>
    <w:rsid w:val="002977A9"/>
    <w:rsid w:val="002A0E04"/>
    <w:rsid w:val="002A3661"/>
    <w:rsid w:val="002A44C2"/>
    <w:rsid w:val="002A77B9"/>
    <w:rsid w:val="002B3233"/>
    <w:rsid w:val="002B3483"/>
    <w:rsid w:val="002B751C"/>
    <w:rsid w:val="002C32E8"/>
    <w:rsid w:val="002D0637"/>
    <w:rsid w:val="002D1DB0"/>
    <w:rsid w:val="002D28BF"/>
    <w:rsid w:val="002D31E6"/>
    <w:rsid w:val="002D54E3"/>
    <w:rsid w:val="002E0E37"/>
    <w:rsid w:val="002E16DD"/>
    <w:rsid w:val="002E27B0"/>
    <w:rsid w:val="002E3789"/>
    <w:rsid w:val="002E3E5C"/>
    <w:rsid w:val="002E4252"/>
    <w:rsid w:val="002E479B"/>
    <w:rsid w:val="002E7108"/>
    <w:rsid w:val="002F15E1"/>
    <w:rsid w:val="002F4C65"/>
    <w:rsid w:val="002F6BF6"/>
    <w:rsid w:val="00305931"/>
    <w:rsid w:val="003148D1"/>
    <w:rsid w:val="00315686"/>
    <w:rsid w:val="003162CF"/>
    <w:rsid w:val="00316A0E"/>
    <w:rsid w:val="00320444"/>
    <w:rsid w:val="0032565B"/>
    <w:rsid w:val="00326A12"/>
    <w:rsid w:val="00326ADD"/>
    <w:rsid w:val="0032702E"/>
    <w:rsid w:val="00327FBF"/>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5173"/>
    <w:rsid w:val="003761FE"/>
    <w:rsid w:val="00376536"/>
    <w:rsid w:val="0037742F"/>
    <w:rsid w:val="0038056F"/>
    <w:rsid w:val="00381F3C"/>
    <w:rsid w:val="00393824"/>
    <w:rsid w:val="00393F08"/>
    <w:rsid w:val="00394877"/>
    <w:rsid w:val="003962C6"/>
    <w:rsid w:val="003A1A39"/>
    <w:rsid w:val="003A6E98"/>
    <w:rsid w:val="003A7F1C"/>
    <w:rsid w:val="003B000A"/>
    <w:rsid w:val="003B102B"/>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50C1"/>
    <w:rsid w:val="003E7006"/>
    <w:rsid w:val="003F676E"/>
    <w:rsid w:val="003F7668"/>
    <w:rsid w:val="004007E9"/>
    <w:rsid w:val="00400A4F"/>
    <w:rsid w:val="004038ED"/>
    <w:rsid w:val="0041033D"/>
    <w:rsid w:val="00411BE8"/>
    <w:rsid w:val="0041508D"/>
    <w:rsid w:val="00422A5B"/>
    <w:rsid w:val="004240A0"/>
    <w:rsid w:val="0042475D"/>
    <w:rsid w:val="00425E3A"/>
    <w:rsid w:val="00426C3A"/>
    <w:rsid w:val="0042746D"/>
    <w:rsid w:val="00430CA1"/>
    <w:rsid w:val="004337DF"/>
    <w:rsid w:val="00436D33"/>
    <w:rsid w:val="00442D27"/>
    <w:rsid w:val="00443BB9"/>
    <w:rsid w:val="00446110"/>
    <w:rsid w:val="0044792D"/>
    <w:rsid w:val="00450CAD"/>
    <w:rsid w:val="00452611"/>
    <w:rsid w:val="0045408D"/>
    <w:rsid w:val="00454579"/>
    <w:rsid w:val="00462322"/>
    <w:rsid w:val="0046655E"/>
    <w:rsid w:val="00472443"/>
    <w:rsid w:val="00475C8A"/>
    <w:rsid w:val="00484D66"/>
    <w:rsid w:val="00490437"/>
    <w:rsid w:val="004916DF"/>
    <w:rsid w:val="00493432"/>
    <w:rsid w:val="0049584B"/>
    <w:rsid w:val="00497357"/>
    <w:rsid w:val="004A035F"/>
    <w:rsid w:val="004A05BE"/>
    <w:rsid w:val="004A088F"/>
    <w:rsid w:val="004A4E2A"/>
    <w:rsid w:val="004B19DB"/>
    <w:rsid w:val="004B576E"/>
    <w:rsid w:val="004B71F0"/>
    <w:rsid w:val="004B7529"/>
    <w:rsid w:val="004C0125"/>
    <w:rsid w:val="004C3F77"/>
    <w:rsid w:val="004C41B9"/>
    <w:rsid w:val="004C4EED"/>
    <w:rsid w:val="004C4F1B"/>
    <w:rsid w:val="004C6A60"/>
    <w:rsid w:val="004C7A27"/>
    <w:rsid w:val="004D0168"/>
    <w:rsid w:val="004D051A"/>
    <w:rsid w:val="004D0EA0"/>
    <w:rsid w:val="004D3081"/>
    <w:rsid w:val="004D4B69"/>
    <w:rsid w:val="004D5790"/>
    <w:rsid w:val="004D5F0B"/>
    <w:rsid w:val="004E00A0"/>
    <w:rsid w:val="004E06DC"/>
    <w:rsid w:val="004E19BC"/>
    <w:rsid w:val="004E19E4"/>
    <w:rsid w:val="004E1B1C"/>
    <w:rsid w:val="004E324D"/>
    <w:rsid w:val="004E45A0"/>
    <w:rsid w:val="004E482F"/>
    <w:rsid w:val="004F2CF1"/>
    <w:rsid w:val="0050062A"/>
    <w:rsid w:val="00500A18"/>
    <w:rsid w:val="00502764"/>
    <w:rsid w:val="00504ACA"/>
    <w:rsid w:val="00505D22"/>
    <w:rsid w:val="0050615C"/>
    <w:rsid w:val="00507EB9"/>
    <w:rsid w:val="00510839"/>
    <w:rsid w:val="005116C2"/>
    <w:rsid w:val="005144BE"/>
    <w:rsid w:val="00515215"/>
    <w:rsid w:val="00515794"/>
    <w:rsid w:val="0051606B"/>
    <w:rsid w:val="005237BB"/>
    <w:rsid w:val="00523B45"/>
    <w:rsid w:val="00525E6E"/>
    <w:rsid w:val="005271CD"/>
    <w:rsid w:val="005319C1"/>
    <w:rsid w:val="00531B27"/>
    <w:rsid w:val="005356E8"/>
    <w:rsid w:val="00535BE1"/>
    <w:rsid w:val="00540A2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6B7"/>
    <w:rsid w:val="005B4A88"/>
    <w:rsid w:val="005B524E"/>
    <w:rsid w:val="005B740E"/>
    <w:rsid w:val="005C0C92"/>
    <w:rsid w:val="005C18C2"/>
    <w:rsid w:val="005C5385"/>
    <w:rsid w:val="005C5CBD"/>
    <w:rsid w:val="005D2104"/>
    <w:rsid w:val="005E51A2"/>
    <w:rsid w:val="005E5584"/>
    <w:rsid w:val="005E767C"/>
    <w:rsid w:val="005F4A8C"/>
    <w:rsid w:val="005F6820"/>
    <w:rsid w:val="00601BDE"/>
    <w:rsid w:val="00602DD6"/>
    <w:rsid w:val="00604865"/>
    <w:rsid w:val="006064D3"/>
    <w:rsid w:val="00607475"/>
    <w:rsid w:val="00607B6F"/>
    <w:rsid w:val="00611064"/>
    <w:rsid w:val="0061666B"/>
    <w:rsid w:val="00626417"/>
    <w:rsid w:val="006266D2"/>
    <w:rsid w:val="006271F5"/>
    <w:rsid w:val="00634029"/>
    <w:rsid w:val="006409AB"/>
    <w:rsid w:val="00643667"/>
    <w:rsid w:val="00646C82"/>
    <w:rsid w:val="006510CA"/>
    <w:rsid w:val="0065724D"/>
    <w:rsid w:val="0065746E"/>
    <w:rsid w:val="00661BE3"/>
    <w:rsid w:val="006632E9"/>
    <w:rsid w:val="00663604"/>
    <w:rsid w:val="00666CF8"/>
    <w:rsid w:val="006701D9"/>
    <w:rsid w:val="006708FB"/>
    <w:rsid w:val="00671173"/>
    <w:rsid w:val="00672BAD"/>
    <w:rsid w:val="00673218"/>
    <w:rsid w:val="00673CDB"/>
    <w:rsid w:val="00675998"/>
    <w:rsid w:val="00677EEC"/>
    <w:rsid w:val="0068124B"/>
    <w:rsid w:val="006907ED"/>
    <w:rsid w:val="00692CEE"/>
    <w:rsid w:val="00692F53"/>
    <w:rsid w:val="0069616B"/>
    <w:rsid w:val="006A087B"/>
    <w:rsid w:val="006A0B96"/>
    <w:rsid w:val="006A37CF"/>
    <w:rsid w:val="006A655F"/>
    <w:rsid w:val="006B45B2"/>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30F8"/>
    <w:rsid w:val="006E55B1"/>
    <w:rsid w:val="006E59F7"/>
    <w:rsid w:val="006F29BA"/>
    <w:rsid w:val="006F2F22"/>
    <w:rsid w:val="006F490F"/>
    <w:rsid w:val="00700C84"/>
    <w:rsid w:val="00702468"/>
    <w:rsid w:val="007024E3"/>
    <w:rsid w:val="00702F27"/>
    <w:rsid w:val="00706FE7"/>
    <w:rsid w:val="00712483"/>
    <w:rsid w:val="00713CAA"/>
    <w:rsid w:val="007141D5"/>
    <w:rsid w:val="00717931"/>
    <w:rsid w:val="007179B8"/>
    <w:rsid w:val="00720495"/>
    <w:rsid w:val="0072247E"/>
    <w:rsid w:val="00724AA0"/>
    <w:rsid w:val="00725DBF"/>
    <w:rsid w:val="00732531"/>
    <w:rsid w:val="00734FEA"/>
    <w:rsid w:val="00735652"/>
    <w:rsid w:val="00736042"/>
    <w:rsid w:val="00736E82"/>
    <w:rsid w:val="00740553"/>
    <w:rsid w:val="00740CD1"/>
    <w:rsid w:val="007507C3"/>
    <w:rsid w:val="00751E2C"/>
    <w:rsid w:val="00752599"/>
    <w:rsid w:val="00752A63"/>
    <w:rsid w:val="00755A14"/>
    <w:rsid w:val="00756C4C"/>
    <w:rsid w:val="00757153"/>
    <w:rsid w:val="00761F0D"/>
    <w:rsid w:val="00766762"/>
    <w:rsid w:val="00771734"/>
    <w:rsid w:val="007773E8"/>
    <w:rsid w:val="00782DC1"/>
    <w:rsid w:val="00784337"/>
    <w:rsid w:val="00790CD2"/>
    <w:rsid w:val="00790E94"/>
    <w:rsid w:val="00794BDB"/>
    <w:rsid w:val="0079579B"/>
    <w:rsid w:val="007A1C62"/>
    <w:rsid w:val="007A28C1"/>
    <w:rsid w:val="007A426E"/>
    <w:rsid w:val="007A4CA4"/>
    <w:rsid w:val="007B147A"/>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D3855"/>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112EF"/>
    <w:rsid w:val="00820146"/>
    <w:rsid w:val="008217DF"/>
    <w:rsid w:val="008243D6"/>
    <w:rsid w:val="00824F44"/>
    <w:rsid w:val="008335F6"/>
    <w:rsid w:val="0083525D"/>
    <w:rsid w:val="00837627"/>
    <w:rsid w:val="0084138A"/>
    <w:rsid w:val="008414A9"/>
    <w:rsid w:val="008460F9"/>
    <w:rsid w:val="0084683D"/>
    <w:rsid w:val="00847919"/>
    <w:rsid w:val="008501EF"/>
    <w:rsid w:val="00855AF8"/>
    <w:rsid w:val="008603C7"/>
    <w:rsid w:val="00863B28"/>
    <w:rsid w:val="00865DD9"/>
    <w:rsid w:val="00874367"/>
    <w:rsid w:val="0087489D"/>
    <w:rsid w:val="0087550D"/>
    <w:rsid w:val="008756DC"/>
    <w:rsid w:val="00875E30"/>
    <w:rsid w:val="0087638E"/>
    <w:rsid w:val="00877FDD"/>
    <w:rsid w:val="008820A0"/>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3D23"/>
    <w:rsid w:val="008E4290"/>
    <w:rsid w:val="008E790D"/>
    <w:rsid w:val="008F1524"/>
    <w:rsid w:val="008F2422"/>
    <w:rsid w:val="008F39B7"/>
    <w:rsid w:val="008F5526"/>
    <w:rsid w:val="008F7D63"/>
    <w:rsid w:val="00900F3B"/>
    <w:rsid w:val="009015F1"/>
    <w:rsid w:val="009016D6"/>
    <w:rsid w:val="009070D4"/>
    <w:rsid w:val="0091119B"/>
    <w:rsid w:val="00915B20"/>
    <w:rsid w:val="00916C0E"/>
    <w:rsid w:val="00917123"/>
    <w:rsid w:val="009304B7"/>
    <w:rsid w:val="009361B4"/>
    <w:rsid w:val="0093660C"/>
    <w:rsid w:val="00937522"/>
    <w:rsid w:val="00940986"/>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2C02"/>
    <w:rsid w:val="009D4E8A"/>
    <w:rsid w:val="009D5517"/>
    <w:rsid w:val="009D67A9"/>
    <w:rsid w:val="009E2C74"/>
    <w:rsid w:val="009E39DF"/>
    <w:rsid w:val="009E7137"/>
    <w:rsid w:val="009F0FCF"/>
    <w:rsid w:val="009F49B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305B6"/>
    <w:rsid w:val="00A36337"/>
    <w:rsid w:val="00A44500"/>
    <w:rsid w:val="00A44E78"/>
    <w:rsid w:val="00A44EA0"/>
    <w:rsid w:val="00A46DFE"/>
    <w:rsid w:val="00A569C8"/>
    <w:rsid w:val="00A6654C"/>
    <w:rsid w:val="00A671C3"/>
    <w:rsid w:val="00A71987"/>
    <w:rsid w:val="00A7594D"/>
    <w:rsid w:val="00A81B93"/>
    <w:rsid w:val="00A81C2D"/>
    <w:rsid w:val="00A8295D"/>
    <w:rsid w:val="00A91370"/>
    <w:rsid w:val="00A91D71"/>
    <w:rsid w:val="00A9321A"/>
    <w:rsid w:val="00A93853"/>
    <w:rsid w:val="00A93D02"/>
    <w:rsid w:val="00A95447"/>
    <w:rsid w:val="00A9612B"/>
    <w:rsid w:val="00AA1AD3"/>
    <w:rsid w:val="00AA1F06"/>
    <w:rsid w:val="00AA32EF"/>
    <w:rsid w:val="00AA7335"/>
    <w:rsid w:val="00AA79C0"/>
    <w:rsid w:val="00AB0B64"/>
    <w:rsid w:val="00AB3D9D"/>
    <w:rsid w:val="00AB43E9"/>
    <w:rsid w:val="00AB6DD6"/>
    <w:rsid w:val="00AB6ED5"/>
    <w:rsid w:val="00AB7F12"/>
    <w:rsid w:val="00AC0A15"/>
    <w:rsid w:val="00AC168F"/>
    <w:rsid w:val="00AC55B6"/>
    <w:rsid w:val="00AC6B1B"/>
    <w:rsid w:val="00AC6C4E"/>
    <w:rsid w:val="00AC7911"/>
    <w:rsid w:val="00AD665C"/>
    <w:rsid w:val="00AD6D40"/>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B64"/>
    <w:rsid w:val="00B354DF"/>
    <w:rsid w:val="00B36CAF"/>
    <w:rsid w:val="00B37717"/>
    <w:rsid w:val="00B41B6E"/>
    <w:rsid w:val="00B44C6E"/>
    <w:rsid w:val="00B4678C"/>
    <w:rsid w:val="00B51260"/>
    <w:rsid w:val="00B61204"/>
    <w:rsid w:val="00B63061"/>
    <w:rsid w:val="00B65679"/>
    <w:rsid w:val="00B6712D"/>
    <w:rsid w:val="00B67466"/>
    <w:rsid w:val="00B679E3"/>
    <w:rsid w:val="00B74253"/>
    <w:rsid w:val="00B77339"/>
    <w:rsid w:val="00B775D4"/>
    <w:rsid w:val="00B831EE"/>
    <w:rsid w:val="00B851C6"/>
    <w:rsid w:val="00B90951"/>
    <w:rsid w:val="00B94634"/>
    <w:rsid w:val="00B95BD8"/>
    <w:rsid w:val="00B964C7"/>
    <w:rsid w:val="00B974CE"/>
    <w:rsid w:val="00BA0F4A"/>
    <w:rsid w:val="00BA12FD"/>
    <w:rsid w:val="00BB3A5D"/>
    <w:rsid w:val="00BB3B96"/>
    <w:rsid w:val="00BB5EEB"/>
    <w:rsid w:val="00BC196C"/>
    <w:rsid w:val="00BC77CB"/>
    <w:rsid w:val="00BD45E5"/>
    <w:rsid w:val="00BE19BE"/>
    <w:rsid w:val="00BE4FF0"/>
    <w:rsid w:val="00BE5BAE"/>
    <w:rsid w:val="00BE6954"/>
    <w:rsid w:val="00BF3803"/>
    <w:rsid w:val="00BF3FBD"/>
    <w:rsid w:val="00BF423F"/>
    <w:rsid w:val="00BF529C"/>
    <w:rsid w:val="00BF5F75"/>
    <w:rsid w:val="00BF6515"/>
    <w:rsid w:val="00BF684B"/>
    <w:rsid w:val="00BF6BC7"/>
    <w:rsid w:val="00BF7023"/>
    <w:rsid w:val="00BF7703"/>
    <w:rsid w:val="00C00C14"/>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154D"/>
    <w:rsid w:val="00C435EB"/>
    <w:rsid w:val="00C45A18"/>
    <w:rsid w:val="00C5280C"/>
    <w:rsid w:val="00C5665E"/>
    <w:rsid w:val="00C56D65"/>
    <w:rsid w:val="00C57626"/>
    <w:rsid w:val="00C601D3"/>
    <w:rsid w:val="00C610A0"/>
    <w:rsid w:val="00C61819"/>
    <w:rsid w:val="00C6592B"/>
    <w:rsid w:val="00C674D5"/>
    <w:rsid w:val="00C705EC"/>
    <w:rsid w:val="00C70C7C"/>
    <w:rsid w:val="00C7472E"/>
    <w:rsid w:val="00C7547C"/>
    <w:rsid w:val="00C7588C"/>
    <w:rsid w:val="00C81470"/>
    <w:rsid w:val="00C876D8"/>
    <w:rsid w:val="00C8789B"/>
    <w:rsid w:val="00C9214F"/>
    <w:rsid w:val="00C92437"/>
    <w:rsid w:val="00C934A9"/>
    <w:rsid w:val="00C94931"/>
    <w:rsid w:val="00C95C80"/>
    <w:rsid w:val="00C96242"/>
    <w:rsid w:val="00CA0824"/>
    <w:rsid w:val="00CA447C"/>
    <w:rsid w:val="00CA6DF1"/>
    <w:rsid w:val="00CB203F"/>
    <w:rsid w:val="00CB3D2B"/>
    <w:rsid w:val="00CB3F9E"/>
    <w:rsid w:val="00CB6598"/>
    <w:rsid w:val="00CB673E"/>
    <w:rsid w:val="00CB7DF4"/>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545"/>
    <w:rsid w:val="00D36136"/>
    <w:rsid w:val="00D4140E"/>
    <w:rsid w:val="00D41BE3"/>
    <w:rsid w:val="00D421A0"/>
    <w:rsid w:val="00D4264D"/>
    <w:rsid w:val="00D42BE7"/>
    <w:rsid w:val="00D44326"/>
    <w:rsid w:val="00D47076"/>
    <w:rsid w:val="00D47253"/>
    <w:rsid w:val="00D50E60"/>
    <w:rsid w:val="00D649D5"/>
    <w:rsid w:val="00D6542A"/>
    <w:rsid w:val="00D65A96"/>
    <w:rsid w:val="00D7075C"/>
    <w:rsid w:val="00D70C26"/>
    <w:rsid w:val="00D72A1D"/>
    <w:rsid w:val="00D75E71"/>
    <w:rsid w:val="00D80FC0"/>
    <w:rsid w:val="00D81899"/>
    <w:rsid w:val="00D81FA4"/>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460F"/>
    <w:rsid w:val="00E058AA"/>
    <w:rsid w:val="00E10C4E"/>
    <w:rsid w:val="00E13945"/>
    <w:rsid w:val="00E14162"/>
    <w:rsid w:val="00E1447C"/>
    <w:rsid w:val="00E15D35"/>
    <w:rsid w:val="00E16106"/>
    <w:rsid w:val="00E162B2"/>
    <w:rsid w:val="00E2028C"/>
    <w:rsid w:val="00E211D9"/>
    <w:rsid w:val="00E22BE4"/>
    <w:rsid w:val="00E23BC8"/>
    <w:rsid w:val="00E34C5C"/>
    <w:rsid w:val="00E35FF9"/>
    <w:rsid w:val="00E40883"/>
    <w:rsid w:val="00E40EB3"/>
    <w:rsid w:val="00E4275F"/>
    <w:rsid w:val="00E45DFC"/>
    <w:rsid w:val="00E4746C"/>
    <w:rsid w:val="00E526A9"/>
    <w:rsid w:val="00E5571C"/>
    <w:rsid w:val="00E60B53"/>
    <w:rsid w:val="00E636A4"/>
    <w:rsid w:val="00E65091"/>
    <w:rsid w:val="00E65191"/>
    <w:rsid w:val="00E656BE"/>
    <w:rsid w:val="00E66492"/>
    <w:rsid w:val="00E73A4F"/>
    <w:rsid w:val="00E73BB2"/>
    <w:rsid w:val="00E745A3"/>
    <w:rsid w:val="00E90B2C"/>
    <w:rsid w:val="00E90BB4"/>
    <w:rsid w:val="00E92A2B"/>
    <w:rsid w:val="00E92C20"/>
    <w:rsid w:val="00E97757"/>
    <w:rsid w:val="00EA0D81"/>
    <w:rsid w:val="00EA4567"/>
    <w:rsid w:val="00EA752F"/>
    <w:rsid w:val="00EB21FB"/>
    <w:rsid w:val="00EB3A4D"/>
    <w:rsid w:val="00EB44BE"/>
    <w:rsid w:val="00EB699E"/>
    <w:rsid w:val="00EC1A58"/>
    <w:rsid w:val="00EC334E"/>
    <w:rsid w:val="00EC4D96"/>
    <w:rsid w:val="00EC5A14"/>
    <w:rsid w:val="00ED15A1"/>
    <w:rsid w:val="00ED4E0F"/>
    <w:rsid w:val="00ED5E76"/>
    <w:rsid w:val="00EE22D8"/>
    <w:rsid w:val="00EE381F"/>
    <w:rsid w:val="00EE5DA2"/>
    <w:rsid w:val="00EE6CC0"/>
    <w:rsid w:val="00EF2605"/>
    <w:rsid w:val="00EF3D1A"/>
    <w:rsid w:val="00EF5EAC"/>
    <w:rsid w:val="00F040E6"/>
    <w:rsid w:val="00F12B61"/>
    <w:rsid w:val="00F14669"/>
    <w:rsid w:val="00F15A8D"/>
    <w:rsid w:val="00F17D24"/>
    <w:rsid w:val="00F204A1"/>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177A"/>
    <w:rsid w:val="00F939FC"/>
    <w:rsid w:val="00F95D14"/>
    <w:rsid w:val="00FA2A41"/>
    <w:rsid w:val="00FA370C"/>
    <w:rsid w:val="00FA40F1"/>
    <w:rsid w:val="00FB38E4"/>
    <w:rsid w:val="00FB5DBF"/>
    <w:rsid w:val="00FB7251"/>
    <w:rsid w:val="00FC2CAA"/>
    <w:rsid w:val="00FC3EF6"/>
    <w:rsid w:val="00FC42D8"/>
    <w:rsid w:val="00FC7E58"/>
    <w:rsid w:val="00FD1A85"/>
    <w:rsid w:val="00FD408F"/>
    <w:rsid w:val="00FD5248"/>
    <w:rsid w:val="00FD6601"/>
    <w:rsid w:val="00FE1477"/>
    <w:rsid w:val="00FE428E"/>
    <w:rsid w:val="00FE45E4"/>
    <w:rsid w:val="00FE4EAC"/>
    <w:rsid w:val="00FE60FB"/>
    <w:rsid w:val="00FF0DA3"/>
    <w:rsid w:val="00FF13DF"/>
    <w:rsid w:val="00FF6C0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43941">
      <w:bodyDiv w:val="1"/>
      <w:marLeft w:val="0"/>
      <w:marRight w:val="0"/>
      <w:marTop w:val="0"/>
      <w:marBottom w:val="0"/>
      <w:divBdr>
        <w:top w:val="none" w:sz="0" w:space="0" w:color="auto"/>
        <w:left w:val="none" w:sz="0" w:space="0" w:color="auto"/>
        <w:bottom w:val="none" w:sz="0" w:space="0" w:color="auto"/>
        <w:right w:val="none" w:sz="0" w:space="0" w:color="auto"/>
      </w:divBdr>
      <w:divsChild>
        <w:div w:id="6012285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22962042">
              <w:marLeft w:val="0"/>
              <w:marRight w:val="0"/>
              <w:marTop w:val="0"/>
              <w:marBottom w:val="0"/>
              <w:divBdr>
                <w:top w:val="none" w:sz="0" w:space="0" w:color="auto"/>
                <w:left w:val="none" w:sz="0" w:space="0" w:color="auto"/>
                <w:bottom w:val="none" w:sz="0" w:space="0" w:color="auto"/>
                <w:right w:val="none" w:sz="0" w:space="0" w:color="auto"/>
              </w:divBdr>
              <w:divsChild>
                <w:div w:id="1297181737">
                  <w:marLeft w:val="0"/>
                  <w:marRight w:val="0"/>
                  <w:marTop w:val="360"/>
                  <w:marBottom w:val="0"/>
                  <w:divBdr>
                    <w:top w:val="single" w:sz="6" w:space="0" w:color="FFFFFF"/>
                    <w:left w:val="single" w:sz="6" w:space="0" w:color="FFFFFF"/>
                    <w:bottom w:val="single" w:sz="6" w:space="0" w:color="FFFFFF"/>
                    <w:right w:val="single" w:sz="6" w:space="0" w:color="FFFFFF"/>
                  </w:divBdr>
                  <w:divsChild>
                    <w:div w:id="1781143295">
                      <w:marLeft w:val="0"/>
                      <w:marRight w:val="0"/>
                      <w:marTop w:val="0"/>
                      <w:marBottom w:val="0"/>
                      <w:divBdr>
                        <w:top w:val="none" w:sz="0" w:space="0" w:color="auto"/>
                        <w:left w:val="none" w:sz="0" w:space="0" w:color="auto"/>
                        <w:bottom w:val="none" w:sz="0" w:space="0" w:color="auto"/>
                        <w:right w:val="none" w:sz="0" w:space="0" w:color="auto"/>
                      </w:divBdr>
                      <w:divsChild>
                        <w:div w:id="2756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228923">
      <w:bodyDiv w:val="1"/>
      <w:marLeft w:val="0"/>
      <w:marRight w:val="0"/>
      <w:marTop w:val="0"/>
      <w:marBottom w:val="0"/>
      <w:divBdr>
        <w:top w:val="none" w:sz="0" w:space="0" w:color="auto"/>
        <w:left w:val="none" w:sz="0" w:space="0" w:color="auto"/>
        <w:bottom w:val="none" w:sz="0" w:space="0" w:color="auto"/>
        <w:right w:val="none" w:sz="0" w:space="0" w:color="auto"/>
      </w:divBdr>
      <w:divsChild>
        <w:div w:id="49206577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38515105">
              <w:marLeft w:val="0"/>
              <w:marRight w:val="0"/>
              <w:marTop w:val="0"/>
              <w:marBottom w:val="0"/>
              <w:divBdr>
                <w:top w:val="none" w:sz="0" w:space="0" w:color="auto"/>
                <w:left w:val="none" w:sz="0" w:space="0" w:color="auto"/>
                <w:bottom w:val="none" w:sz="0" w:space="0" w:color="auto"/>
                <w:right w:val="none" w:sz="0" w:space="0" w:color="auto"/>
              </w:divBdr>
              <w:divsChild>
                <w:div w:id="862128873">
                  <w:marLeft w:val="0"/>
                  <w:marRight w:val="0"/>
                  <w:marTop w:val="360"/>
                  <w:marBottom w:val="0"/>
                  <w:divBdr>
                    <w:top w:val="single" w:sz="6" w:space="0" w:color="FFFFFF"/>
                    <w:left w:val="single" w:sz="6" w:space="0" w:color="FFFFFF"/>
                    <w:bottom w:val="single" w:sz="6" w:space="0" w:color="FFFFFF"/>
                    <w:right w:val="single" w:sz="6" w:space="0" w:color="FFFFFF"/>
                  </w:divBdr>
                  <w:divsChild>
                    <w:div w:id="854466630">
                      <w:marLeft w:val="0"/>
                      <w:marRight w:val="0"/>
                      <w:marTop w:val="0"/>
                      <w:marBottom w:val="0"/>
                      <w:divBdr>
                        <w:top w:val="none" w:sz="0" w:space="0" w:color="auto"/>
                        <w:left w:val="none" w:sz="0" w:space="0" w:color="auto"/>
                        <w:bottom w:val="none" w:sz="0" w:space="0" w:color="auto"/>
                        <w:right w:val="none" w:sz="0" w:space="0" w:color="auto"/>
                      </w:divBdr>
                      <w:divsChild>
                        <w:div w:id="5698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6B17-E0D5-43FF-A958-8E44D6A9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14</cp:revision>
  <cp:lastPrinted>2016-02-19T19:12:00Z</cp:lastPrinted>
  <dcterms:created xsi:type="dcterms:W3CDTF">2016-02-19T20:25:00Z</dcterms:created>
  <dcterms:modified xsi:type="dcterms:W3CDTF">2016-02-26T22:47:00Z</dcterms:modified>
</cp:coreProperties>
</file>