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89" w:rsidRPr="009123ED" w:rsidRDefault="008D0B89" w:rsidP="009123ED">
      <w:pPr>
        <w:spacing w:line="240" w:lineRule="auto"/>
        <w:rPr>
          <w:b/>
        </w:rPr>
      </w:pPr>
      <w:bookmarkStart w:id="0" w:name="_GoBack"/>
      <w:bookmarkEnd w:id="0"/>
      <w:proofErr w:type="spellStart"/>
      <w:r w:rsidRPr="008D0B89">
        <w:rPr>
          <w:b/>
        </w:rPr>
        <w:t>Storheim</w:t>
      </w:r>
      <w:proofErr w:type="spellEnd"/>
      <w:r w:rsidRPr="008D0B89">
        <w:rPr>
          <w:b/>
        </w:rPr>
        <w:t xml:space="preserve"> K, </w:t>
      </w:r>
      <w:proofErr w:type="spellStart"/>
      <w:r w:rsidRPr="008D0B89">
        <w:rPr>
          <w:b/>
        </w:rPr>
        <w:t>Brox</w:t>
      </w:r>
      <w:proofErr w:type="spellEnd"/>
      <w:r w:rsidRPr="008D0B89">
        <w:rPr>
          <w:b/>
        </w:rPr>
        <w:t xml:space="preserve"> J, Holm I, et al. Intensive Group Training versus Cognitive Intervention in Sub-Acute Low Back Pain: Short-Term Results of a Single-Blind Randomized Controlled Trial. J </w:t>
      </w:r>
      <w:proofErr w:type="spellStart"/>
      <w:r w:rsidRPr="008D0B89">
        <w:rPr>
          <w:b/>
        </w:rPr>
        <w:t>Rehabil</w:t>
      </w:r>
      <w:proofErr w:type="spellEnd"/>
      <w:r w:rsidRPr="008D0B89">
        <w:rPr>
          <w:b/>
        </w:rPr>
        <w:t xml:space="preserve"> Med 2003; 35:132-140.</w:t>
      </w:r>
    </w:p>
    <w:p w:rsidR="00A44500" w:rsidRDefault="00E22BE4" w:rsidP="0046655E">
      <w:pPr>
        <w:spacing w:line="240" w:lineRule="auto"/>
        <w:rPr>
          <w:rFonts w:cs="Times New Roman"/>
          <w:szCs w:val="24"/>
        </w:rPr>
      </w:pPr>
      <w:r w:rsidRPr="00E211D9">
        <w:rPr>
          <w:rFonts w:cs="Times New Roman"/>
          <w:b/>
          <w:szCs w:val="24"/>
        </w:rPr>
        <w:t>Design:</w:t>
      </w:r>
      <w:r>
        <w:rPr>
          <w:rFonts w:cs="Times New Roman"/>
          <w:szCs w:val="24"/>
        </w:rPr>
        <w:t xml:space="preserve"> </w:t>
      </w:r>
      <w:r w:rsidR="00A44500">
        <w:rPr>
          <w:rFonts w:cs="Times New Roman"/>
          <w:szCs w:val="24"/>
        </w:rPr>
        <w:t>Randomized clinical trial</w:t>
      </w:r>
    </w:p>
    <w:p w:rsidR="0001633E" w:rsidRDefault="00871D59" w:rsidP="0046655E">
      <w:pPr>
        <w:spacing w:line="240" w:lineRule="auto"/>
        <w:rPr>
          <w:rFonts w:cs="Times New Roman"/>
          <w:szCs w:val="24"/>
        </w:rPr>
      </w:pPr>
      <w:r w:rsidRPr="00871D59">
        <w:rPr>
          <w:rFonts w:cs="Times New Roman"/>
          <w:b/>
          <w:szCs w:val="24"/>
        </w:rPr>
        <w:t>Objective:</w:t>
      </w:r>
      <w:r w:rsidR="00A325D3">
        <w:rPr>
          <w:rFonts w:cs="Times New Roman"/>
          <w:b/>
          <w:szCs w:val="24"/>
        </w:rPr>
        <w:t xml:space="preserve"> </w:t>
      </w:r>
      <w:r w:rsidR="00A325D3" w:rsidRPr="00A325D3">
        <w:rPr>
          <w:rFonts w:cs="Times New Roman"/>
          <w:szCs w:val="24"/>
        </w:rPr>
        <w:t xml:space="preserve">To </w:t>
      </w:r>
      <w:r w:rsidR="008D0B89">
        <w:rPr>
          <w:rFonts w:cs="Times New Roman"/>
          <w:szCs w:val="24"/>
        </w:rPr>
        <w:t xml:space="preserve">evaluate the short-term effect of physical exercise and a cognitive intervention in </w:t>
      </w:r>
      <w:r w:rsidR="0001633E">
        <w:rPr>
          <w:rFonts w:cs="Times New Roman"/>
          <w:szCs w:val="24"/>
        </w:rPr>
        <w:t xml:space="preserve">sub-acute </w:t>
      </w:r>
      <w:r w:rsidR="008D0B89">
        <w:rPr>
          <w:rFonts w:cs="Times New Roman"/>
          <w:szCs w:val="24"/>
        </w:rPr>
        <w:t xml:space="preserve">low back pain.   </w:t>
      </w:r>
    </w:p>
    <w:p w:rsidR="0006756B" w:rsidRPr="0006756B" w:rsidRDefault="00A44500" w:rsidP="0046655E">
      <w:pPr>
        <w:spacing w:line="240" w:lineRule="auto"/>
        <w:rPr>
          <w:rFonts w:cs="Times New Roman"/>
          <w:b/>
          <w:szCs w:val="24"/>
        </w:rPr>
      </w:pPr>
      <w:r w:rsidRPr="0006756B">
        <w:rPr>
          <w:rFonts w:cs="Times New Roman"/>
          <w:b/>
          <w:szCs w:val="24"/>
        </w:rPr>
        <w:t>Population /sample size/setting</w:t>
      </w:r>
      <w:r w:rsidR="00B16F74" w:rsidRPr="0006756B">
        <w:rPr>
          <w:rFonts w:cs="Times New Roman"/>
          <w:b/>
          <w:szCs w:val="24"/>
        </w:rPr>
        <w:t>/interventions</w:t>
      </w:r>
      <w:r w:rsidRPr="0006756B">
        <w:rPr>
          <w:rFonts w:cs="Times New Roman"/>
          <w:b/>
          <w:szCs w:val="24"/>
        </w:rPr>
        <w:t>:</w:t>
      </w:r>
    </w:p>
    <w:p w:rsidR="00336519" w:rsidRPr="00E60F84" w:rsidRDefault="000C0DCC" w:rsidP="00F25F89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/>
          <w:sz w:val="22"/>
        </w:rPr>
      </w:pPr>
      <w:r w:rsidRPr="00E60F84">
        <w:rPr>
          <w:rFonts w:cs="Times New Roman"/>
          <w:szCs w:val="24"/>
        </w:rPr>
        <w:t>93</w:t>
      </w:r>
      <w:r w:rsidR="00B775D4" w:rsidRPr="00E60F84">
        <w:rPr>
          <w:rFonts w:cs="Times New Roman"/>
          <w:szCs w:val="24"/>
        </w:rPr>
        <w:t xml:space="preserve"> pa</w:t>
      </w:r>
      <w:r w:rsidR="002239B5" w:rsidRPr="00E60F84">
        <w:rPr>
          <w:rFonts w:cs="Times New Roman"/>
          <w:szCs w:val="24"/>
        </w:rPr>
        <w:t xml:space="preserve">rticipants </w:t>
      </w:r>
      <w:r w:rsidR="0003420D" w:rsidRPr="00E60F84">
        <w:rPr>
          <w:rFonts w:cs="Times New Roman"/>
          <w:szCs w:val="24"/>
        </w:rPr>
        <w:t xml:space="preserve">sick-listed from a permanent job for 8-12 weeks due to sub-acute non-specific low back pain </w:t>
      </w:r>
      <w:r w:rsidR="00DF0D14" w:rsidRPr="00E60F84">
        <w:rPr>
          <w:rFonts w:cs="Times New Roman"/>
          <w:szCs w:val="24"/>
        </w:rPr>
        <w:t xml:space="preserve">who </w:t>
      </w:r>
      <w:r w:rsidR="00A60D37" w:rsidRPr="00E60F84">
        <w:rPr>
          <w:rFonts w:cs="Times New Roman"/>
          <w:szCs w:val="24"/>
        </w:rPr>
        <w:t>were re</w:t>
      </w:r>
      <w:r w:rsidR="0003420D" w:rsidRPr="00E60F84">
        <w:rPr>
          <w:rFonts w:cs="Times New Roman"/>
          <w:szCs w:val="24"/>
        </w:rPr>
        <w:t>cruited from the local National Insurance Offices and from general practitioner’s in 2 counties in Norway.</w:t>
      </w:r>
      <w:r w:rsidR="00B775D4" w:rsidRPr="00E60F84">
        <w:rPr>
          <w:rFonts w:cs="Times New Roman"/>
          <w:szCs w:val="24"/>
        </w:rPr>
        <w:t xml:space="preserve"> </w:t>
      </w:r>
      <w:r w:rsidR="00462322" w:rsidRPr="00E60F84">
        <w:rPr>
          <w:rFonts w:cs="Times New Roman"/>
          <w:szCs w:val="24"/>
        </w:rPr>
        <w:t xml:space="preserve">All participants </w:t>
      </w:r>
      <w:r w:rsidR="002239B5" w:rsidRPr="00E60F84">
        <w:rPr>
          <w:rFonts w:cs="Times New Roman"/>
          <w:szCs w:val="24"/>
        </w:rPr>
        <w:t xml:space="preserve">were </w:t>
      </w:r>
      <w:r w:rsidR="00462322" w:rsidRPr="00E60F84">
        <w:rPr>
          <w:rFonts w:cs="Times New Roman"/>
          <w:szCs w:val="24"/>
        </w:rPr>
        <w:t>randomiz</w:t>
      </w:r>
      <w:r w:rsidR="00DF0D14" w:rsidRPr="00E60F84">
        <w:rPr>
          <w:rFonts w:cs="Times New Roman"/>
          <w:szCs w:val="24"/>
        </w:rPr>
        <w:t xml:space="preserve">ed to one of </w:t>
      </w:r>
      <w:r w:rsidR="0003420D" w:rsidRPr="00E60F84">
        <w:rPr>
          <w:rFonts w:cs="Times New Roman"/>
          <w:szCs w:val="24"/>
        </w:rPr>
        <w:t xml:space="preserve">three </w:t>
      </w:r>
      <w:r w:rsidR="002239B5" w:rsidRPr="00E60F84">
        <w:rPr>
          <w:rFonts w:cs="Times New Roman"/>
          <w:szCs w:val="24"/>
        </w:rPr>
        <w:t>interventions; 1)</w:t>
      </w:r>
      <w:r w:rsidR="00336519" w:rsidRPr="00E60F84">
        <w:rPr>
          <w:rFonts w:cs="Times New Roman"/>
          <w:szCs w:val="24"/>
        </w:rPr>
        <w:t xml:space="preserve"> </w:t>
      </w:r>
      <w:r w:rsidR="0003420D" w:rsidRPr="00E60F84">
        <w:rPr>
          <w:rFonts w:cs="Times New Roman"/>
          <w:szCs w:val="24"/>
        </w:rPr>
        <w:t>a physical exercise regime (n=30</w:t>
      </w:r>
      <w:r w:rsidR="00BF7703" w:rsidRPr="00E60F84">
        <w:rPr>
          <w:rFonts w:cs="Times New Roman"/>
          <w:szCs w:val="24"/>
        </w:rPr>
        <w:t>)</w:t>
      </w:r>
      <w:r w:rsidR="002239B5" w:rsidRPr="00E60F84">
        <w:rPr>
          <w:rFonts w:cs="Times New Roman"/>
          <w:szCs w:val="24"/>
        </w:rPr>
        <w:t xml:space="preserve">, 2) </w:t>
      </w:r>
      <w:r w:rsidR="0003420D" w:rsidRPr="00E60F84">
        <w:rPr>
          <w:rFonts w:cs="Times New Roman"/>
          <w:szCs w:val="24"/>
        </w:rPr>
        <w:t>a cognitive</w:t>
      </w:r>
      <w:r w:rsidR="00336519" w:rsidRPr="00E60F84">
        <w:rPr>
          <w:rFonts w:cs="Times New Roman"/>
          <w:szCs w:val="24"/>
        </w:rPr>
        <w:t xml:space="preserve"> intervention </w:t>
      </w:r>
      <w:r w:rsidR="0003420D" w:rsidRPr="00E60F84">
        <w:rPr>
          <w:rFonts w:cs="Times New Roman"/>
          <w:szCs w:val="24"/>
        </w:rPr>
        <w:t>(n=3</w:t>
      </w:r>
      <w:r w:rsidR="00336519" w:rsidRPr="00E60F84">
        <w:rPr>
          <w:rFonts w:cs="Times New Roman"/>
          <w:szCs w:val="24"/>
        </w:rPr>
        <w:t>4</w:t>
      </w:r>
      <w:r w:rsidR="00BF7703" w:rsidRPr="00E60F84">
        <w:rPr>
          <w:rFonts w:cs="Times New Roman"/>
          <w:szCs w:val="24"/>
        </w:rPr>
        <w:t>)</w:t>
      </w:r>
      <w:r w:rsidR="0003420D" w:rsidRPr="00E60F84">
        <w:rPr>
          <w:rFonts w:cs="Times New Roman"/>
          <w:szCs w:val="24"/>
        </w:rPr>
        <w:t>, or a control group (n=29)</w:t>
      </w:r>
      <w:r w:rsidR="00336519" w:rsidRPr="00E60F84">
        <w:rPr>
          <w:rFonts w:cs="Times New Roman"/>
          <w:szCs w:val="24"/>
        </w:rPr>
        <w:t>.</w:t>
      </w:r>
      <w:r w:rsidR="00B0291A" w:rsidRPr="00E60F84">
        <w:rPr>
          <w:rFonts w:cs="Times New Roman"/>
          <w:szCs w:val="24"/>
        </w:rPr>
        <w:t xml:space="preserve"> </w:t>
      </w:r>
    </w:p>
    <w:p w:rsidR="00E60F84" w:rsidRPr="006866BE" w:rsidRDefault="0038359C" w:rsidP="006866BE">
      <w:pPr>
        <w:pStyle w:val="ListParagraph"/>
        <w:numPr>
          <w:ilvl w:val="0"/>
          <w:numId w:val="29"/>
        </w:numPr>
        <w:spacing w:after="0" w:line="240" w:lineRule="auto"/>
      </w:pPr>
      <w:r w:rsidRPr="00383FA1">
        <w:rPr>
          <w:rFonts w:cs="Times New Roman"/>
          <w:szCs w:val="24"/>
        </w:rPr>
        <w:t xml:space="preserve">The </w:t>
      </w:r>
      <w:r w:rsidR="0005165A" w:rsidRPr="00383FA1">
        <w:rPr>
          <w:rFonts w:cs="Times New Roman"/>
          <w:szCs w:val="24"/>
        </w:rPr>
        <w:t xml:space="preserve">physical exercise </w:t>
      </w:r>
      <w:r w:rsidRPr="00383FA1">
        <w:rPr>
          <w:rFonts w:cs="Times New Roman"/>
          <w:szCs w:val="24"/>
        </w:rPr>
        <w:t xml:space="preserve">intervention consisted of an initial </w:t>
      </w:r>
      <w:r w:rsidR="0005165A" w:rsidRPr="00383FA1">
        <w:rPr>
          <w:rFonts w:cs="Times New Roman"/>
          <w:szCs w:val="24"/>
        </w:rPr>
        <w:t xml:space="preserve">standard clinical exam </w:t>
      </w:r>
      <w:r w:rsidRPr="00383FA1">
        <w:rPr>
          <w:rFonts w:cs="Times New Roman"/>
          <w:szCs w:val="24"/>
        </w:rPr>
        <w:t xml:space="preserve">followed by </w:t>
      </w:r>
      <w:r w:rsidR="001B29DA" w:rsidRPr="00383FA1">
        <w:rPr>
          <w:rFonts w:cs="Times New Roman"/>
          <w:szCs w:val="24"/>
        </w:rPr>
        <w:t xml:space="preserve">enrollment in a back training exercise group designed and led by experienced physical </w:t>
      </w:r>
      <w:r w:rsidR="001B29DA" w:rsidRPr="00DA5C12">
        <w:rPr>
          <w:rFonts w:cs="Times New Roman"/>
          <w:szCs w:val="24"/>
        </w:rPr>
        <w:t>therapists</w:t>
      </w:r>
      <w:r w:rsidR="00E60F84" w:rsidRPr="00DA5C12">
        <w:rPr>
          <w:rFonts w:cs="Times New Roman"/>
          <w:szCs w:val="24"/>
        </w:rPr>
        <w:t xml:space="preserve"> focusing on increasing overall fitness</w:t>
      </w:r>
      <w:r w:rsidR="00DA5C12" w:rsidRPr="00DA5C12">
        <w:rPr>
          <w:rFonts w:cs="Times New Roman"/>
          <w:szCs w:val="24"/>
        </w:rPr>
        <w:t>,</w:t>
      </w:r>
      <w:r w:rsidR="00E60F84" w:rsidRPr="00DA5C12">
        <w:rPr>
          <w:rFonts w:cs="Times New Roman"/>
          <w:szCs w:val="24"/>
        </w:rPr>
        <w:t xml:space="preserve"> functional capacity</w:t>
      </w:r>
      <w:r w:rsidR="00DA5C12" w:rsidRPr="00DA5C12">
        <w:rPr>
          <w:rFonts w:cs="Times New Roman"/>
          <w:szCs w:val="24"/>
        </w:rPr>
        <w:t xml:space="preserve">, </w:t>
      </w:r>
      <w:r w:rsidR="00DA5C12" w:rsidRPr="00DA5C12">
        <w:t>cardiovascular fitness, flexibility, body awareness, relaxation, and strength in the thighs, abdominal, and pelvic floor muscles.</w:t>
      </w:r>
      <w:r w:rsidR="006866BE">
        <w:t xml:space="preserve"> </w:t>
      </w:r>
      <w:r w:rsidR="00E60F84" w:rsidRPr="006866BE">
        <w:rPr>
          <w:rFonts w:cs="Times New Roman"/>
          <w:szCs w:val="24"/>
        </w:rPr>
        <w:t>The exercise period was 15 weeks with at least 2 one-hour sessions per week, preferably 3.</w:t>
      </w:r>
      <w:r w:rsidR="001B29DA" w:rsidRPr="006866BE">
        <w:rPr>
          <w:rFonts w:cs="Times New Roman"/>
          <w:szCs w:val="24"/>
        </w:rPr>
        <w:t xml:space="preserve"> </w:t>
      </w:r>
      <w:r w:rsidR="00E60F84" w:rsidRPr="006866BE">
        <w:rPr>
          <w:rFonts w:cs="Times New Roman"/>
          <w:szCs w:val="24"/>
        </w:rPr>
        <w:t>Patients started at the lowest intensity level and could enter into more advanced classes as they progressed.</w:t>
      </w:r>
    </w:p>
    <w:p w:rsidR="0038359C" w:rsidRDefault="00E60F84" w:rsidP="00383F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83FA1">
        <w:rPr>
          <w:rFonts w:cs="Times New Roman"/>
          <w:szCs w:val="24"/>
        </w:rPr>
        <w:t xml:space="preserve">The cognitive intervention also consisted of an </w:t>
      </w:r>
      <w:r w:rsidR="006866BE">
        <w:rPr>
          <w:rFonts w:cs="Times New Roman"/>
          <w:szCs w:val="24"/>
        </w:rPr>
        <w:t>initial standard clinical exam followed by two 30 to 60 minute</w:t>
      </w:r>
      <w:r w:rsidR="004038EE" w:rsidRPr="00383FA1">
        <w:rPr>
          <w:rFonts w:cs="Times New Roman"/>
          <w:szCs w:val="24"/>
        </w:rPr>
        <w:t xml:space="preserve"> consultations with the physical medicine specialist and the physical therapist. The consultation included an explanation of pain mechanisms, </w:t>
      </w:r>
      <w:r w:rsidR="00383FA1" w:rsidRPr="00383FA1">
        <w:rPr>
          <w:rFonts w:cs="Times New Roman"/>
          <w:szCs w:val="24"/>
        </w:rPr>
        <w:t>and reassurance that it is safe to move. Also include</w:t>
      </w:r>
      <w:r w:rsidR="00383FA1">
        <w:rPr>
          <w:rFonts w:cs="Times New Roman"/>
          <w:szCs w:val="24"/>
        </w:rPr>
        <w:t>d</w:t>
      </w:r>
      <w:r w:rsidR="00383FA1" w:rsidRPr="00383FA1">
        <w:rPr>
          <w:rFonts w:cs="Times New Roman"/>
          <w:szCs w:val="24"/>
        </w:rPr>
        <w:t xml:space="preserve"> were coping strategies and </w:t>
      </w:r>
      <w:r w:rsidR="004038EE" w:rsidRPr="00383FA1">
        <w:rPr>
          <w:rFonts w:cs="Times New Roman"/>
          <w:szCs w:val="24"/>
        </w:rPr>
        <w:t>instruction and advice on using certain muscles and on the proper squat technique. No treatment was referred.</w:t>
      </w:r>
    </w:p>
    <w:p w:rsidR="00383FA1" w:rsidRDefault="00383FA1" w:rsidP="00383F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Patients in the control group were treated by their general practitioner and had no restrictions of treatments or referrals.</w:t>
      </w:r>
    </w:p>
    <w:p w:rsidR="00B31FC0" w:rsidRDefault="00B31FC0" w:rsidP="00B31FC0">
      <w:pPr>
        <w:pStyle w:val="ListParagraph"/>
        <w:numPr>
          <w:ilvl w:val="0"/>
          <w:numId w:val="12"/>
        </w:numPr>
        <w:spacing w:line="240" w:lineRule="auto"/>
      </w:pPr>
      <w:r w:rsidRPr="00B31FC0">
        <w:rPr>
          <w:rFonts w:cs="Times New Roman"/>
          <w:szCs w:val="24"/>
        </w:rPr>
        <w:t xml:space="preserve">Eligibility criteria included </w:t>
      </w:r>
      <w:r>
        <w:t>s</w:t>
      </w:r>
      <w:r w:rsidRPr="00B31FC0">
        <w:t>ick-listed from a permanent job for 8-12 weeks due to non-specific LBP, 20-60 years</w:t>
      </w:r>
      <w:r>
        <w:t xml:space="preserve"> of age, understanding</w:t>
      </w:r>
      <w:r w:rsidRPr="00B31FC0">
        <w:t xml:space="preserve"> Norwegian, accessibility to follow all 3-treatment alternatives, </w:t>
      </w:r>
      <w:r>
        <w:t xml:space="preserve">and </w:t>
      </w:r>
      <w:r w:rsidRPr="00B31FC0">
        <w:t xml:space="preserve">conducting regular physical exercise less than 3 times per week for </w:t>
      </w:r>
      <w:r>
        <w:t xml:space="preserve">the </w:t>
      </w:r>
      <w:r w:rsidRPr="00B31FC0">
        <w:t>last 6 months</w:t>
      </w:r>
      <w:r>
        <w:t>.</w:t>
      </w:r>
    </w:p>
    <w:p w:rsidR="00CE5853" w:rsidRPr="00B31FC0" w:rsidRDefault="00B31FC0" w:rsidP="00B31FC0">
      <w:pPr>
        <w:pStyle w:val="ListParagraph"/>
        <w:numPr>
          <w:ilvl w:val="0"/>
          <w:numId w:val="12"/>
        </w:numPr>
        <w:spacing w:line="240" w:lineRule="auto"/>
      </w:pPr>
      <w:r w:rsidRPr="00B31FC0">
        <w:rPr>
          <w:rFonts w:cs="Times New Roman"/>
          <w:szCs w:val="24"/>
        </w:rPr>
        <w:t xml:space="preserve">Exclusion criteria included </w:t>
      </w:r>
      <w:r>
        <w:t>s</w:t>
      </w:r>
      <w:r w:rsidRPr="00B31FC0">
        <w:t>ciatic pain, spinal stenosis with neurological affection, spondylolysis or spondylolisthesis &gt; grade 2, spinal fracture, tumor, or infection, abuse of drugs or alcohol, rheumatic diseases, back surgery, pregnancy, or diseases that might interfere with participation.</w:t>
      </w:r>
    </w:p>
    <w:p w:rsidR="00C57626" w:rsidRPr="00CE5853" w:rsidRDefault="00C57626" w:rsidP="008F0C88">
      <w:pPr>
        <w:spacing w:line="240" w:lineRule="auto"/>
        <w:rPr>
          <w:rFonts w:cs="Times New Roman"/>
          <w:b/>
          <w:szCs w:val="24"/>
        </w:rPr>
      </w:pPr>
      <w:r w:rsidRPr="00CE5853">
        <w:rPr>
          <w:rFonts w:cs="Times New Roman"/>
          <w:b/>
          <w:szCs w:val="24"/>
        </w:rPr>
        <w:t>Main outcome measures:</w:t>
      </w:r>
    </w:p>
    <w:p w:rsidR="0011422C" w:rsidRPr="00566753" w:rsidRDefault="0011422C" w:rsidP="00EF6585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566753">
        <w:rPr>
          <w:szCs w:val="24"/>
        </w:rPr>
        <w:t>The primary outcome measure</w:t>
      </w:r>
      <w:r w:rsidR="00566753" w:rsidRPr="00566753">
        <w:rPr>
          <w:szCs w:val="24"/>
        </w:rPr>
        <w:t>s were</w:t>
      </w:r>
      <w:r w:rsidRPr="00566753">
        <w:rPr>
          <w:szCs w:val="24"/>
        </w:rPr>
        <w:t xml:space="preserve"> </w:t>
      </w:r>
      <w:r w:rsidRPr="00566753">
        <w:t>pain (</w:t>
      </w:r>
      <w:r w:rsidR="00566753">
        <w:t xml:space="preserve">two </w:t>
      </w:r>
      <w:r w:rsidRPr="00566753">
        <w:t xml:space="preserve">VAS scales), disability (RMDQ), </w:t>
      </w:r>
      <w:r w:rsidR="00566753">
        <w:t xml:space="preserve">and </w:t>
      </w:r>
      <w:r w:rsidRPr="00566753">
        <w:t xml:space="preserve">sick-listing </w:t>
      </w:r>
      <w:r w:rsidR="00566753">
        <w:t>(number of working days lost in 18 weeks).</w:t>
      </w:r>
    </w:p>
    <w:p w:rsidR="00566753" w:rsidRPr="00566753" w:rsidRDefault="00566753" w:rsidP="00EF6585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566753">
        <w:rPr>
          <w:szCs w:val="24"/>
        </w:rPr>
        <w:t xml:space="preserve">Secondary outcome measures included </w:t>
      </w:r>
      <w:r w:rsidRPr="00566753">
        <w:t xml:space="preserve">self-efficacy </w:t>
      </w:r>
      <w:r>
        <w:t xml:space="preserve">beliefs </w:t>
      </w:r>
      <w:r w:rsidRPr="00566753">
        <w:t>for pain and function, fear-avoidance beliefs (</w:t>
      </w:r>
      <w:r>
        <w:t xml:space="preserve">Fear-Avoidance Belief Questionnaire, </w:t>
      </w:r>
      <w:r w:rsidRPr="00566753">
        <w:t>FABQ), emotional distress (</w:t>
      </w:r>
      <w:r>
        <w:t xml:space="preserve">Hopkins Symptom Checklist, </w:t>
      </w:r>
      <w:r w:rsidRPr="00566753">
        <w:t>HSCL-25), generic health status (SF-36</w:t>
      </w:r>
      <w:r>
        <w:t xml:space="preserve"> Health Survey</w:t>
      </w:r>
      <w:r w:rsidRPr="00566753">
        <w:t>)</w:t>
      </w:r>
      <w:r>
        <w:t xml:space="preserve">, </w:t>
      </w:r>
      <w:r w:rsidRPr="00566753">
        <w:t>and life satisfaction</w:t>
      </w:r>
      <w:r>
        <w:t xml:space="preserve"> (</w:t>
      </w:r>
      <w:proofErr w:type="spellStart"/>
      <w:r>
        <w:t>Cantrils</w:t>
      </w:r>
      <w:proofErr w:type="spellEnd"/>
      <w:r>
        <w:t xml:space="preserve"> Ladder S</w:t>
      </w:r>
      <w:r w:rsidRPr="00566753">
        <w:t>cale).</w:t>
      </w:r>
    </w:p>
    <w:p w:rsidR="00752A63" w:rsidRDefault="00986A06" w:rsidP="00EF6585">
      <w:pPr>
        <w:pStyle w:val="ListParagraph"/>
        <w:numPr>
          <w:ilvl w:val="0"/>
          <w:numId w:val="2"/>
        </w:numPr>
        <w:spacing w:line="240" w:lineRule="auto"/>
      </w:pPr>
      <w:r w:rsidRPr="00DA5C12">
        <w:t xml:space="preserve">Outcome </w:t>
      </w:r>
      <w:r w:rsidR="00874367" w:rsidRPr="00DA5C12">
        <w:t xml:space="preserve">measures were </w:t>
      </w:r>
      <w:r w:rsidR="00752A63" w:rsidRPr="00DA5C12">
        <w:t xml:space="preserve">recorded </w:t>
      </w:r>
      <w:r w:rsidR="00874367" w:rsidRPr="00DA5C12">
        <w:t xml:space="preserve">at </w:t>
      </w:r>
      <w:r w:rsidR="00DA5C12" w:rsidRPr="00DA5C12">
        <w:t>18</w:t>
      </w:r>
      <w:r w:rsidR="00677502" w:rsidRPr="00DA5C12">
        <w:t xml:space="preserve"> </w:t>
      </w:r>
      <w:r w:rsidR="00B16E0E" w:rsidRPr="00DA5C12">
        <w:t>week</w:t>
      </w:r>
      <w:r w:rsidR="00677502" w:rsidRPr="00DA5C12">
        <w:t>s</w:t>
      </w:r>
      <w:r w:rsidR="006678FF" w:rsidRPr="00DA5C12">
        <w:t>.</w:t>
      </w:r>
    </w:p>
    <w:p w:rsidR="00DA5C12" w:rsidRPr="00DA5C12" w:rsidRDefault="00DA5C12" w:rsidP="00DA5C12">
      <w:pPr>
        <w:pStyle w:val="ListParagraph"/>
        <w:numPr>
          <w:ilvl w:val="0"/>
          <w:numId w:val="2"/>
        </w:numPr>
        <w:spacing w:after="0" w:line="240" w:lineRule="auto"/>
      </w:pPr>
      <w:r w:rsidRPr="00DA5C12">
        <w:lastRenderedPageBreak/>
        <w:t xml:space="preserve">17 </w:t>
      </w:r>
      <w:r>
        <w:t xml:space="preserve">(18.3%) </w:t>
      </w:r>
      <w:r w:rsidRPr="00DA5C12">
        <w:t xml:space="preserve">participants withdrew prior to 18 weeks: 2 </w:t>
      </w:r>
      <w:r>
        <w:t>(5.9%</w:t>
      </w:r>
      <w:proofErr w:type="gramStart"/>
      <w:r>
        <w:t>)</w:t>
      </w:r>
      <w:r w:rsidRPr="00DA5C12">
        <w:t>from</w:t>
      </w:r>
      <w:proofErr w:type="gramEnd"/>
      <w:r w:rsidRPr="00DA5C12">
        <w:t xml:space="preserve"> the cognitive group, 9 </w:t>
      </w:r>
      <w:r>
        <w:t xml:space="preserve">(30%) </w:t>
      </w:r>
      <w:r w:rsidRPr="00DA5C12">
        <w:t xml:space="preserve">from the exercise group, and 6 </w:t>
      </w:r>
      <w:r>
        <w:t xml:space="preserve">(20.7%) </w:t>
      </w:r>
      <w:r w:rsidRPr="00DA5C12">
        <w:t>from the control group</w:t>
      </w:r>
      <w:r w:rsidR="006866BE">
        <w:t>.</w:t>
      </w:r>
    </w:p>
    <w:p w:rsidR="00DA5C12" w:rsidRDefault="00DA5C12" w:rsidP="00DA5C12">
      <w:pPr>
        <w:pStyle w:val="ListParagraph"/>
        <w:numPr>
          <w:ilvl w:val="1"/>
          <w:numId w:val="2"/>
        </w:numPr>
        <w:spacing w:after="0" w:line="240" w:lineRule="auto"/>
      </w:pPr>
      <w:r w:rsidRPr="00DA5C12">
        <w:t>The baseline values were carried forward for the reported analyses, so that the participants who withdrew were recorded as if they ha</w:t>
      </w:r>
      <w:r w:rsidR="00F8469C">
        <w:t xml:space="preserve">d the same pain and disability </w:t>
      </w:r>
      <w:r w:rsidRPr="00DA5C12">
        <w:t>scores at the end of treatment that they had at the beginning</w:t>
      </w:r>
      <w:r w:rsidR="00F8469C">
        <w:t>.</w:t>
      </w:r>
    </w:p>
    <w:p w:rsidR="00F8469C" w:rsidRPr="00DA5C12" w:rsidRDefault="00F8469C" w:rsidP="00DA5C12">
      <w:pPr>
        <w:pStyle w:val="ListParagraph"/>
        <w:numPr>
          <w:ilvl w:val="1"/>
          <w:numId w:val="2"/>
        </w:numPr>
        <w:spacing w:after="0" w:line="240" w:lineRule="auto"/>
      </w:pPr>
      <w:r>
        <w:t>Dropouts were more likely to be men and more dropouts were living alone.</w:t>
      </w:r>
    </w:p>
    <w:p w:rsidR="00DA5C12" w:rsidRPr="00DA5C12" w:rsidRDefault="00DA5C12" w:rsidP="00DA5C12">
      <w:pPr>
        <w:pStyle w:val="ListParagraph"/>
        <w:numPr>
          <w:ilvl w:val="0"/>
          <w:numId w:val="2"/>
        </w:numPr>
        <w:spacing w:after="0" w:line="240" w:lineRule="auto"/>
      </w:pPr>
      <w:r w:rsidRPr="00DA5C12">
        <w:t xml:space="preserve">Compared with the control group, the exercise group had a </w:t>
      </w:r>
      <w:r w:rsidR="006866BE">
        <w:t xml:space="preserve">significant </w:t>
      </w:r>
      <w:r w:rsidRPr="00DA5C12">
        <w:t>reduction in pain intensity of 28.7 points on a scale from 0 to 100</w:t>
      </w:r>
      <w:r w:rsidR="00C94304">
        <w:t xml:space="preserve"> (P=0.04)</w:t>
      </w:r>
      <w:r w:rsidR="00F8469C">
        <w:t>.</w:t>
      </w:r>
    </w:p>
    <w:p w:rsidR="00DA5C12" w:rsidRPr="00DA5C12" w:rsidRDefault="00DA5C12" w:rsidP="00DA5C12">
      <w:pPr>
        <w:pStyle w:val="ListParagraph"/>
        <w:numPr>
          <w:ilvl w:val="0"/>
          <w:numId w:val="2"/>
        </w:numPr>
        <w:spacing w:after="0" w:line="240" w:lineRule="auto"/>
      </w:pPr>
      <w:r w:rsidRPr="00DA5C12">
        <w:t xml:space="preserve">Compared to the control group, the cognitive group had a </w:t>
      </w:r>
      <w:r w:rsidR="006866BE">
        <w:t xml:space="preserve">significant </w:t>
      </w:r>
      <w:r w:rsidRPr="00DA5C12">
        <w:t>reduction in disability of 1.9 points on the 24 point Roland-Morris scale</w:t>
      </w:r>
      <w:r w:rsidR="00C94304">
        <w:t xml:space="preserve"> (P=0.02)</w:t>
      </w:r>
      <w:r w:rsidR="00F8469C">
        <w:t>.</w:t>
      </w:r>
    </w:p>
    <w:p w:rsidR="008F3716" w:rsidRPr="004D5017" w:rsidRDefault="00DA5C12" w:rsidP="00F8469C">
      <w:pPr>
        <w:pStyle w:val="ListParagraph"/>
        <w:numPr>
          <w:ilvl w:val="0"/>
          <w:numId w:val="2"/>
        </w:numPr>
        <w:spacing w:after="0" w:line="240" w:lineRule="auto"/>
      </w:pPr>
      <w:r w:rsidRPr="004D5017">
        <w:t>The exercise and cognitive groups did not differ in pain and disability improvements at the 18-week evaluation</w:t>
      </w:r>
      <w:r w:rsidR="00F8469C" w:rsidRPr="004D5017">
        <w:t>.</w:t>
      </w:r>
    </w:p>
    <w:p w:rsidR="000D2EDE" w:rsidRPr="00020655" w:rsidRDefault="000D2EDE" w:rsidP="0002065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  <w:szCs w:val="24"/>
        </w:rPr>
      </w:pPr>
      <w:r w:rsidRPr="000D2EDE">
        <w:rPr>
          <w:rFonts w:cs="Times New Roman"/>
          <w:szCs w:val="24"/>
        </w:rPr>
        <w:t>Sick-listing showed no differences between the treatment groups.</w:t>
      </w:r>
    </w:p>
    <w:p w:rsidR="00113473" w:rsidRPr="000D2EDE" w:rsidRDefault="000D2EDE" w:rsidP="000D2EDE">
      <w:pPr>
        <w:spacing w:line="240" w:lineRule="auto"/>
        <w:rPr>
          <w:rFonts w:cs="Times New Roman"/>
          <w:b/>
          <w:szCs w:val="24"/>
        </w:rPr>
      </w:pPr>
      <w:r w:rsidRPr="000D2EDE">
        <w:rPr>
          <w:rFonts w:cs="Times New Roman"/>
          <w:b/>
          <w:szCs w:val="24"/>
        </w:rPr>
        <w:t xml:space="preserve"> </w:t>
      </w:r>
      <w:r w:rsidR="00113473" w:rsidRPr="000D2EDE">
        <w:rPr>
          <w:rFonts w:cs="Times New Roman"/>
          <w:b/>
          <w:szCs w:val="24"/>
        </w:rPr>
        <w:t>Authors’ conclusions:</w:t>
      </w:r>
    </w:p>
    <w:p w:rsidR="008B3AF7" w:rsidRPr="008B3AF7" w:rsidRDefault="008B3AF7" w:rsidP="008B3AF7">
      <w:pPr>
        <w:pStyle w:val="ListParagraph"/>
        <w:numPr>
          <w:ilvl w:val="0"/>
          <w:numId w:val="26"/>
        </w:numPr>
        <w:spacing w:after="0" w:line="240" w:lineRule="auto"/>
      </w:pPr>
      <w:r w:rsidRPr="008B3AF7">
        <w:t xml:space="preserve">The cognitive group improved in disability, the exercise group improved in pain, but none of the interventions </w:t>
      </w:r>
      <w:r w:rsidR="006866BE">
        <w:t>decreas</w:t>
      </w:r>
      <w:r w:rsidRPr="008B3AF7">
        <w:t>ed sick leave time</w:t>
      </w:r>
      <w:r>
        <w:t>.</w:t>
      </w:r>
    </w:p>
    <w:p w:rsidR="008B3AF7" w:rsidRDefault="008B3AF7" w:rsidP="008B3AF7">
      <w:pPr>
        <w:pStyle w:val="ListParagraph"/>
        <w:numPr>
          <w:ilvl w:val="0"/>
          <w:numId w:val="26"/>
        </w:numPr>
        <w:spacing w:after="0" w:line="240" w:lineRule="auto"/>
      </w:pPr>
      <w:r w:rsidRPr="008B3AF7">
        <w:t>The dropouts (9 of 30) in the exercise group may have left that analysis underpowered for comparison with the other groups</w:t>
      </w:r>
      <w:r>
        <w:t>.</w:t>
      </w:r>
    </w:p>
    <w:p w:rsidR="008B3AF7" w:rsidRPr="008B3AF7" w:rsidRDefault="008B3AF7" w:rsidP="008B3AF7">
      <w:pPr>
        <w:pStyle w:val="ListParagraph"/>
        <w:spacing w:after="0" w:line="240" w:lineRule="auto"/>
      </w:pPr>
    </w:p>
    <w:p w:rsidR="000F1426" w:rsidRPr="008B3AF7" w:rsidRDefault="000F1426" w:rsidP="008B3AF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8B3AF7">
        <w:rPr>
          <w:rFonts w:cs="Times New Roman"/>
          <w:b/>
          <w:szCs w:val="24"/>
        </w:rPr>
        <w:t>Comments:</w:t>
      </w:r>
    </w:p>
    <w:p w:rsidR="001352F5" w:rsidRPr="008168A4" w:rsidRDefault="001352F5" w:rsidP="001352F5">
      <w:pPr>
        <w:spacing w:after="0" w:line="240" w:lineRule="auto"/>
        <w:rPr>
          <w:rFonts w:cs="Times New Roman"/>
          <w:szCs w:val="24"/>
          <w:highlight w:val="yellow"/>
        </w:rPr>
      </w:pPr>
    </w:p>
    <w:p w:rsidR="006D5A78" w:rsidRPr="008B3AF7" w:rsidRDefault="00A9612B" w:rsidP="008B3AF7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Cs w:val="24"/>
        </w:rPr>
      </w:pPr>
      <w:r w:rsidRPr="00FE26F4">
        <w:rPr>
          <w:rFonts w:cs="Times New Roman"/>
          <w:szCs w:val="24"/>
        </w:rPr>
        <w:t>This is a well</w:t>
      </w:r>
      <w:r w:rsidR="00E526A9" w:rsidRPr="00FE26F4">
        <w:rPr>
          <w:rFonts w:cs="Times New Roman"/>
          <w:szCs w:val="24"/>
        </w:rPr>
        <w:t>-</w:t>
      </w:r>
      <w:r w:rsidRPr="00FE26F4">
        <w:rPr>
          <w:rFonts w:cs="Times New Roman"/>
          <w:szCs w:val="24"/>
        </w:rPr>
        <w:t>designed and documented study.</w:t>
      </w:r>
    </w:p>
    <w:p w:rsidR="005A2C41" w:rsidRDefault="008B3AF7" w:rsidP="007F585B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inclusion </w:t>
      </w:r>
      <w:r w:rsidR="005A2C41" w:rsidRPr="009278E6">
        <w:rPr>
          <w:rFonts w:cs="Times New Roman"/>
          <w:szCs w:val="24"/>
        </w:rPr>
        <w:t xml:space="preserve">of a nontreatment control group </w:t>
      </w:r>
      <w:r w:rsidR="00AC19AB">
        <w:rPr>
          <w:rFonts w:cs="Times New Roman"/>
          <w:szCs w:val="24"/>
        </w:rPr>
        <w:t xml:space="preserve">is </w:t>
      </w:r>
      <w:proofErr w:type="gramStart"/>
      <w:r w:rsidR="00AC19AB">
        <w:rPr>
          <w:rFonts w:cs="Times New Roman"/>
          <w:szCs w:val="24"/>
        </w:rPr>
        <w:t xml:space="preserve">a </w:t>
      </w:r>
      <w:r w:rsidR="006866BE">
        <w:rPr>
          <w:rFonts w:cs="Times New Roman"/>
          <w:szCs w:val="24"/>
        </w:rPr>
        <w:t>strength</w:t>
      </w:r>
      <w:proofErr w:type="gramEnd"/>
      <w:r w:rsidR="006866BE">
        <w:rPr>
          <w:rFonts w:cs="Times New Roman"/>
          <w:szCs w:val="24"/>
        </w:rPr>
        <w:t xml:space="preserve"> of this study </w:t>
      </w:r>
      <w:r w:rsidR="00AC19AB">
        <w:rPr>
          <w:rFonts w:cs="Times New Roman"/>
          <w:szCs w:val="24"/>
        </w:rPr>
        <w:t>meaning</w:t>
      </w:r>
      <w:r w:rsidR="005A2C41" w:rsidRPr="009278E6">
        <w:rPr>
          <w:rFonts w:cs="Times New Roman"/>
          <w:szCs w:val="24"/>
        </w:rPr>
        <w:t xml:space="preserve"> th</w:t>
      </w:r>
      <w:r>
        <w:rPr>
          <w:rFonts w:cs="Times New Roman"/>
          <w:szCs w:val="24"/>
        </w:rPr>
        <w:t>at definitive conclusions can</w:t>
      </w:r>
      <w:r w:rsidR="005A2C41" w:rsidRPr="009278E6">
        <w:rPr>
          <w:rFonts w:cs="Times New Roman"/>
          <w:szCs w:val="24"/>
        </w:rPr>
        <w:t xml:space="preserve"> be drawn</w:t>
      </w:r>
      <w:r>
        <w:rPr>
          <w:rFonts w:cs="Times New Roman"/>
          <w:szCs w:val="24"/>
        </w:rPr>
        <w:t>, since the</w:t>
      </w:r>
      <w:r w:rsidR="005A2C41" w:rsidRPr="009278E6">
        <w:rPr>
          <w:rFonts w:cs="Times New Roman"/>
          <w:szCs w:val="24"/>
        </w:rPr>
        <w:t xml:space="preserve"> results </w:t>
      </w:r>
      <w:r>
        <w:rPr>
          <w:rFonts w:cs="Times New Roman"/>
          <w:szCs w:val="24"/>
        </w:rPr>
        <w:t xml:space="preserve">have definitely </w:t>
      </w:r>
      <w:r w:rsidR="005A2C41" w:rsidRPr="009278E6">
        <w:rPr>
          <w:rFonts w:cs="Times New Roman"/>
          <w:szCs w:val="24"/>
        </w:rPr>
        <w:t xml:space="preserve">occurred due to </w:t>
      </w:r>
      <w:r w:rsidR="000A525E" w:rsidRPr="009278E6">
        <w:rPr>
          <w:rFonts w:cs="Times New Roman"/>
          <w:szCs w:val="24"/>
        </w:rPr>
        <w:t xml:space="preserve">the 2 treatment interventions of the study </w:t>
      </w:r>
      <w:r w:rsidR="000A525E">
        <w:rPr>
          <w:rFonts w:cs="Times New Roman"/>
          <w:szCs w:val="24"/>
        </w:rPr>
        <w:t xml:space="preserve">and </w:t>
      </w:r>
      <w:r w:rsidR="00AC19AB">
        <w:rPr>
          <w:rFonts w:cs="Times New Roman"/>
          <w:szCs w:val="24"/>
        </w:rPr>
        <w:t xml:space="preserve">are </w:t>
      </w:r>
      <w:r w:rsidR="000A525E">
        <w:rPr>
          <w:rFonts w:cs="Times New Roman"/>
          <w:szCs w:val="24"/>
        </w:rPr>
        <w:t xml:space="preserve">not </w:t>
      </w:r>
      <w:r w:rsidR="00AC19AB">
        <w:rPr>
          <w:rFonts w:cs="Times New Roman"/>
          <w:szCs w:val="24"/>
        </w:rPr>
        <w:t xml:space="preserve">due to </w:t>
      </w:r>
      <w:r w:rsidR="005A2C41" w:rsidRPr="009278E6">
        <w:rPr>
          <w:rFonts w:cs="Times New Roman"/>
          <w:szCs w:val="24"/>
        </w:rPr>
        <w:t>the natural history of back pain.</w:t>
      </w:r>
    </w:p>
    <w:p w:rsidR="000A525E" w:rsidRDefault="000A525E" w:rsidP="000A525E">
      <w:pPr>
        <w:pStyle w:val="ListParagraph"/>
        <w:numPr>
          <w:ilvl w:val="0"/>
          <w:numId w:val="1"/>
        </w:numPr>
        <w:spacing w:line="240" w:lineRule="auto"/>
      </w:pPr>
      <w:r>
        <w:t xml:space="preserve">The attrition rate is high (38.7%) when both dropouts and those not adhering to the protocol are considered.  </w:t>
      </w:r>
    </w:p>
    <w:p w:rsidR="000A525E" w:rsidRDefault="000A525E" w:rsidP="000A525E">
      <w:pPr>
        <w:pStyle w:val="ListParagraph"/>
        <w:numPr>
          <w:ilvl w:val="0"/>
          <w:numId w:val="1"/>
        </w:numPr>
        <w:spacing w:line="240" w:lineRule="auto"/>
      </w:pPr>
      <w:r>
        <w:t xml:space="preserve">The study is underpowered to observe clinically significant differences between treatment groups and within treatment groups.   </w:t>
      </w:r>
    </w:p>
    <w:p w:rsidR="000A525E" w:rsidRPr="000A525E" w:rsidRDefault="000A525E" w:rsidP="000A525E">
      <w:pPr>
        <w:pStyle w:val="ListParagraph"/>
        <w:numPr>
          <w:ilvl w:val="0"/>
          <w:numId w:val="1"/>
        </w:numPr>
        <w:spacing w:after="0" w:line="240" w:lineRule="auto"/>
      </w:pPr>
      <w:r w:rsidRPr="000A525E">
        <w:t>The dropouts in the exercise group were counted as if they had the same pain scores at the end of the study as at the beginning</w:t>
      </w:r>
      <w:r>
        <w:t>.</w:t>
      </w:r>
    </w:p>
    <w:p w:rsidR="000A525E" w:rsidRPr="000A525E" w:rsidRDefault="000A525E" w:rsidP="000A525E">
      <w:pPr>
        <w:pStyle w:val="ListParagraph"/>
        <w:numPr>
          <w:ilvl w:val="1"/>
          <w:numId w:val="1"/>
        </w:numPr>
        <w:spacing w:after="0" w:line="240" w:lineRule="auto"/>
      </w:pPr>
      <w:r w:rsidRPr="000A525E">
        <w:t>This analysis assumes that the dropouts did not withdraw because of pain becoming greater with exercise; if they withdrew because of worsening pain with the particular exercise program, the authors’ analysis will miss that development</w:t>
      </w:r>
      <w:r>
        <w:t>.</w:t>
      </w:r>
    </w:p>
    <w:p w:rsidR="000A525E" w:rsidRPr="000A525E" w:rsidRDefault="000A525E" w:rsidP="000A525E">
      <w:pPr>
        <w:pStyle w:val="ListParagraph"/>
        <w:numPr>
          <w:ilvl w:val="1"/>
          <w:numId w:val="1"/>
        </w:numPr>
        <w:spacing w:after="0" w:line="240" w:lineRule="auto"/>
      </w:pPr>
      <w:r w:rsidRPr="000A525E">
        <w:t>The number of dropouts in the exercise group means that it is better not to draw conclusions about its effect on pain</w:t>
      </w:r>
      <w:r>
        <w:t>.</w:t>
      </w:r>
    </w:p>
    <w:p w:rsidR="000A525E" w:rsidRPr="000A525E" w:rsidRDefault="000A525E" w:rsidP="000A525E">
      <w:pPr>
        <w:pStyle w:val="ListParagraph"/>
        <w:numPr>
          <w:ilvl w:val="0"/>
          <w:numId w:val="1"/>
        </w:numPr>
        <w:spacing w:after="0" w:line="240" w:lineRule="auto"/>
      </w:pPr>
      <w:r w:rsidRPr="000A525E">
        <w:t>The withdrawal rate in the cognitive group is low enough to be acceptable for purposes of the statistical analysis, and also can be regarded as an outcome of interest; if cognitive intervention is more acceptable than a vigorous exercise program for patients with low back pain, that has implications for decision-making in that population</w:t>
      </w:r>
      <w:r>
        <w:t>.</w:t>
      </w:r>
    </w:p>
    <w:p w:rsidR="000A525E" w:rsidRDefault="000A525E" w:rsidP="000A525E">
      <w:pPr>
        <w:pStyle w:val="ListParagraph"/>
        <w:numPr>
          <w:ilvl w:val="1"/>
          <w:numId w:val="1"/>
        </w:numPr>
        <w:spacing w:after="0" w:line="240" w:lineRule="auto"/>
      </w:pPr>
      <w:r w:rsidRPr="000A525E">
        <w:t>The high dropout rate clouds the treatment effect only for the exercise group, not for the cognitive group</w:t>
      </w:r>
      <w:r>
        <w:t>.</w:t>
      </w:r>
    </w:p>
    <w:p w:rsidR="002B3B19" w:rsidRPr="000A525E" w:rsidRDefault="002B3B19" w:rsidP="002B3B19">
      <w:pPr>
        <w:pStyle w:val="ListParagraph"/>
        <w:numPr>
          <w:ilvl w:val="0"/>
          <w:numId w:val="1"/>
        </w:numPr>
        <w:spacing w:after="0" w:line="240" w:lineRule="auto"/>
      </w:pPr>
      <w:r>
        <w:t>The cognitive group improved and showed a clinically relevant reduction in disability of 3.5</w:t>
      </w:r>
      <w:r w:rsidRPr="00DA5C12">
        <w:t xml:space="preserve"> points on the 24 point Roland-Morris scale</w:t>
      </w:r>
      <w:r>
        <w:t xml:space="preserve"> which exceeded the clinically relevant threshold of 2 points. The control group also improved and showed a reduction in </w:t>
      </w:r>
      <w:r>
        <w:lastRenderedPageBreak/>
        <w:t>disability of 1.6 points</w:t>
      </w:r>
      <w:r w:rsidR="004D4B96">
        <w:t>, but this reduction did not meet the criteria for clinically relevant.</w:t>
      </w:r>
      <w:r>
        <w:t xml:space="preserve"> </w:t>
      </w:r>
      <w:r w:rsidR="004D4B96">
        <w:t xml:space="preserve">Even though </w:t>
      </w:r>
      <w:r w:rsidR="004D4B96" w:rsidRPr="00DA5C12">
        <w:t xml:space="preserve">the cognitive group </w:t>
      </w:r>
      <w:r w:rsidR="004D4B96">
        <w:t>met the clinically relevant threshold, there is still uncertainty about the magnitude of the difference between the cognitive group and the control group due to wide confidence intervals</w:t>
      </w:r>
      <w:r w:rsidR="00D270BE">
        <w:t xml:space="preserve"> (-3.8 to -0.06)</w:t>
      </w:r>
      <w:r w:rsidR="004D4B96">
        <w:t>.</w:t>
      </w:r>
    </w:p>
    <w:p w:rsidR="006C7AD2" w:rsidRDefault="000A525E" w:rsidP="006C7AD2">
      <w:pPr>
        <w:pStyle w:val="ListParagraph"/>
        <w:numPr>
          <w:ilvl w:val="0"/>
          <w:numId w:val="1"/>
        </w:numPr>
        <w:spacing w:after="0" w:line="240" w:lineRule="auto"/>
      </w:pPr>
      <w:r w:rsidRPr="000A525E">
        <w:t>A slight confusion arises from the use of the phrase “positive change in pain intensity” for the exercise group; the numerical direction was negative, and this is evaluated by the authors as a good thing, a “positive development”</w:t>
      </w:r>
      <w:r>
        <w:t>.</w:t>
      </w:r>
    </w:p>
    <w:p w:rsidR="004D4B96" w:rsidRDefault="004D4B96" w:rsidP="004D4B96">
      <w:pPr>
        <w:pStyle w:val="ListParagraph"/>
        <w:spacing w:after="0" w:line="240" w:lineRule="auto"/>
      </w:pPr>
    </w:p>
    <w:p w:rsidR="00374DF9" w:rsidRPr="006C7AD2" w:rsidRDefault="00A21533" w:rsidP="006C7AD2">
      <w:pPr>
        <w:spacing w:after="0" w:line="240" w:lineRule="auto"/>
      </w:pPr>
      <w:r w:rsidRPr="006C7AD2">
        <w:rPr>
          <w:rFonts w:cs="Times New Roman"/>
          <w:b/>
          <w:szCs w:val="24"/>
        </w:rPr>
        <w:t>Assessment</w:t>
      </w:r>
      <w:r w:rsidRPr="006C7AD2">
        <w:rPr>
          <w:rFonts w:cs="Times New Roman"/>
          <w:b/>
          <w:i/>
          <w:szCs w:val="24"/>
        </w:rPr>
        <w:t>:</w:t>
      </w:r>
    </w:p>
    <w:p w:rsidR="00B528B3" w:rsidRPr="007F585B" w:rsidRDefault="00B528B3" w:rsidP="00B528B3">
      <w:pPr>
        <w:pStyle w:val="ListParagraph"/>
        <w:spacing w:line="240" w:lineRule="auto"/>
        <w:rPr>
          <w:rFonts w:cs="Times New Roman"/>
          <w:b/>
          <w:i/>
          <w:szCs w:val="24"/>
        </w:rPr>
      </w:pPr>
    </w:p>
    <w:p w:rsidR="000A525E" w:rsidRPr="000A525E" w:rsidRDefault="000A525E" w:rsidP="000A525E">
      <w:pPr>
        <w:pStyle w:val="ListParagraph"/>
        <w:numPr>
          <w:ilvl w:val="0"/>
          <w:numId w:val="16"/>
        </w:numPr>
        <w:spacing w:line="240" w:lineRule="auto"/>
      </w:pPr>
      <w:r>
        <w:t>This study is a</w:t>
      </w:r>
      <w:r w:rsidRPr="000A525E">
        <w:t xml:space="preserve">dequate for </w:t>
      </w:r>
      <w:r w:rsidR="00642EB6">
        <w:t xml:space="preserve">some </w:t>
      </w:r>
      <w:r w:rsidRPr="000A525E">
        <w:t>evidence that a cognitive intervention consisting of two hour-long consultations with a physical medicine specialist and</w:t>
      </w:r>
      <w:r w:rsidR="00642EB6">
        <w:t xml:space="preserve"> a physical therapist produces</w:t>
      </w:r>
      <w:r w:rsidRPr="000A525E">
        <w:t xml:space="preserve"> short-term reductions in back disability</w:t>
      </w:r>
      <w:r w:rsidR="00642EB6">
        <w:t>.</w:t>
      </w:r>
    </w:p>
    <w:p w:rsidR="000A525E" w:rsidRPr="007F585B" w:rsidRDefault="000A525E" w:rsidP="00642EB6">
      <w:pPr>
        <w:pStyle w:val="ListParagraph"/>
        <w:spacing w:line="240" w:lineRule="auto"/>
        <w:rPr>
          <w:szCs w:val="24"/>
        </w:rPr>
      </w:pPr>
    </w:p>
    <w:p w:rsidR="00C430A6" w:rsidRPr="007F585B" w:rsidRDefault="00C430A6" w:rsidP="007F585B">
      <w:pPr>
        <w:pStyle w:val="ListParagraph"/>
        <w:spacing w:line="240" w:lineRule="auto"/>
      </w:pPr>
    </w:p>
    <w:p w:rsidR="0000728A" w:rsidRPr="0000728A" w:rsidRDefault="0000728A" w:rsidP="0000728A">
      <w:pPr>
        <w:pStyle w:val="ListParagraph"/>
        <w:spacing w:line="240" w:lineRule="auto"/>
      </w:pPr>
    </w:p>
    <w:sectPr w:rsidR="0000728A" w:rsidRPr="00007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77" w:rsidRDefault="00953F77" w:rsidP="00953F77">
      <w:pPr>
        <w:spacing w:after="0" w:line="240" w:lineRule="auto"/>
      </w:pPr>
      <w:r>
        <w:separator/>
      </w:r>
    </w:p>
  </w:endnote>
  <w:endnote w:type="continuationSeparator" w:id="0">
    <w:p w:rsidR="00953F77" w:rsidRDefault="00953F77" w:rsidP="0095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77" w:rsidRDefault="00953F77" w:rsidP="00953F77">
      <w:pPr>
        <w:spacing w:after="0" w:line="240" w:lineRule="auto"/>
      </w:pPr>
      <w:r>
        <w:separator/>
      </w:r>
    </w:p>
  </w:footnote>
  <w:footnote w:type="continuationSeparator" w:id="0">
    <w:p w:rsidR="00953F77" w:rsidRDefault="00953F77" w:rsidP="00953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AE2"/>
    <w:multiLevelType w:val="hybridMultilevel"/>
    <w:tmpl w:val="D5989EFE"/>
    <w:lvl w:ilvl="0" w:tplc="A5564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541"/>
    <w:multiLevelType w:val="hybridMultilevel"/>
    <w:tmpl w:val="39EA19C6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600AA"/>
    <w:multiLevelType w:val="hybridMultilevel"/>
    <w:tmpl w:val="50A6532A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202B4"/>
    <w:multiLevelType w:val="hybridMultilevel"/>
    <w:tmpl w:val="B0DA2C16"/>
    <w:lvl w:ilvl="0" w:tplc="A5564A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5E2BDE"/>
    <w:multiLevelType w:val="hybridMultilevel"/>
    <w:tmpl w:val="DBC80B42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D285A"/>
    <w:multiLevelType w:val="hybridMultilevel"/>
    <w:tmpl w:val="7898BE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4044DD"/>
    <w:multiLevelType w:val="hybridMultilevel"/>
    <w:tmpl w:val="A2E489AA"/>
    <w:lvl w:ilvl="0" w:tplc="7214D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A1BBD"/>
    <w:multiLevelType w:val="hybridMultilevel"/>
    <w:tmpl w:val="9EC20EF8"/>
    <w:lvl w:ilvl="0" w:tplc="A5564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A71F3"/>
    <w:multiLevelType w:val="hybridMultilevel"/>
    <w:tmpl w:val="889E75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5B4A45"/>
    <w:multiLevelType w:val="hybridMultilevel"/>
    <w:tmpl w:val="1246467E"/>
    <w:lvl w:ilvl="0" w:tplc="6D70D070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004381F"/>
    <w:multiLevelType w:val="hybridMultilevel"/>
    <w:tmpl w:val="972CF474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30A8A"/>
    <w:multiLevelType w:val="hybridMultilevel"/>
    <w:tmpl w:val="241238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14412C9"/>
    <w:multiLevelType w:val="hybridMultilevel"/>
    <w:tmpl w:val="C65C3A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4528BE"/>
    <w:multiLevelType w:val="hybridMultilevel"/>
    <w:tmpl w:val="69D443DE"/>
    <w:lvl w:ilvl="0" w:tplc="6D70D07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EE522F"/>
    <w:multiLevelType w:val="hybridMultilevel"/>
    <w:tmpl w:val="2E0E437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7D16B9F"/>
    <w:multiLevelType w:val="hybridMultilevel"/>
    <w:tmpl w:val="F6662E9C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44BEC"/>
    <w:multiLevelType w:val="hybridMultilevel"/>
    <w:tmpl w:val="1046B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A5337"/>
    <w:multiLevelType w:val="hybridMultilevel"/>
    <w:tmpl w:val="07D261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5FF6ECE"/>
    <w:multiLevelType w:val="hybridMultilevel"/>
    <w:tmpl w:val="0630B18E"/>
    <w:lvl w:ilvl="0" w:tplc="FEE8B4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685C5A"/>
    <w:multiLevelType w:val="hybridMultilevel"/>
    <w:tmpl w:val="5160455E"/>
    <w:lvl w:ilvl="0" w:tplc="A5564A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2E6BD4"/>
    <w:multiLevelType w:val="hybridMultilevel"/>
    <w:tmpl w:val="093EEB80"/>
    <w:lvl w:ilvl="0" w:tplc="FEE8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B5B30"/>
    <w:multiLevelType w:val="hybridMultilevel"/>
    <w:tmpl w:val="19180102"/>
    <w:lvl w:ilvl="0" w:tplc="6D70D07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6EC554AA"/>
    <w:multiLevelType w:val="multilevel"/>
    <w:tmpl w:val="A7F4B43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710645E1"/>
    <w:multiLevelType w:val="hybridMultilevel"/>
    <w:tmpl w:val="58FAEA82"/>
    <w:lvl w:ilvl="0" w:tplc="F4FADC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1F7AF5"/>
    <w:multiLevelType w:val="hybridMultilevel"/>
    <w:tmpl w:val="965AA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713C50"/>
    <w:multiLevelType w:val="multilevel"/>
    <w:tmpl w:val="8C3EAB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76770792"/>
    <w:multiLevelType w:val="hybridMultilevel"/>
    <w:tmpl w:val="3244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4745C"/>
    <w:multiLevelType w:val="hybridMultilevel"/>
    <w:tmpl w:val="CFCA2240"/>
    <w:lvl w:ilvl="0" w:tplc="A5564A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FEB235F"/>
    <w:multiLevelType w:val="hybridMultilevel"/>
    <w:tmpl w:val="5952181A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21"/>
  </w:num>
  <w:num w:numId="5">
    <w:abstractNumId w:val="9"/>
  </w:num>
  <w:num w:numId="6">
    <w:abstractNumId w:val="28"/>
  </w:num>
  <w:num w:numId="7">
    <w:abstractNumId w:val="14"/>
  </w:num>
  <w:num w:numId="8">
    <w:abstractNumId w:val="11"/>
  </w:num>
  <w:num w:numId="9">
    <w:abstractNumId w:val="20"/>
  </w:num>
  <w:num w:numId="10">
    <w:abstractNumId w:val="26"/>
  </w:num>
  <w:num w:numId="11">
    <w:abstractNumId w:val="16"/>
  </w:num>
  <w:num w:numId="12">
    <w:abstractNumId w:val="25"/>
  </w:num>
  <w:num w:numId="13">
    <w:abstractNumId w:val="22"/>
  </w:num>
  <w:num w:numId="14">
    <w:abstractNumId w:val="18"/>
  </w:num>
  <w:num w:numId="15">
    <w:abstractNumId w:val="23"/>
  </w:num>
  <w:num w:numId="16">
    <w:abstractNumId w:val="15"/>
  </w:num>
  <w:num w:numId="17">
    <w:abstractNumId w:val="10"/>
  </w:num>
  <w:num w:numId="18">
    <w:abstractNumId w:val="13"/>
  </w:num>
  <w:num w:numId="19">
    <w:abstractNumId w:val="2"/>
  </w:num>
  <w:num w:numId="20">
    <w:abstractNumId w:val="3"/>
  </w:num>
  <w:num w:numId="21">
    <w:abstractNumId w:val="19"/>
  </w:num>
  <w:num w:numId="22">
    <w:abstractNumId w:val="0"/>
  </w:num>
  <w:num w:numId="23">
    <w:abstractNumId w:val="27"/>
  </w:num>
  <w:num w:numId="24">
    <w:abstractNumId w:val="8"/>
  </w:num>
  <w:num w:numId="25">
    <w:abstractNumId w:val="24"/>
  </w:num>
  <w:num w:numId="26">
    <w:abstractNumId w:val="7"/>
  </w:num>
  <w:num w:numId="27">
    <w:abstractNumId w:val="12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E4"/>
    <w:rsid w:val="00003229"/>
    <w:rsid w:val="0000728A"/>
    <w:rsid w:val="0001633E"/>
    <w:rsid w:val="0001776B"/>
    <w:rsid w:val="00020655"/>
    <w:rsid w:val="0003420D"/>
    <w:rsid w:val="0005165A"/>
    <w:rsid w:val="0006756B"/>
    <w:rsid w:val="00070B87"/>
    <w:rsid w:val="0007303B"/>
    <w:rsid w:val="00076EBE"/>
    <w:rsid w:val="00094E8E"/>
    <w:rsid w:val="000A1CD5"/>
    <w:rsid w:val="000A525E"/>
    <w:rsid w:val="000B15B1"/>
    <w:rsid w:val="000C0DCC"/>
    <w:rsid w:val="000C4C71"/>
    <w:rsid w:val="000D2EDE"/>
    <w:rsid w:val="000D5997"/>
    <w:rsid w:val="000E017A"/>
    <w:rsid w:val="000F01BF"/>
    <w:rsid w:val="000F1426"/>
    <w:rsid w:val="00106B4C"/>
    <w:rsid w:val="00113473"/>
    <w:rsid w:val="0011422C"/>
    <w:rsid w:val="00114DAF"/>
    <w:rsid w:val="001169F6"/>
    <w:rsid w:val="001239E0"/>
    <w:rsid w:val="001322F7"/>
    <w:rsid w:val="00134E24"/>
    <w:rsid w:val="001352F5"/>
    <w:rsid w:val="00146D9E"/>
    <w:rsid w:val="00156C33"/>
    <w:rsid w:val="001631AC"/>
    <w:rsid w:val="001671A8"/>
    <w:rsid w:val="00173C26"/>
    <w:rsid w:val="00181B7D"/>
    <w:rsid w:val="0018376C"/>
    <w:rsid w:val="00185DD6"/>
    <w:rsid w:val="00186557"/>
    <w:rsid w:val="001B29DA"/>
    <w:rsid w:val="001B799E"/>
    <w:rsid w:val="001C23C4"/>
    <w:rsid w:val="001E161E"/>
    <w:rsid w:val="00210AD5"/>
    <w:rsid w:val="00210CAB"/>
    <w:rsid w:val="002133D7"/>
    <w:rsid w:val="002239B5"/>
    <w:rsid w:val="00232F12"/>
    <w:rsid w:val="00233AEC"/>
    <w:rsid w:val="00235C1F"/>
    <w:rsid w:val="00236665"/>
    <w:rsid w:val="0024294B"/>
    <w:rsid w:val="00247792"/>
    <w:rsid w:val="00273481"/>
    <w:rsid w:val="00282963"/>
    <w:rsid w:val="00284637"/>
    <w:rsid w:val="0029056E"/>
    <w:rsid w:val="00292748"/>
    <w:rsid w:val="00293CDF"/>
    <w:rsid w:val="0029623C"/>
    <w:rsid w:val="002977A9"/>
    <w:rsid w:val="002A0D54"/>
    <w:rsid w:val="002A77B9"/>
    <w:rsid w:val="002B3B19"/>
    <w:rsid w:val="002B56C2"/>
    <w:rsid w:val="002C32B4"/>
    <w:rsid w:val="002D28BF"/>
    <w:rsid w:val="002E27B0"/>
    <w:rsid w:val="002E4252"/>
    <w:rsid w:val="002E7108"/>
    <w:rsid w:val="002F4C65"/>
    <w:rsid w:val="003228C4"/>
    <w:rsid w:val="0032702E"/>
    <w:rsid w:val="00336519"/>
    <w:rsid w:val="00342DF5"/>
    <w:rsid w:val="00356E1E"/>
    <w:rsid w:val="003665BE"/>
    <w:rsid w:val="00367227"/>
    <w:rsid w:val="00374DF9"/>
    <w:rsid w:val="003761FE"/>
    <w:rsid w:val="00376536"/>
    <w:rsid w:val="0038359C"/>
    <w:rsid w:val="00383FA1"/>
    <w:rsid w:val="00394877"/>
    <w:rsid w:val="003A557B"/>
    <w:rsid w:val="003C2D3E"/>
    <w:rsid w:val="003C2DD4"/>
    <w:rsid w:val="003C5BC9"/>
    <w:rsid w:val="003C78DC"/>
    <w:rsid w:val="003E7006"/>
    <w:rsid w:val="003F676E"/>
    <w:rsid w:val="004038EE"/>
    <w:rsid w:val="00412C25"/>
    <w:rsid w:val="00426C3A"/>
    <w:rsid w:val="00430CA1"/>
    <w:rsid w:val="00435110"/>
    <w:rsid w:val="00442D27"/>
    <w:rsid w:val="00450CAD"/>
    <w:rsid w:val="00460D35"/>
    <w:rsid w:val="00462322"/>
    <w:rsid w:val="0046655E"/>
    <w:rsid w:val="00484D66"/>
    <w:rsid w:val="004A05BE"/>
    <w:rsid w:val="004A088F"/>
    <w:rsid w:val="004A4E2A"/>
    <w:rsid w:val="004B56CF"/>
    <w:rsid w:val="004C4F1B"/>
    <w:rsid w:val="004D051A"/>
    <w:rsid w:val="004D4A26"/>
    <w:rsid w:val="004D4B96"/>
    <w:rsid w:val="004D5017"/>
    <w:rsid w:val="004E06DC"/>
    <w:rsid w:val="004E19E4"/>
    <w:rsid w:val="004E1B1C"/>
    <w:rsid w:val="004F2CF1"/>
    <w:rsid w:val="00505D22"/>
    <w:rsid w:val="00510839"/>
    <w:rsid w:val="005144BE"/>
    <w:rsid w:val="00536405"/>
    <w:rsid w:val="00540A28"/>
    <w:rsid w:val="00541BBB"/>
    <w:rsid w:val="00550F6C"/>
    <w:rsid w:val="00564CBC"/>
    <w:rsid w:val="00566753"/>
    <w:rsid w:val="005A14AD"/>
    <w:rsid w:val="005A1705"/>
    <w:rsid w:val="005A2C41"/>
    <w:rsid w:val="005B4A88"/>
    <w:rsid w:val="006051A1"/>
    <w:rsid w:val="006266D2"/>
    <w:rsid w:val="00642EB6"/>
    <w:rsid w:val="00643667"/>
    <w:rsid w:val="0065724D"/>
    <w:rsid w:val="00660244"/>
    <w:rsid w:val="00663604"/>
    <w:rsid w:val="006678FF"/>
    <w:rsid w:val="00677502"/>
    <w:rsid w:val="006866BE"/>
    <w:rsid w:val="00696224"/>
    <w:rsid w:val="006A37CF"/>
    <w:rsid w:val="006A655F"/>
    <w:rsid w:val="006B64AC"/>
    <w:rsid w:val="006C193B"/>
    <w:rsid w:val="006C7930"/>
    <w:rsid w:val="006C7AD2"/>
    <w:rsid w:val="006D48B9"/>
    <w:rsid w:val="006D5A78"/>
    <w:rsid w:val="006E195A"/>
    <w:rsid w:val="006F29BA"/>
    <w:rsid w:val="00706FE7"/>
    <w:rsid w:val="00720495"/>
    <w:rsid w:val="00731CA2"/>
    <w:rsid w:val="00732531"/>
    <w:rsid w:val="00735652"/>
    <w:rsid w:val="00751E2C"/>
    <w:rsid w:val="00752A63"/>
    <w:rsid w:val="00766762"/>
    <w:rsid w:val="00770B73"/>
    <w:rsid w:val="00775A91"/>
    <w:rsid w:val="007773E8"/>
    <w:rsid w:val="0079717F"/>
    <w:rsid w:val="007A28C1"/>
    <w:rsid w:val="007B71C4"/>
    <w:rsid w:val="007C223C"/>
    <w:rsid w:val="007C53FE"/>
    <w:rsid w:val="007C57A3"/>
    <w:rsid w:val="007C6DC1"/>
    <w:rsid w:val="007C71A4"/>
    <w:rsid w:val="007C75AF"/>
    <w:rsid w:val="007D5480"/>
    <w:rsid w:val="007D5C64"/>
    <w:rsid w:val="007F066E"/>
    <w:rsid w:val="007F585B"/>
    <w:rsid w:val="007F5A1A"/>
    <w:rsid w:val="007F647F"/>
    <w:rsid w:val="007F65AD"/>
    <w:rsid w:val="00805F2C"/>
    <w:rsid w:val="008079DA"/>
    <w:rsid w:val="008168A4"/>
    <w:rsid w:val="008217DF"/>
    <w:rsid w:val="008243D6"/>
    <w:rsid w:val="008335F6"/>
    <w:rsid w:val="008501EF"/>
    <w:rsid w:val="00871D59"/>
    <w:rsid w:val="00874367"/>
    <w:rsid w:val="008756DC"/>
    <w:rsid w:val="0087638E"/>
    <w:rsid w:val="00877FDD"/>
    <w:rsid w:val="008829F6"/>
    <w:rsid w:val="008945CB"/>
    <w:rsid w:val="008B3AF7"/>
    <w:rsid w:val="008B55C0"/>
    <w:rsid w:val="008C0AB5"/>
    <w:rsid w:val="008C1CC9"/>
    <w:rsid w:val="008D0B89"/>
    <w:rsid w:val="008F0C88"/>
    <w:rsid w:val="008F2422"/>
    <w:rsid w:val="008F3716"/>
    <w:rsid w:val="008F5526"/>
    <w:rsid w:val="009123ED"/>
    <w:rsid w:val="009145F5"/>
    <w:rsid w:val="009252E1"/>
    <w:rsid w:val="009278E6"/>
    <w:rsid w:val="0093660C"/>
    <w:rsid w:val="00953F77"/>
    <w:rsid w:val="00962EA7"/>
    <w:rsid w:val="0096473B"/>
    <w:rsid w:val="00966DA9"/>
    <w:rsid w:val="00976C0D"/>
    <w:rsid w:val="009823D6"/>
    <w:rsid w:val="00986A06"/>
    <w:rsid w:val="009A43E4"/>
    <w:rsid w:val="009C2BA1"/>
    <w:rsid w:val="009D6177"/>
    <w:rsid w:val="009F4A7A"/>
    <w:rsid w:val="00A06F45"/>
    <w:rsid w:val="00A21533"/>
    <w:rsid w:val="00A325D3"/>
    <w:rsid w:val="00A44500"/>
    <w:rsid w:val="00A569C8"/>
    <w:rsid w:val="00A60D37"/>
    <w:rsid w:val="00A7594D"/>
    <w:rsid w:val="00A91D71"/>
    <w:rsid w:val="00A9321A"/>
    <w:rsid w:val="00A93D02"/>
    <w:rsid w:val="00A9612B"/>
    <w:rsid w:val="00AA7335"/>
    <w:rsid w:val="00AB3D9D"/>
    <w:rsid w:val="00AB6ED5"/>
    <w:rsid w:val="00AC0A15"/>
    <w:rsid w:val="00AC168F"/>
    <w:rsid w:val="00AC19AB"/>
    <w:rsid w:val="00AC7BD6"/>
    <w:rsid w:val="00AD4E2B"/>
    <w:rsid w:val="00AD6D40"/>
    <w:rsid w:val="00AE3C82"/>
    <w:rsid w:val="00AF062E"/>
    <w:rsid w:val="00B0291A"/>
    <w:rsid w:val="00B1421E"/>
    <w:rsid w:val="00B16E0E"/>
    <w:rsid w:val="00B16F74"/>
    <w:rsid w:val="00B31FC0"/>
    <w:rsid w:val="00B341B4"/>
    <w:rsid w:val="00B36CAF"/>
    <w:rsid w:val="00B528B3"/>
    <w:rsid w:val="00B775D4"/>
    <w:rsid w:val="00B851C6"/>
    <w:rsid w:val="00B94634"/>
    <w:rsid w:val="00B95BD8"/>
    <w:rsid w:val="00BA12FD"/>
    <w:rsid w:val="00BB25AE"/>
    <w:rsid w:val="00BB5EEB"/>
    <w:rsid w:val="00BE5BAE"/>
    <w:rsid w:val="00BF6515"/>
    <w:rsid w:val="00BF6BC7"/>
    <w:rsid w:val="00BF7703"/>
    <w:rsid w:val="00C00C14"/>
    <w:rsid w:val="00C11C69"/>
    <w:rsid w:val="00C26EBB"/>
    <w:rsid w:val="00C430A6"/>
    <w:rsid w:val="00C46EF6"/>
    <w:rsid w:val="00C57626"/>
    <w:rsid w:val="00C674D5"/>
    <w:rsid w:val="00C7472E"/>
    <w:rsid w:val="00C77289"/>
    <w:rsid w:val="00C9287A"/>
    <w:rsid w:val="00C94304"/>
    <w:rsid w:val="00C94931"/>
    <w:rsid w:val="00C94CED"/>
    <w:rsid w:val="00C95F9E"/>
    <w:rsid w:val="00CA33CD"/>
    <w:rsid w:val="00CA6DF1"/>
    <w:rsid w:val="00CB3D2B"/>
    <w:rsid w:val="00CB53B9"/>
    <w:rsid w:val="00CB6598"/>
    <w:rsid w:val="00CC68A5"/>
    <w:rsid w:val="00CD7206"/>
    <w:rsid w:val="00CE5853"/>
    <w:rsid w:val="00CE634F"/>
    <w:rsid w:val="00CF38EB"/>
    <w:rsid w:val="00CF6A29"/>
    <w:rsid w:val="00D236A4"/>
    <w:rsid w:val="00D250DA"/>
    <w:rsid w:val="00D270BE"/>
    <w:rsid w:val="00D27109"/>
    <w:rsid w:val="00D27CF9"/>
    <w:rsid w:val="00D4140E"/>
    <w:rsid w:val="00D421A0"/>
    <w:rsid w:val="00D44326"/>
    <w:rsid w:val="00D50E60"/>
    <w:rsid w:val="00D649D5"/>
    <w:rsid w:val="00D7075C"/>
    <w:rsid w:val="00D7406A"/>
    <w:rsid w:val="00D82C55"/>
    <w:rsid w:val="00D95EA1"/>
    <w:rsid w:val="00DA5C12"/>
    <w:rsid w:val="00DB1879"/>
    <w:rsid w:val="00DB6B6A"/>
    <w:rsid w:val="00DC0193"/>
    <w:rsid w:val="00DC1379"/>
    <w:rsid w:val="00DC4067"/>
    <w:rsid w:val="00DE64FF"/>
    <w:rsid w:val="00DE6C7B"/>
    <w:rsid w:val="00DF0D14"/>
    <w:rsid w:val="00E0113A"/>
    <w:rsid w:val="00E01E91"/>
    <w:rsid w:val="00E10C4E"/>
    <w:rsid w:val="00E2028C"/>
    <w:rsid w:val="00E211D9"/>
    <w:rsid w:val="00E22BE4"/>
    <w:rsid w:val="00E31950"/>
    <w:rsid w:val="00E40883"/>
    <w:rsid w:val="00E526A9"/>
    <w:rsid w:val="00E60B53"/>
    <w:rsid w:val="00E60F84"/>
    <w:rsid w:val="00E656BE"/>
    <w:rsid w:val="00E73BB2"/>
    <w:rsid w:val="00E97757"/>
    <w:rsid w:val="00EA0D81"/>
    <w:rsid w:val="00EA752F"/>
    <w:rsid w:val="00EB21FB"/>
    <w:rsid w:val="00EB3A4D"/>
    <w:rsid w:val="00EC4D96"/>
    <w:rsid w:val="00EC4DD4"/>
    <w:rsid w:val="00ED15A1"/>
    <w:rsid w:val="00EE381F"/>
    <w:rsid w:val="00EE5DA2"/>
    <w:rsid w:val="00EF2605"/>
    <w:rsid w:val="00EF5EAC"/>
    <w:rsid w:val="00EF6585"/>
    <w:rsid w:val="00F040E6"/>
    <w:rsid w:val="00F14669"/>
    <w:rsid w:val="00F21E4E"/>
    <w:rsid w:val="00F25F89"/>
    <w:rsid w:val="00F26A2E"/>
    <w:rsid w:val="00F310C5"/>
    <w:rsid w:val="00F35372"/>
    <w:rsid w:val="00F448C7"/>
    <w:rsid w:val="00F47BB1"/>
    <w:rsid w:val="00F53632"/>
    <w:rsid w:val="00F557A8"/>
    <w:rsid w:val="00F56F84"/>
    <w:rsid w:val="00F71526"/>
    <w:rsid w:val="00F82D85"/>
    <w:rsid w:val="00F8469C"/>
    <w:rsid w:val="00FA2A41"/>
    <w:rsid w:val="00FA40F1"/>
    <w:rsid w:val="00FB38E4"/>
    <w:rsid w:val="00FE26F4"/>
    <w:rsid w:val="00F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F77"/>
  </w:style>
  <w:style w:type="paragraph" w:styleId="Footer">
    <w:name w:val="footer"/>
    <w:basedOn w:val="Normal"/>
    <w:link w:val="FooterChar"/>
    <w:uiPriority w:val="99"/>
    <w:unhideWhenUsed/>
    <w:rsid w:val="00953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F77"/>
  </w:style>
  <w:style w:type="paragraph" w:styleId="Footer">
    <w:name w:val="footer"/>
    <w:basedOn w:val="Normal"/>
    <w:link w:val="FooterChar"/>
    <w:uiPriority w:val="99"/>
    <w:unhideWhenUsed/>
    <w:rsid w:val="00953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2D4F-524F-4B09-9FFF-AD415572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TempAdmin</cp:lastModifiedBy>
  <cp:revision>2</cp:revision>
  <cp:lastPrinted>2013-08-29T21:03:00Z</cp:lastPrinted>
  <dcterms:created xsi:type="dcterms:W3CDTF">2016-04-18T22:41:00Z</dcterms:created>
  <dcterms:modified xsi:type="dcterms:W3CDTF">2016-04-18T22:41:00Z</dcterms:modified>
</cp:coreProperties>
</file>