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18" w:rsidRPr="00B923DB" w:rsidRDefault="00B21D18" w:rsidP="00B21D18">
      <w:pPr>
        <w:rPr>
          <w:b/>
        </w:rPr>
      </w:pPr>
      <w:r w:rsidRPr="00B923DB">
        <w:rPr>
          <w:b/>
        </w:rPr>
        <w:t>Zlow</w:t>
      </w:r>
      <w:r>
        <w:rPr>
          <w:b/>
        </w:rPr>
        <w:t>od</w:t>
      </w:r>
      <w:r w:rsidRPr="00B923DB">
        <w:rPr>
          <w:b/>
        </w:rPr>
        <w:t>ski M, Chan S, et al. Anterior Transposition Compared with Simple Decompression for Treatment of Cubital Tunnel Syndrome. JBJS Am 2007;89:2591-8.</w:t>
      </w:r>
    </w:p>
    <w:p w:rsidR="00B21D18" w:rsidRDefault="00B21D18" w:rsidP="00B21D18"/>
    <w:p w:rsidR="00B21D18" w:rsidRDefault="00B21D18" w:rsidP="00B21D18">
      <w:r>
        <w:t>PMID:</w:t>
      </w:r>
      <w:r w:rsidRPr="00B21D18">
        <w:t xml:space="preserve"> 18056489</w:t>
      </w:r>
    </w:p>
    <w:p w:rsidR="00B21D18" w:rsidRDefault="00B21D18" w:rsidP="00B21D18"/>
    <w:p w:rsidR="00B21D18" w:rsidRDefault="00B21D18" w:rsidP="00B21D18">
      <w:r>
        <w:t>Design: Meta-analysis of randomized clinical trials (RCTs)</w:t>
      </w:r>
    </w:p>
    <w:p w:rsidR="002447A6" w:rsidRDefault="002447A6" w:rsidP="00B21D18"/>
    <w:p w:rsidR="002447A6" w:rsidRDefault="002447A6" w:rsidP="00B21D18">
      <w:r>
        <w:t>Purpose of study: to compare the efficacy of simple decompression versus anterior transposition of the ulnar nerve in patients with cubital tunnel syndrome</w:t>
      </w:r>
    </w:p>
    <w:p w:rsidR="00B21D18" w:rsidRDefault="00B21D18" w:rsidP="00B21D18"/>
    <w:p w:rsidR="00B21D18" w:rsidRDefault="00B21D18" w:rsidP="00B21D18">
      <w:r>
        <w:t xml:space="preserve">PICOS: </w:t>
      </w:r>
    </w:p>
    <w:p w:rsidR="00B21D18" w:rsidRDefault="002447A6" w:rsidP="00B21D18">
      <w:pPr>
        <w:pStyle w:val="ListParagraph"/>
        <w:numPr>
          <w:ilvl w:val="0"/>
          <w:numId w:val="2"/>
        </w:numPr>
      </w:pPr>
      <w:r>
        <w:t>Patient population: patients who present with symptoms of ulnar nerve compression at the elbow, in whom a history or trauma or surgery of the affected elbow was absent</w:t>
      </w:r>
    </w:p>
    <w:p w:rsidR="002447A6" w:rsidRDefault="002447A6" w:rsidP="00B21D18">
      <w:pPr>
        <w:pStyle w:val="ListParagraph"/>
        <w:numPr>
          <w:ilvl w:val="0"/>
          <w:numId w:val="2"/>
        </w:numPr>
      </w:pPr>
      <w:r>
        <w:t xml:space="preserve">Interventions: </w:t>
      </w:r>
      <w:r w:rsidR="009D2B48">
        <w:t>simple decompression with incision of the arcuate ligament</w:t>
      </w:r>
      <w:r w:rsidR="00277A14">
        <w:t xml:space="preserve"> (the Osbourne band)</w:t>
      </w:r>
    </w:p>
    <w:p w:rsidR="00277A14" w:rsidRDefault="00277A14" w:rsidP="00B21D18">
      <w:pPr>
        <w:pStyle w:val="ListParagraph"/>
        <w:numPr>
          <w:ilvl w:val="0"/>
          <w:numId w:val="2"/>
        </w:numPr>
      </w:pPr>
      <w:r>
        <w:t>Comparison intervention: subcutaneous, submuscular, or intramuscular anterior transposition of the ulnar nerve</w:t>
      </w:r>
    </w:p>
    <w:p w:rsidR="00277A14" w:rsidRDefault="00277A14" w:rsidP="00B21D18">
      <w:pPr>
        <w:pStyle w:val="ListParagraph"/>
        <w:numPr>
          <w:ilvl w:val="0"/>
          <w:numId w:val="2"/>
        </w:numPr>
      </w:pPr>
      <w:r>
        <w:t xml:space="preserve">Outcomes: </w:t>
      </w:r>
      <w:r w:rsidR="002A3187">
        <w:t>clinical scores and electrodiagnostic measurements</w:t>
      </w:r>
    </w:p>
    <w:p w:rsidR="002A3187" w:rsidRDefault="002A3187" w:rsidP="002A3187">
      <w:pPr>
        <w:pStyle w:val="ListParagraph"/>
        <w:numPr>
          <w:ilvl w:val="1"/>
          <w:numId w:val="2"/>
        </w:numPr>
      </w:pPr>
      <w:r>
        <w:t xml:space="preserve">Three studies used clinical scores, but the three scoring instruments were </w:t>
      </w:r>
      <w:r w:rsidR="00DB2AD3">
        <w:t>different</w:t>
      </w:r>
    </w:p>
    <w:p w:rsidR="002A3187" w:rsidRDefault="004725F4" w:rsidP="002A3187">
      <w:pPr>
        <w:pStyle w:val="ListParagraph"/>
        <w:numPr>
          <w:ilvl w:val="1"/>
          <w:numId w:val="2"/>
        </w:numPr>
      </w:pPr>
      <w:r>
        <w:t>The clinical scoring instruments were largely subjective for assessments of sensation and strength, severity of residual symptoms, and subjective improvement</w:t>
      </w:r>
      <w:r w:rsidR="006D6FCE">
        <w:t xml:space="preserve">; the clinical score for one study included </w:t>
      </w:r>
      <w:r w:rsidR="0021392B">
        <w:t>postoperative work status amid other subjective outcomes</w:t>
      </w:r>
    </w:p>
    <w:p w:rsidR="0021392B" w:rsidRDefault="0021392B" w:rsidP="0021392B">
      <w:pPr>
        <w:pStyle w:val="ListParagraph"/>
        <w:numPr>
          <w:ilvl w:val="0"/>
          <w:numId w:val="2"/>
        </w:numPr>
      </w:pPr>
      <w:r>
        <w:t>Study types: randomized and quasi-randomized trials were considered for inclusion</w:t>
      </w:r>
    </w:p>
    <w:p w:rsidR="00B21D18" w:rsidRDefault="00B21D18" w:rsidP="00B21D18"/>
    <w:p w:rsidR="00B21D18" w:rsidRDefault="009A5796" w:rsidP="00B21D18">
      <w:r>
        <w:t>Study selection</w:t>
      </w:r>
      <w:r w:rsidR="00B21D18">
        <w:t>:</w:t>
      </w:r>
    </w:p>
    <w:p w:rsidR="00B21D18" w:rsidRDefault="00B21D18" w:rsidP="00B21D18">
      <w:pPr>
        <w:numPr>
          <w:ilvl w:val="0"/>
          <w:numId w:val="1"/>
        </w:numPr>
      </w:pPr>
      <w:r>
        <w:t>Databases were Medline, EMBASE, Cochrane Library, CINAHL, and conference proceedings through November 2006</w:t>
      </w:r>
    </w:p>
    <w:p w:rsidR="009A5796" w:rsidRDefault="009A5796" w:rsidP="00B21D18">
      <w:pPr>
        <w:numPr>
          <w:ilvl w:val="0"/>
          <w:numId w:val="1"/>
        </w:numPr>
      </w:pPr>
      <w:r>
        <w:t>Two authors independently conducted the search and assessed the methodological quality of each study</w:t>
      </w:r>
    </w:p>
    <w:p w:rsidR="00B21D18" w:rsidRDefault="00B21D18" w:rsidP="00B21D18">
      <w:pPr>
        <w:numPr>
          <w:ilvl w:val="0"/>
          <w:numId w:val="1"/>
        </w:numPr>
      </w:pPr>
      <w:r>
        <w:t>Quality scores measured on a 21 point scale which includes allocation concealment, patient blinding, outcome assessor blinding, and loss to follow-up</w:t>
      </w:r>
    </w:p>
    <w:p w:rsidR="00B21D18" w:rsidRDefault="00B21D18" w:rsidP="00B21D18">
      <w:pPr>
        <w:numPr>
          <w:ilvl w:val="0"/>
          <w:numId w:val="1"/>
        </w:numPr>
      </w:pPr>
      <w:r>
        <w:t>Summary statistics were reported as standard mean differences using a random-effects model</w:t>
      </w:r>
    </w:p>
    <w:p w:rsidR="00B21D18" w:rsidRDefault="00B21D18" w:rsidP="00B21D18">
      <w:pPr>
        <w:numPr>
          <w:ilvl w:val="0"/>
          <w:numId w:val="1"/>
        </w:numPr>
      </w:pPr>
      <w:r>
        <w:t>Three of the four authors were successfully contacted and furnished raw data from their studies</w:t>
      </w:r>
    </w:p>
    <w:p w:rsidR="00B21D18" w:rsidRDefault="00B21D18" w:rsidP="00B21D18"/>
    <w:p w:rsidR="00B21D18" w:rsidRDefault="009A5796" w:rsidP="00B21D18">
      <w:r>
        <w:t>Results</w:t>
      </w:r>
      <w:r w:rsidR="00B21D18">
        <w:t>:</w:t>
      </w:r>
    </w:p>
    <w:p w:rsidR="00B21D18" w:rsidRDefault="00B21D18" w:rsidP="00B21D18">
      <w:pPr>
        <w:numPr>
          <w:ilvl w:val="0"/>
          <w:numId w:val="1"/>
        </w:numPr>
      </w:pPr>
      <w:r>
        <w:t>458 citations found in electronic search; 43 retrieved for detailed analysis after reading abstracts, and 4 RCTs selected for meta-analysis</w:t>
      </w:r>
    </w:p>
    <w:p w:rsidR="00B21D18" w:rsidRDefault="00B21D18" w:rsidP="00B21D18">
      <w:pPr>
        <w:numPr>
          <w:ilvl w:val="0"/>
          <w:numId w:val="1"/>
        </w:numPr>
      </w:pPr>
      <w:r>
        <w:lastRenderedPageBreak/>
        <w:t>The 4 RCTs included 335 randomized patients, 327 of whom were followed; ulnar nerve transposition was submuscular in 2 studies and was subcutaneous in 2 studies; average patient was 51 years old; 65% were male</w:t>
      </w:r>
    </w:p>
    <w:p w:rsidR="00B21D18" w:rsidRDefault="00B21D18" w:rsidP="00B21D18">
      <w:pPr>
        <w:numPr>
          <w:ilvl w:val="0"/>
          <w:numId w:val="1"/>
        </w:numPr>
      </w:pPr>
      <w:r>
        <w:t>Accurate pooling of preoperative symptom severity was not possible because the selected authors used different severity grading systems</w:t>
      </w:r>
    </w:p>
    <w:p w:rsidR="00B21D18" w:rsidRDefault="00B21D18" w:rsidP="00B21D18">
      <w:pPr>
        <w:numPr>
          <w:ilvl w:val="0"/>
          <w:numId w:val="1"/>
        </w:numPr>
      </w:pPr>
      <w:r>
        <w:t>Study outcomes were measured either with electrodiagnostic or with clinical scales or both</w:t>
      </w:r>
    </w:p>
    <w:p w:rsidR="00B21D18" w:rsidRDefault="00B21D18" w:rsidP="00B21D18">
      <w:pPr>
        <w:numPr>
          <w:ilvl w:val="0"/>
          <w:numId w:val="1"/>
        </w:numPr>
      </w:pPr>
      <w:r>
        <w:t>A funnel plot was used to detect publication bias but was not informative</w:t>
      </w:r>
    </w:p>
    <w:p w:rsidR="00B21D18" w:rsidRDefault="00B21D18" w:rsidP="00B21D18">
      <w:pPr>
        <w:numPr>
          <w:ilvl w:val="0"/>
          <w:numId w:val="1"/>
        </w:numPr>
      </w:pPr>
      <w:r>
        <w:t>Decompression and anterior transposition did not yield different pooled outcomes on either the electrodiagnostic or the clinical outcome scales</w:t>
      </w:r>
    </w:p>
    <w:p w:rsidR="00B21D18" w:rsidRDefault="00B21D18" w:rsidP="00B21D18">
      <w:pPr>
        <w:numPr>
          <w:ilvl w:val="0"/>
          <w:numId w:val="1"/>
        </w:numPr>
      </w:pPr>
      <w:r>
        <w:t>The point estimate of the standard mean difference of the clinical scores was 0.04 in favor of transposition, with 95% confidence limits between 0.36 in favor of transposition and 0.26 in favor of decompression</w:t>
      </w:r>
    </w:p>
    <w:p w:rsidR="00B21D18" w:rsidRDefault="00B21D18" w:rsidP="00B21D18">
      <w:pPr>
        <w:numPr>
          <w:ilvl w:val="0"/>
          <w:numId w:val="1"/>
        </w:numPr>
      </w:pPr>
      <w:r>
        <w:t>One study compared operative outcomes in a subgroup of patients with ulnar nerve subluxation; the operative results in this subgroup were not different for the decompression and anterior transposition patients</w:t>
      </w:r>
    </w:p>
    <w:p w:rsidR="00B21D18" w:rsidRDefault="00B21D18" w:rsidP="00B21D18"/>
    <w:p w:rsidR="00B21D18" w:rsidRDefault="00B21D18" w:rsidP="00B21D18">
      <w:r>
        <w:t>Authors’ conclusions:</w:t>
      </w:r>
    </w:p>
    <w:p w:rsidR="00B21D18" w:rsidRDefault="00B21D18" w:rsidP="00B21D18">
      <w:pPr>
        <w:numPr>
          <w:ilvl w:val="0"/>
          <w:numId w:val="1"/>
        </w:numPr>
      </w:pPr>
      <w:r>
        <w:t>No significant differences were found between transposition and decompression for cubital tunnel syndrome</w:t>
      </w:r>
    </w:p>
    <w:p w:rsidR="00B21D18" w:rsidRDefault="00B21D18" w:rsidP="00B21D18">
      <w:pPr>
        <w:numPr>
          <w:ilvl w:val="0"/>
          <w:numId w:val="1"/>
        </w:numPr>
      </w:pPr>
      <w:r>
        <w:t>Using  conventional criteria for effect size of standard mean difference, an SMD of 0.2 is small, 0.5 is moderate, and 0.8 is large; the 95% confidence limits of the clinical scores are small to medium and a large treatment difference is unlikely</w:t>
      </w:r>
    </w:p>
    <w:p w:rsidR="00B21D18" w:rsidRDefault="00B21D18" w:rsidP="00B21D18">
      <w:pPr>
        <w:numPr>
          <w:ilvl w:val="0"/>
          <w:numId w:val="1"/>
        </w:numPr>
      </w:pPr>
      <w:r>
        <w:t>Future studies need to be better at avoiding sources of bias, such as lack of allocation concealment and blinding</w:t>
      </w:r>
    </w:p>
    <w:p w:rsidR="00B21D18" w:rsidRDefault="00B21D18" w:rsidP="00B21D18"/>
    <w:p w:rsidR="00B21D18" w:rsidRDefault="00B21D18" w:rsidP="00B21D18">
      <w:r>
        <w:t>Comments:</w:t>
      </w:r>
    </w:p>
    <w:p w:rsidR="00B21D18" w:rsidRDefault="00B21D18" w:rsidP="00B21D18">
      <w:pPr>
        <w:numPr>
          <w:ilvl w:val="0"/>
          <w:numId w:val="1"/>
        </w:numPr>
      </w:pPr>
      <w:r>
        <w:t>The individual studies effect size estimates all include the null value showing no difference; the pooled estimate narrows the confidence interval to levels that make a large effect size difference unlikely</w:t>
      </w:r>
    </w:p>
    <w:p w:rsidR="00B21D18" w:rsidRDefault="00B21D18" w:rsidP="00B21D18">
      <w:pPr>
        <w:numPr>
          <w:ilvl w:val="0"/>
          <w:numId w:val="1"/>
        </w:numPr>
      </w:pPr>
      <w:r>
        <w:t>The definition of the clinical question, the database searches, and the methods of estimating effect size are consistent with Cochrane methods</w:t>
      </w:r>
    </w:p>
    <w:p w:rsidR="000B7BBC" w:rsidRDefault="000B7BBC" w:rsidP="00B21D18">
      <w:pPr>
        <w:numPr>
          <w:ilvl w:val="0"/>
          <w:numId w:val="1"/>
        </w:numPr>
      </w:pPr>
      <w:r>
        <w:t>None of the included studies reported adequate randomization procedures; the authors simply asserted that the patients were randomly allocated, and in one study, the allocation was clearly quasi-randomized (even and odd chart numbers); concealment of allocation was not done in any of the studies</w:t>
      </w:r>
    </w:p>
    <w:p w:rsidR="000B7BBC" w:rsidRDefault="007C3E41" w:rsidP="00B21D18">
      <w:pPr>
        <w:numPr>
          <w:ilvl w:val="0"/>
          <w:numId w:val="1"/>
        </w:numPr>
      </w:pPr>
      <w:r>
        <w:t xml:space="preserve">The best conclusion is that there is an absence of evidence for differences in efficacy between simple decompression and ulnar nerve transposition </w:t>
      </w:r>
      <w:r w:rsidR="00E23CA1">
        <w:t>rather than convincing evidence of no difference</w:t>
      </w:r>
      <w:r w:rsidR="008575B1">
        <w:t>, due to the questionable quality of the included studies</w:t>
      </w:r>
      <w:bookmarkStart w:id="0" w:name="_GoBack"/>
      <w:bookmarkEnd w:id="0"/>
    </w:p>
    <w:p w:rsidR="00B21D18" w:rsidRDefault="00B21D18" w:rsidP="00B21D18"/>
    <w:p w:rsidR="00B14474" w:rsidRDefault="00B21D18">
      <w:r>
        <w:t>Assessment</w:t>
      </w:r>
      <w:r w:rsidR="007C3E41">
        <w:t>: adequate meta-analysis for a statement</w:t>
      </w:r>
      <w:r>
        <w:t xml:space="preserve"> that </w:t>
      </w:r>
      <w:r w:rsidR="00DB2AD3">
        <w:t>there is an absence of evidence for the superiority of either simple decompression or ulnar nerve transposition</w:t>
      </w:r>
      <w:r w:rsidR="007C3E41">
        <w:t xml:space="preserve"> in the setting of ulnar neuropathy at the elbow</w:t>
      </w:r>
    </w:p>
    <w:sectPr w:rsidR="00B144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0032"/>
    <w:multiLevelType w:val="hybridMultilevel"/>
    <w:tmpl w:val="028C02FC"/>
    <w:lvl w:ilvl="0" w:tplc="E8AEE8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97D2EC4"/>
    <w:multiLevelType w:val="hybridMultilevel"/>
    <w:tmpl w:val="68C4B06A"/>
    <w:lvl w:ilvl="0" w:tplc="1BC0EE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18"/>
    <w:rsid w:val="000B7BBC"/>
    <w:rsid w:val="0021392B"/>
    <w:rsid w:val="002447A6"/>
    <w:rsid w:val="00277A14"/>
    <w:rsid w:val="002A3187"/>
    <w:rsid w:val="004725F4"/>
    <w:rsid w:val="006D6FCE"/>
    <w:rsid w:val="007C3E41"/>
    <w:rsid w:val="008575B1"/>
    <w:rsid w:val="009A5796"/>
    <w:rsid w:val="009D2B48"/>
    <w:rsid w:val="00B14474"/>
    <w:rsid w:val="00B21D18"/>
    <w:rsid w:val="00DB2AD3"/>
    <w:rsid w:val="00E2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12</cp:revision>
  <dcterms:created xsi:type="dcterms:W3CDTF">2016-01-20T18:08:00Z</dcterms:created>
  <dcterms:modified xsi:type="dcterms:W3CDTF">2016-01-20T20:36:00Z</dcterms:modified>
</cp:coreProperties>
</file>