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3.0 -->
  <w:body>
    <w:p w:rsidR="00EF5CAA" w:rsidP="00EF5CAA" w14:paraId="00990248" w14:textId="77777777">
      <w:pPr>
        <w:bidi w:val="0"/>
        <w:spacing w:after="12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Hoja de información de desactivación de CO: 11-12-24</w:t>
      </w:r>
    </w:p>
    <w:p w:rsidR="00EF5CAA" w:rsidP="002A1AB3" w14:paraId="3499B8FB" w14:textId="77777777">
      <w:pPr>
        <w:bidi w:val="0"/>
        <w:spacing w:before="240"/>
        <w:rPr>
          <w:b/>
          <w:sz w:val="24"/>
        </w:rPr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Hoja de información de desactivación de Spark Driver</w:t>
      </w:r>
    </w:p>
    <w:p w:rsidR="00A850E1" w:rsidRPr="00A850E1" w:rsidP="002A1AB3" w14:paraId="6AC75D8B" w14:textId="5F8A6A18">
      <w:pPr>
        <w:bidi w:val="0"/>
        <w:spacing w:before="240"/>
        <w:rPr>
          <w:b/>
          <w:sz w:val="24"/>
        </w:rPr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Introducción</w:t>
      </w:r>
    </w:p>
    <w:p w:rsidR="00A850E1" w:rsidRPr="00A850E1" w:rsidP="00BC52CF" w14:paraId="7D5C9753" w14:textId="77777777">
      <w:pPr>
        <w:pStyle w:val="BodyText"/>
        <w:bidi w:val="0"/>
        <w:spacing w:before="240"/>
        <w:ind w:left="0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Esta hoja de información de desactivación es un resumen en lenguaje sencillo de las razones por las que un conductor podría ser desactivado de la plataforma Spark Driver.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Esta hoja de información es solo para fines de orientación general; el Contrato y el acuerdo de Términos de uso de la aplicación (“Contrato”) de Spark Driver describen las obligaciones en la prestación de servicios y el uso aceptable de la aplicación de Spark Driver (“Aplicación”).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Los conductores pueden encontrar el Contrato dentro del menú de la Aplicación.</w:t>
      </w:r>
    </w:p>
    <w:p w:rsidR="00A850E1" w:rsidRPr="00A850E1" w:rsidP="00EF5CAA" w14:paraId="642658D7" w14:textId="77777777">
      <w:pPr>
        <w:pStyle w:val="Heading1"/>
        <w:bidi w:val="0"/>
        <w:spacing w:before="240"/>
        <w:ind w:left="0"/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Descripción general de la desactivación</w:t>
      </w:r>
    </w:p>
    <w:p w:rsidR="00A850E1" w:rsidRPr="00A850E1" w:rsidP="00DD7641" w14:paraId="46F23A83" w14:textId="3B2A49E1">
      <w:pPr>
        <w:pStyle w:val="BodyText"/>
        <w:bidi w:val="0"/>
        <w:spacing w:before="240"/>
        <w:ind w:left="0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Se espera que los conductores cumplan con los requisitos que acordaron y que se detallan en su Contrato.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El incumplimiento del Contrato, el cumplimiento de las obligaciones en la prestación de servicios o el uso indebido de la Aplicación puede dar lugar a la desactivación de la plataforma.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Los conductores que sean reportados o identificados como infractores del Contrato, y que posteriormente sean desactivados recibirán una notificación inmediata de la desactivación.</w:t>
      </w:r>
    </w:p>
    <w:p w:rsidR="00A850E1" w:rsidRPr="00A850E1" w:rsidP="00BC52CF" w14:paraId="55BB9AC4" w14:textId="77777777">
      <w:pPr>
        <w:pStyle w:val="Heading1"/>
        <w:bidi w:val="0"/>
        <w:spacing w:before="240"/>
        <w:ind w:left="0"/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Detalles de la desactivación</w:t>
      </w:r>
    </w:p>
    <w:p w:rsidR="00A850E1" w:rsidRPr="00A850E1" w:rsidP="00BC52CF" w14:paraId="192D2F9E" w14:textId="77777777">
      <w:pPr>
        <w:pStyle w:val="BodyText"/>
        <w:bidi w:val="0"/>
        <w:spacing w:before="240"/>
        <w:ind w:left="0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Algunos ejemplos de motivos para desactivar a los conductores por incumplir el Contrato, incluyen, entre otros:</w:t>
      </w:r>
    </w:p>
    <w:p w:rsidR="00A850E1" w:rsidRPr="00A850E1" w:rsidP="00BC52CF" w14:paraId="75886EC7" w14:textId="77777777">
      <w:pPr>
        <w:pStyle w:val="BodyText"/>
        <w:bidi w:val="0"/>
        <w:spacing w:before="240"/>
        <w:ind w:left="0" w:firstLine="0"/>
        <w:rPr>
          <w:u w:val="singl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Elegibilidad</w:t>
      </w:r>
    </w:p>
    <w:p w:rsidR="00A850E1" w:rsidRPr="00A850E1" w:rsidP="00BC52CF" w14:paraId="0E0EB2D8" w14:textId="77777777">
      <w:pPr>
        <w:pStyle w:val="ListParagraph"/>
        <w:numPr>
          <w:ilvl w:val="0"/>
          <w:numId w:val="1"/>
        </w:numPr>
        <w:tabs>
          <w:tab w:val="left" w:pos="350"/>
        </w:tabs>
        <w:bidi w:val="0"/>
        <w:spacing w:before="24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Incumplir o no mantener los estándares de elegibilidad de la plataforma.</w:t>
      </w:r>
    </w:p>
    <w:p w:rsidR="00A850E1" w:rsidRPr="00A850E1" w:rsidP="00BC52CF" w14:paraId="64EFC755" w14:textId="77777777">
      <w:pPr>
        <w:pStyle w:val="ListParagraph"/>
        <w:numPr>
          <w:ilvl w:val="0"/>
          <w:numId w:val="1"/>
        </w:numPr>
        <w:tabs>
          <w:tab w:val="left" w:pos="709"/>
        </w:tabs>
        <w:bidi w:val="0"/>
        <w:spacing w:before="6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Proporcionar información personal falsificada o incorrecta, como un número de Seguro Social o información de una póliza de seguro.</w:t>
      </w:r>
    </w:p>
    <w:p w:rsidR="00A850E1" w:rsidRPr="00A850E1" w:rsidP="00BC52CF" w14:paraId="5DBEF0ED" w14:textId="77777777">
      <w:pPr>
        <w:pStyle w:val="ListParagraph"/>
        <w:numPr>
          <w:ilvl w:val="0"/>
          <w:numId w:val="1"/>
        </w:numPr>
        <w:bidi w:val="0"/>
        <w:spacing w:before="6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mantener actualizada la documentación requerida, como su seguro o licencia de conducir.</w:t>
      </w:r>
    </w:p>
    <w:p w:rsidR="00A850E1" w:rsidRPr="00A850E1" w:rsidP="00BC52CF" w14:paraId="012DA744" w14:textId="77777777">
      <w:pPr>
        <w:pStyle w:val="ListParagraph"/>
        <w:numPr>
          <w:ilvl w:val="0"/>
          <w:numId w:val="1"/>
        </w:numPr>
        <w:tabs>
          <w:tab w:val="left" w:pos="350"/>
        </w:tabs>
        <w:bidi w:val="0"/>
        <w:spacing w:before="6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aprobar una verificación de antecedentes, incluidos registros de vehículos motorizados y verificaciones de antecedentes penales (realizadas de acuerdo con las leyes vigentes).</w:t>
      </w:r>
    </w:p>
    <w:p w:rsidR="00A850E1" w:rsidRPr="00A850E1" w:rsidP="00BC52CF" w14:paraId="4F769626" w14:textId="77777777">
      <w:pPr>
        <w:pStyle w:val="ListParagraph"/>
        <w:numPr>
          <w:ilvl w:val="0"/>
          <w:numId w:val="1"/>
        </w:numPr>
        <w:tabs>
          <w:tab w:val="left" w:pos="350"/>
        </w:tabs>
        <w:bidi w:val="0"/>
        <w:spacing w:before="6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aprobar las comprobaciones de identidad.</w:t>
      </w:r>
    </w:p>
    <w:p w:rsidR="00A850E1" w:rsidRPr="00A850E1" w:rsidP="00BC52CF" w14:paraId="136AFD5C" w14:textId="77777777">
      <w:pPr>
        <w:pStyle w:val="ListParagraph"/>
        <w:numPr>
          <w:ilvl w:val="0"/>
          <w:numId w:val="1"/>
        </w:numPr>
        <w:tabs>
          <w:tab w:val="left" w:pos="364"/>
        </w:tabs>
        <w:bidi w:val="0"/>
        <w:spacing w:before="6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Haber ingresado sin autorización a Walmart, Sam’s Club u otras propiedades donde se prestan servicios.</w:t>
      </w:r>
    </w:p>
    <w:p w:rsidR="00A850E1" w:rsidRPr="00A850E1" w:rsidP="00BC52CF" w14:paraId="0A86714A" w14:textId="77777777">
      <w:pPr>
        <w:pStyle w:val="BodyText"/>
        <w:bidi w:val="0"/>
        <w:spacing w:before="240"/>
        <w:ind w:left="0" w:firstLine="0"/>
        <w:rPr>
          <w:u w:val="singl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Estándares de nivel de servicio</w:t>
      </w:r>
    </w:p>
    <w:p w:rsidR="00A850E1" w:rsidRPr="00A850E1" w:rsidP="00BC52CF" w14:paraId="62B4E691" w14:textId="77777777">
      <w:pPr>
        <w:pStyle w:val="ListParagraph"/>
        <w:numPr>
          <w:ilvl w:val="0"/>
          <w:numId w:val="1"/>
        </w:numPr>
        <w:tabs>
          <w:tab w:val="left" w:pos="350"/>
        </w:tabs>
        <w:bidi w:val="0"/>
        <w:spacing w:before="24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Incumplir los estándares de nivel de servicio.</w:t>
      </w:r>
    </w:p>
    <w:p w:rsidR="00A850E1" w:rsidRPr="00A850E1" w:rsidP="00BC52CF" w14:paraId="50FE3BD7" w14:textId="77777777">
      <w:pPr>
        <w:pStyle w:val="ListParagraph"/>
        <w:numPr>
          <w:ilvl w:val="0"/>
          <w:numId w:val="1"/>
        </w:numPr>
        <w:tabs>
          <w:tab w:val="left" w:pos="350"/>
        </w:tabs>
        <w:bidi w:val="0"/>
        <w:spacing w:before="39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Crear o causar una interrupción de las operaciones comerciales en relación con la prestación de servicios.</w:t>
      </w:r>
    </w:p>
    <w:p w:rsidR="00A850E1" w:rsidRPr="00A850E1" w:rsidP="00BC52CF" w14:paraId="444A87EA" w14:textId="77777777">
      <w:pPr>
        <w:pStyle w:val="ListParagraph"/>
        <w:numPr>
          <w:ilvl w:val="0"/>
          <w:numId w:val="1"/>
        </w:numPr>
        <w:tabs>
          <w:tab w:val="left" w:pos="350"/>
        </w:tabs>
        <w:bidi w:val="0"/>
        <w:spacing w:before="4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Intentar salir de una ubicación comercial sin pagar artículos.</w:t>
      </w:r>
    </w:p>
    <w:p w:rsidR="00A850E1" w:rsidRPr="00A850E1" w:rsidP="00346D23" w14:paraId="7A4CE98E" w14:textId="77777777">
      <w:pPr>
        <w:spacing w:before="40"/>
        <w:rPr>
          <w:sz w:val="24"/>
        </w:rPr>
      </w:pPr>
    </w:p>
    <w:p w:rsidR="00A850E1" w:rsidRPr="00A850E1" w:rsidP="00BC52CF" w14:paraId="73A8ECB6" w14:textId="77777777">
      <w:pPr>
        <w:pStyle w:val="BodyText"/>
        <w:bidi w:val="0"/>
        <w:spacing w:before="120"/>
        <w:ind w:left="0" w:firstLine="0"/>
        <w:rPr>
          <w:u w:val="singl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Actividad criminal, discriminación, acoso y represalias</w:t>
      </w:r>
    </w:p>
    <w:p w:rsidR="00A850E1" w:rsidRPr="00A850E1" w:rsidP="00BC52CF" w14:paraId="328DF356" w14:textId="77777777">
      <w:pPr>
        <w:pStyle w:val="ListParagraph"/>
        <w:numPr>
          <w:ilvl w:val="0"/>
          <w:numId w:val="1"/>
        </w:numPr>
        <w:tabs>
          <w:tab w:val="left" w:pos="700"/>
        </w:tabs>
        <w:bidi w:val="0"/>
        <w:spacing w:before="240"/>
        <w:ind w:left="697" w:hanging="391"/>
        <w:rPr>
          <w:sz w:val="24"/>
        </w:rPr>
      </w:pPr>
      <w:bookmarkStart w:id="0" w:name="_GoBack"/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Participar en actos de discriminación, acoso, represalias o comportamientos amenazantes, incluso contra asociados de Walmart en tiendas o centros de llamadas de personal, clientes y otros contratistas independientes.</w:t>
      </w:r>
    </w:p>
    <w:bookmarkEnd w:id="0"/>
    <w:p w:rsidR="00A850E1" w:rsidRPr="00A850E1" w:rsidP="00BC52CF" w14:paraId="0ABCEF68" w14:textId="77777777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6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Participar en actos criminales, ilegales o poco profesionales en relación con la prestación de servicios.</w:t>
      </w:r>
    </w:p>
    <w:p w:rsidR="00A850E1" w:rsidRPr="00A850E1" w:rsidP="00BC52CF" w14:paraId="0D390F00" w14:textId="77777777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6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Causar lesiones o intentar causar lesiones a cualquier persona o propiedad en relación con la prestación de servicios.</w:t>
      </w:r>
    </w:p>
    <w:p w:rsidR="00A850E1" w:rsidRPr="00A850E1" w:rsidP="000D0E13" w14:paraId="6101188A" w14:textId="77777777">
      <w:pPr>
        <w:pStyle w:val="ListParagraph"/>
        <w:numPr>
          <w:ilvl w:val="0"/>
          <w:numId w:val="1"/>
        </w:numPr>
        <w:tabs>
          <w:tab w:val="left" w:pos="728"/>
        </w:tabs>
        <w:bidi w:val="0"/>
        <w:spacing w:before="6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Portar un arma de fuego ilegalmente o exhibir un arma de fuego durante la prestación de servicios.</w:t>
      </w:r>
    </w:p>
    <w:p w:rsidR="00A850E1" w:rsidRPr="00A850E1" w:rsidP="00BE7ED0" w14:paraId="0217400D" w14:textId="77777777">
      <w:pPr>
        <w:pStyle w:val="BodyText"/>
        <w:bidi w:val="0"/>
        <w:spacing w:before="240"/>
        <w:ind w:left="0" w:firstLine="0"/>
        <w:rPr>
          <w:u w:val="singl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Seguro</w:t>
      </w:r>
    </w:p>
    <w:p w:rsidR="00A850E1" w:rsidRPr="00A850E1" w:rsidP="000D0E13" w14:paraId="5100E500" w14:textId="77777777">
      <w:pPr>
        <w:pStyle w:val="ListParagraph"/>
        <w:numPr>
          <w:ilvl w:val="0"/>
          <w:numId w:val="1"/>
        </w:numPr>
        <w:tabs>
          <w:tab w:val="left" w:pos="686"/>
        </w:tabs>
        <w:bidi w:val="0"/>
        <w:spacing w:before="24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mantener el seguro de automóvil requerido.</w:t>
      </w:r>
    </w:p>
    <w:p w:rsidR="00A850E1" w:rsidRPr="00A850E1" w:rsidP="000D0E13" w14:paraId="2A5E0646" w14:textId="77777777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10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notificar de inmediato a su compañía de seguros sobre cualquier reclamación en su contra relacionada con la prestación de servicios o no cooperar en la investigación de accidentes o reclamaciones de seguros.</w:t>
      </w:r>
    </w:p>
    <w:p w:rsidR="00A850E1" w:rsidRPr="00A850E1" w:rsidP="000D0E13" w14:paraId="74236AAB" w14:textId="77777777">
      <w:pPr>
        <w:pStyle w:val="BodyText"/>
        <w:bidi w:val="0"/>
        <w:spacing w:before="240"/>
        <w:ind w:left="0" w:firstLine="0"/>
        <w:rPr>
          <w:u w:val="singl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Cumplimiento</w:t>
      </w:r>
    </w:p>
    <w:p w:rsidR="00A850E1" w:rsidRPr="00A850E1" w:rsidP="000D0E13" w14:paraId="0DC007A7" w14:textId="77777777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24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Incumplir los requisitos de cumplimiento, incluidos los relacionados con la protección de pedidos, la entrega de mercancía restringida o la protección de la privacidad.</w:t>
      </w:r>
    </w:p>
    <w:p w:rsidR="00A850E1" w:rsidRPr="00A850E1" w:rsidP="000D0E13" w14:paraId="1AF249F1" w14:textId="77777777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10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Incumplir las ordenanzas locales o los requisitos publicados en los establecimientos comerciales a los que ingresa en relación con la prestación de servicios.</w:t>
      </w:r>
    </w:p>
    <w:p w:rsidR="00A850E1" w:rsidRPr="00A850E1" w:rsidP="000D0E13" w14:paraId="5C0B65D6" w14:textId="77777777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10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Infringir la ley vigente con respecto a la manipulación y limpieza de derrames que involucren materiales peligrosos.</w:t>
      </w:r>
    </w:p>
    <w:p w:rsidR="0013366A" w:rsidP="000D0E13" w14:paraId="3C748D35" w14:textId="77777777">
      <w:pPr>
        <w:pStyle w:val="ListParagraph"/>
        <w:numPr>
          <w:ilvl w:val="0"/>
          <w:numId w:val="1"/>
        </w:numPr>
        <w:tabs>
          <w:tab w:val="left" w:pos="686"/>
        </w:tabs>
        <w:bidi w:val="0"/>
        <w:spacing w:before="100" w:after="24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mantener la elegibilidad legal para prestar servicios.</w:t>
      </w:r>
    </w:p>
    <w:p w:rsidR="00A850E1" w:rsidRPr="00E16456" w:rsidP="000D0E13" w14:paraId="3C4EA0ED" w14:textId="5E5A072A">
      <w:pPr>
        <w:tabs>
          <w:tab w:val="left" w:pos="822"/>
        </w:tabs>
        <w:bidi w:val="0"/>
        <w:spacing w:before="120" w:after="24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Uso de la Aplicación de una manera prohibida</w:t>
      </w:r>
    </w:p>
    <w:p w:rsidR="00A850E1" w:rsidRPr="00A850E1" w:rsidP="000D0E13" w14:paraId="2F808A4D" w14:textId="77777777">
      <w:pPr>
        <w:pStyle w:val="ListParagraph"/>
        <w:numPr>
          <w:ilvl w:val="0"/>
          <w:numId w:val="1"/>
        </w:numPr>
        <w:tabs>
          <w:tab w:val="left" w:pos="686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Compartir cuentas de cualquier tipo.</w:t>
      </w:r>
    </w:p>
    <w:p w:rsidR="00A850E1" w:rsidRPr="00A850E1" w:rsidP="000D0E13" w14:paraId="71467C85" w14:textId="77777777">
      <w:pPr>
        <w:pStyle w:val="ListParagraph"/>
        <w:numPr>
          <w:ilvl w:val="0"/>
          <w:numId w:val="1"/>
        </w:numPr>
        <w:tabs>
          <w:tab w:val="left" w:pos="686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mantener la confidencialidad y la seguridad de su cuenta en la Aplicación.</w:t>
      </w:r>
    </w:p>
    <w:p w:rsidR="00A850E1" w:rsidRPr="00A850E1" w:rsidP="000D0E13" w14:paraId="3823DE46" w14:textId="77777777">
      <w:pPr>
        <w:pStyle w:val="ListParagraph"/>
        <w:numPr>
          <w:ilvl w:val="0"/>
          <w:numId w:val="1"/>
        </w:numPr>
        <w:tabs>
          <w:tab w:val="left" w:pos="686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proporcionar su ubicación geográfica verdadera y precisa mientras usa la Aplicación.</w:t>
      </w:r>
    </w:p>
    <w:p w:rsidR="00A850E1" w:rsidRPr="00A850E1" w:rsidP="000D0E13" w14:paraId="5312E2E5" w14:textId="77777777">
      <w:pPr>
        <w:pStyle w:val="ListParagraph"/>
        <w:numPr>
          <w:ilvl w:val="0"/>
          <w:numId w:val="1"/>
        </w:numPr>
        <w:tabs>
          <w:tab w:val="left" w:pos="686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Usar VPN u otra tecnología para ocultar de manera intencional o no intencional la geolocalización.</w:t>
      </w:r>
    </w:p>
    <w:p w:rsidR="00A850E1" w:rsidRPr="00A850E1" w:rsidP="00DD7641" w14:paraId="3E5ACE93" w14:textId="724615D4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100"/>
        <w:ind w:left="697" w:hanging="391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Permitir el acceso, a través de la Aplicación o en relación con esta, de cualquier virus, gusano, troyano, huevo de Pascua, bomba de tiempo, spyware u otro código, archivo o programa informático que sea dañino o invasivo, que potencialmente lo sea, o que tenga como fin dañar o secuestrar la operación de cualquier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hardware, software o equipo, o monitorear el uso de estos.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Esto incluye, entre otros, el uso de dispositivos móviles desbloqueados o rooteados.</w:t>
      </w:r>
    </w:p>
    <w:p w:rsidR="00A850E1" w:rsidRPr="00A850E1" w:rsidP="000D0E13" w14:paraId="3CB3B525" w14:textId="77777777">
      <w:pPr>
        <w:pStyle w:val="ListParagraph"/>
        <w:numPr>
          <w:ilvl w:val="0"/>
          <w:numId w:val="1"/>
        </w:numPr>
        <w:tabs>
          <w:tab w:val="left" w:pos="822"/>
        </w:tabs>
        <w:bidi w:val="0"/>
        <w:spacing w:before="100"/>
        <w:ind w:left="697" w:hanging="391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Utilizar cualquier robot, bot, araña, aplicación de búsqueda/recuperación de sitios u otro dispositivo manual o automático para enviar, interceptar, recuperar, indexar, extraer datos o recopilar de otro modo cualquier dato de Walmart, o reproducir o eludir la estructura de navegación o presentación de la Aplicación, o para ocultar la geolocalización, o manipular la funcionalidad prevista de la Aplicación sin el consentimiento expreso previo por escrito de Walmart.</w:t>
      </w:r>
    </w:p>
    <w:p w:rsidR="00A850E1" w:rsidRPr="00A850E1" w:rsidP="000D0E13" w14:paraId="55391AD1" w14:textId="77777777">
      <w:pPr>
        <w:pStyle w:val="BodyText"/>
        <w:bidi w:val="0"/>
        <w:spacing w:before="240" w:after="120"/>
        <w:ind w:left="0" w:firstLine="0"/>
        <w:rPr>
          <w:u w:val="singl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Ganancias</w:t>
      </w:r>
    </w:p>
    <w:p w:rsidR="00A850E1" w:rsidRPr="00A850E1" w:rsidP="000D0E13" w14:paraId="0AC69D9E" w14:textId="77777777">
      <w:pPr>
        <w:pStyle w:val="ListParagraph"/>
        <w:numPr>
          <w:ilvl w:val="0"/>
          <w:numId w:val="1"/>
        </w:numPr>
        <w:tabs>
          <w:tab w:val="left" w:pos="714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No mantener una cuenta de ganancias elegible para el depósito de ganancias.</w:t>
      </w:r>
    </w:p>
    <w:p w:rsidR="00A850E1" w:rsidRPr="00A850E1" w:rsidP="000D0E13" w14:paraId="00997A23" w14:textId="77777777">
      <w:pPr>
        <w:pStyle w:val="ListParagraph"/>
        <w:numPr>
          <w:ilvl w:val="0"/>
          <w:numId w:val="1"/>
        </w:numPr>
        <w:tabs>
          <w:tab w:val="left" w:pos="714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Manipular la Aplicación de algún modo para inflar artificialmente las ganancias.</w:t>
      </w:r>
    </w:p>
    <w:p w:rsidR="00A850E1" w:rsidRPr="00A850E1" w:rsidP="000D0E13" w14:paraId="1AEF4BFC" w14:textId="77777777">
      <w:pPr>
        <w:pStyle w:val="ListParagraph"/>
        <w:numPr>
          <w:ilvl w:val="0"/>
          <w:numId w:val="1"/>
        </w:numPr>
        <w:tabs>
          <w:tab w:val="left" w:pos="714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Aceptar y entregar pedidos de forma reiterada, o cancelar pedidos repetidamente.</w:t>
      </w:r>
    </w:p>
    <w:p w:rsidR="00D52CB3" w:rsidP="000D0E13" w14:paraId="085DC671" w14:textId="77777777">
      <w:pPr>
        <w:pStyle w:val="ListParagraph"/>
        <w:numPr>
          <w:ilvl w:val="0"/>
          <w:numId w:val="1"/>
        </w:numPr>
        <w:tabs>
          <w:tab w:val="left" w:pos="714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Marcar falsamente los artículos como “sin disponibilidad” para pedidos de compra.</w:t>
      </w:r>
    </w:p>
    <w:p w:rsidR="00A850E1" w:rsidRPr="00D52CB3" w:rsidP="000D0E13" w14:paraId="6942D006" w14:textId="30F2502E">
      <w:pPr>
        <w:tabs>
          <w:tab w:val="left" w:pos="714"/>
        </w:tabs>
        <w:bidi w:val="0"/>
        <w:spacing w:before="240" w:after="24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Confidencialidad</w:t>
      </w:r>
    </w:p>
    <w:p w:rsidR="00A850E1" w:rsidRPr="00A850E1" w:rsidP="000D0E13" w14:paraId="4333547A" w14:textId="77777777">
      <w:pPr>
        <w:pStyle w:val="ListParagraph"/>
        <w:numPr>
          <w:ilvl w:val="0"/>
          <w:numId w:val="1"/>
        </w:numPr>
        <w:tabs>
          <w:tab w:val="left" w:pos="714"/>
        </w:tabs>
        <w:bidi w:val="0"/>
        <w:spacing w:before="100"/>
        <w:ind w:left="306" w:firstLine="0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Infringir cualquier obligación de confidencialidad exigida por el Contrato.</w:t>
      </w:r>
    </w:p>
    <w:p w:rsidR="00A850E1" w:rsidRPr="00A850E1" w:rsidP="000D0E13" w14:paraId="233CA9D5" w14:textId="77777777">
      <w:pPr>
        <w:pStyle w:val="Heading1"/>
        <w:bidi w:val="0"/>
        <w:spacing w:before="240" w:after="240"/>
        <w:ind w:left="0"/>
        <w:rPr>
          <w:color w:val="2D2E31"/>
        </w:rPr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Descargo de responsabilidad e información legal clave</w:t>
      </w:r>
    </w:p>
    <w:p w:rsidR="00A850E1" w:rsidRPr="00A850E1" w:rsidP="000D0E13" w14:paraId="694C1E3A" w14:textId="77777777">
      <w:pPr>
        <w:pStyle w:val="BodyText"/>
        <w:bidi w:val="0"/>
        <w:spacing w:before="100"/>
        <w:ind w:left="0" w:firstLine="0"/>
        <w:rPr>
          <w:color w:val="2D2E31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La información proporcionada en esta hoja es solo para fines de orientación general.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Esta hoja de información no constituye un contrato legal y no debe interpretarse como 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El Contrato es el documento legal de control.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Si existieran inconsistencias</w:t>
      </w:r>
    </w:p>
    <w:p w:rsidR="00A850E1" w:rsidRPr="00A850E1" w:rsidP="000D0E13" w14:paraId="28308CB6" w14:textId="77777777">
      <w:pPr>
        <w:pStyle w:val="BodyText"/>
        <w:bidi w:val="0"/>
        <w:spacing w:before="100"/>
        <w:ind w:left="0" w:firstLine="0"/>
        <w:rPr>
          <w:color w:val="2D2E31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entre esta hoja de información y los términos del Contrato, prevalecerán los términos del Contrato.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Para conocer detalles y obligaciones específicas, consulte el Contrato real.</w:t>
      </w:r>
    </w:p>
    <w:p w:rsidR="00EA75C2" w:rsidRPr="00DD7641" w:rsidP="00DD7641" w14:paraId="4C50281F" w14:textId="549FBBD7">
      <w:pPr>
        <w:pStyle w:val="BodyText"/>
        <w:bidi w:val="0"/>
        <w:spacing w:before="240"/>
        <w:ind w:left="0" w:firstLine="0"/>
        <w:rPr>
          <w:color w:val="2D2E31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D2E31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 w:eastAsia="en-US" w:bidi="ar-SA"/>
        </w:rPr>
        <w:t>Esta hoja de información no reemplaza, ni pretende reemplazar, el Acuerdo de Confidencialidad y Resolución de Disputas firmado por el conductor.</w:t>
      </w:r>
    </w:p>
    <w:sectPr w:rsidSect="00BC52CF">
      <w:pgSz w:w="12240" w:h="15840"/>
      <w:pgMar w:top="1457" w:right="1554" w:bottom="164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D60F4"/>
    <w:multiLevelType w:val="hybridMultilevel"/>
    <w:tmpl w:val="9398A60A"/>
    <w:lvl w:ilvl="0">
      <w:start w:val="0"/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C2"/>
    <w:rsid w:val="000D0E13"/>
    <w:rsid w:val="0013366A"/>
    <w:rsid w:val="00280886"/>
    <w:rsid w:val="00291EB9"/>
    <w:rsid w:val="002A1AB3"/>
    <w:rsid w:val="00346D23"/>
    <w:rsid w:val="00A75F5A"/>
    <w:rsid w:val="00A850E1"/>
    <w:rsid w:val="00BC52CF"/>
    <w:rsid w:val="00BE7ED0"/>
    <w:rsid w:val="00D52CB3"/>
    <w:rsid w:val="00DD7641"/>
    <w:rsid w:val="00E04644"/>
    <w:rsid w:val="00E16456"/>
    <w:rsid w:val="00E313E8"/>
    <w:rsid w:val="00EA75C2"/>
    <w:rsid w:val="00EB5815"/>
    <w:rsid w:val="00EF5CAA"/>
    <w:rsid w:val="00F441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2CC8F2"/>
  <w15:docId w15:val="{91791F78-82FB-412D-9CA1-0D865E40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7"/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a"/>
    <w:uiPriority w:val="99"/>
    <w:unhideWhenUsed/>
    <w:rsid w:val="00A850E1"/>
    <w:pPr>
      <w:tabs>
        <w:tab w:val="center" w:pos="4153"/>
        <w:tab w:val="right" w:pos="8306"/>
      </w:tabs>
    </w:pPr>
  </w:style>
  <w:style w:type="character" w:customStyle="1" w:styleId="a">
    <w:name w:val="页眉 字符"/>
    <w:basedOn w:val="DefaultParagraphFont"/>
    <w:link w:val="Header"/>
    <w:uiPriority w:val="99"/>
    <w:rsid w:val="00A850E1"/>
    <w:rPr>
      <w:rFonts w:ascii="Calibri" w:eastAsia="Calibri" w:hAnsi="Calibri" w:cs="Calibri"/>
    </w:rPr>
  </w:style>
  <w:style w:type="paragraph" w:styleId="Footer">
    <w:name w:val="footer"/>
    <w:basedOn w:val="Normal"/>
    <w:link w:val="a0"/>
    <w:uiPriority w:val="99"/>
    <w:unhideWhenUsed/>
    <w:rsid w:val="00A850E1"/>
    <w:pPr>
      <w:tabs>
        <w:tab w:val="center" w:pos="4153"/>
        <w:tab w:val="right" w:pos="8306"/>
      </w:tabs>
    </w:pPr>
  </w:style>
  <w:style w:type="character" w:customStyle="1" w:styleId="a0">
    <w:name w:val="页脚 字符"/>
    <w:basedOn w:val="DefaultParagraphFont"/>
    <w:link w:val="Footer"/>
    <w:uiPriority w:val="99"/>
    <w:rsid w:val="00A850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757</Words>
  <Characters>4476</Characters>
  <Application>Microsoft Office Word</Application>
  <DocSecurity>0</DocSecurity>
  <Lines>87</Lines>
  <Paragraphs>60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2024-11-16T00:13:00Z</dcterms:created>
  <dcterms:modified xsi:type="dcterms:W3CDTF">2024-11-16T02:06:00Z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2024-11-12T00:00:00Z</vt:filetime>
  </property>
  <property fmtid="{D5CDD505-2E9C-101B-9397-08002B2CF9AE}" pid="5" name="Producer">
    <vt:lpwstr>PDFium</vt:lpwstr>
  </property>
</Properties>
</file>